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D850D4" w:rsidRPr="00CD6C97">
        <w:tc>
          <w:tcPr>
            <w:tcW w:w="2448" w:type="dxa"/>
          </w:tcPr>
          <w:p w:rsidR="00D850D4" w:rsidRPr="00CD6C97" w:rsidRDefault="00D850D4" w:rsidP="00092C0A">
            <w:pPr>
              <w:pStyle w:val="Heading3"/>
            </w:pPr>
          </w:p>
        </w:tc>
        <w:tc>
          <w:tcPr>
            <w:tcW w:w="5130" w:type="dxa"/>
          </w:tcPr>
          <w:p w:rsidR="00D850D4" w:rsidRPr="00CD6C97" w:rsidRDefault="00D850D4">
            <w:pPr>
              <w:jc w:val="center"/>
              <w:rPr>
                <w:b/>
                <w:sz w:val="26"/>
              </w:rPr>
            </w:pPr>
            <w:smartTag w:uri="urn:schemas-microsoft-com:office:smarttags" w:element="place">
              <w:smartTag w:uri="urn:schemas-microsoft-com:office:smarttags" w:element="State">
                <w:r w:rsidRPr="00CD6C97">
                  <w:rPr>
                    <w:b/>
                    <w:sz w:val="26"/>
                  </w:rPr>
                  <w:t>PENNSYLVANIA</w:t>
                </w:r>
              </w:smartTag>
            </w:smartTag>
          </w:p>
          <w:p w:rsidR="00D850D4" w:rsidRPr="00CD6C97" w:rsidRDefault="00D850D4">
            <w:pPr>
              <w:jc w:val="center"/>
              <w:rPr>
                <w:b/>
                <w:sz w:val="26"/>
              </w:rPr>
            </w:pPr>
            <w:r w:rsidRPr="00CD6C97">
              <w:rPr>
                <w:b/>
                <w:sz w:val="26"/>
              </w:rPr>
              <w:t>PUBLIC UTILITY COMMISSION</w:t>
            </w:r>
          </w:p>
          <w:p w:rsidR="00D850D4" w:rsidRPr="006048E2" w:rsidRDefault="00D850D4" w:rsidP="00092C0A">
            <w:pPr>
              <w:pStyle w:val="StyleCentered"/>
              <w:rPr>
                <w:b/>
              </w:rPr>
            </w:pPr>
            <w:r w:rsidRPr="006048E2">
              <w:rPr>
                <w:b/>
              </w:rPr>
              <w:t>Harrisburg</w:t>
            </w:r>
            <w:r w:rsidR="006048E2" w:rsidRPr="006048E2">
              <w:rPr>
                <w:b/>
              </w:rPr>
              <w:t>, PA</w:t>
            </w:r>
            <w:r w:rsidRPr="006048E2">
              <w:rPr>
                <w:b/>
              </w:rPr>
              <w:t xml:space="preserve">  17105-3265</w:t>
            </w:r>
          </w:p>
        </w:tc>
        <w:tc>
          <w:tcPr>
            <w:tcW w:w="2700" w:type="dxa"/>
          </w:tcPr>
          <w:p w:rsidR="00D850D4" w:rsidRPr="00CD6C97" w:rsidRDefault="00D850D4"/>
        </w:tc>
      </w:tr>
    </w:tbl>
    <w:p w:rsidR="00D850D4" w:rsidRPr="00CD6C97" w:rsidRDefault="00D850D4">
      <w:pPr>
        <w:rPr>
          <w:sz w:val="26"/>
        </w:rPr>
      </w:pPr>
    </w:p>
    <w:tbl>
      <w:tblPr>
        <w:tblW w:w="0" w:type="auto"/>
        <w:tblLayout w:type="fixed"/>
        <w:tblLook w:val="0000"/>
      </w:tblPr>
      <w:tblGrid>
        <w:gridCol w:w="5148"/>
        <w:gridCol w:w="5148"/>
      </w:tblGrid>
      <w:tr w:rsidR="00D850D4" w:rsidRPr="00CD6C97">
        <w:tc>
          <w:tcPr>
            <w:tcW w:w="5148" w:type="dxa"/>
          </w:tcPr>
          <w:p w:rsidR="00D850D4" w:rsidRPr="00CD6C97" w:rsidRDefault="00D850D4">
            <w:pPr>
              <w:rPr>
                <w:sz w:val="26"/>
              </w:rPr>
            </w:pPr>
          </w:p>
        </w:tc>
        <w:tc>
          <w:tcPr>
            <w:tcW w:w="5148" w:type="dxa"/>
          </w:tcPr>
          <w:p w:rsidR="00D850D4" w:rsidRPr="00CD6C97" w:rsidRDefault="00D850D4" w:rsidP="00551DD7">
            <w:pPr>
              <w:ind w:firstLine="612"/>
              <w:rPr>
                <w:sz w:val="26"/>
              </w:rPr>
            </w:pPr>
            <w:r w:rsidRPr="00CD6C97">
              <w:rPr>
                <w:sz w:val="26"/>
              </w:rPr>
              <w:t xml:space="preserve">Public Meeting held </w:t>
            </w:r>
            <w:r w:rsidR="00847B1A">
              <w:rPr>
                <w:sz w:val="26"/>
              </w:rPr>
              <w:t>August 25</w:t>
            </w:r>
            <w:r w:rsidR="005106A8">
              <w:rPr>
                <w:sz w:val="26"/>
              </w:rPr>
              <w:t>,</w:t>
            </w:r>
            <w:r w:rsidR="00D77859">
              <w:rPr>
                <w:sz w:val="26"/>
              </w:rPr>
              <w:t xml:space="preserve"> 2011</w:t>
            </w:r>
          </w:p>
        </w:tc>
      </w:tr>
      <w:tr w:rsidR="00D850D4" w:rsidRPr="00CD6C97" w:rsidTr="00C60F42">
        <w:trPr>
          <w:trHeight w:val="297"/>
        </w:trPr>
        <w:tc>
          <w:tcPr>
            <w:tcW w:w="5148" w:type="dxa"/>
          </w:tcPr>
          <w:p w:rsidR="00D850D4" w:rsidRPr="00CD6C97" w:rsidRDefault="00D850D4">
            <w:pPr>
              <w:rPr>
                <w:sz w:val="26"/>
              </w:rPr>
            </w:pPr>
            <w:r w:rsidRPr="00CD6C97">
              <w:rPr>
                <w:sz w:val="26"/>
              </w:rPr>
              <w:t>Commissioners Present:</w:t>
            </w:r>
          </w:p>
        </w:tc>
        <w:tc>
          <w:tcPr>
            <w:tcW w:w="5148" w:type="dxa"/>
          </w:tcPr>
          <w:p w:rsidR="00D850D4" w:rsidRPr="00CD6C97" w:rsidRDefault="00D850D4">
            <w:pPr>
              <w:rPr>
                <w:sz w:val="26"/>
              </w:rPr>
            </w:pPr>
          </w:p>
        </w:tc>
      </w:tr>
    </w:tbl>
    <w:p w:rsidR="00D850D4" w:rsidRPr="00CD6C97" w:rsidRDefault="00D850D4">
      <w:pPr>
        <w:rPr>
          <w:sz w:val="26"/>
        </w:rPr>
      </w:pPr>
    </w:p>
    <w:tbl>
      <w:tblPr>
        <w:tblW w:w="8417" w:type="dxa"/>
        <w:tblLayout w:type="fixed"/>
        <w:tblLook w:val="0000"/>
      </w:tblPr>
      <w:tblGrid>
        <w:gridCol w:w="4871"/>
        <w:gridCol w:w="2369"/>
        <w:gridCol w:w="427"/>
        <w:gridCol w:w="750"/>
      </w:tblGrid>
      <w:tr w:rsidR="00C60F42" w:rsidRPr="00CD6C97" w:rsidTr="002E022C">
        <w:trPr>
          <w:trHeight w:val="355"/>
        </w:trPr>
        <w:tc>
          <w:tcPr>
            <w:tcW w:w="7667" w:type="dxa"/>
            <w:gridSpan w:val="3"/>
          </w:tcPr>
          <w:p w:rsidR="00C60F42" w:rsidRPr="00C60F42" w:rsidRDefault="00C60F42" w:rsidP="002A0335">
            <w:pPr>
              <w:ind w:left="360"/>
              <w:rPr>
                <w:sz w:val="26"/>
                <w:szCs w:val="26"/>
              </w:rPr>
            </w:pPr>
            <w:r w:rsidRPr="00C60F42">
              <w:rPr>
                <w:sz w:val="26"/>
                <w:szCs w:val="26"/>
              </w:rPr>
              <w:t>Robert F. Powelson, Chairman</w:t>
            </w:r>
          </w:p>
        </w:tc>
        <w:tc>
          <w:tcPr>
            <w:tcW w:w="750" w:type="dxa"/>
          </w:tcPr>
          <w:p w:rsidR="00C60F42" w:rsidRPr="00CD6C97" w:rsidRDefault="00C60F42">
            <w:pPr>
              <w:rPr>
                <w:sz w:val="26"/>
              </w:rPr>
            </w:pPr>
          </w:p>
        </w:tc>
      </w:tr>
      <w:tr w:rsidR="00C60F42" w:rsidRPr="00CD6C97" w:rsidTr="002E022C">
        <w:trPr>
          <w:trHeight w:val="355"/>
        </w:trPr>
        <w:tc>
          <w:tcPr>
            <w:tcW w:w="7667" w:type="dxa"/>
            <w:gridSpan w:val="3"/>
          </w:tcPr>
          <w:p w:rsidR="00C60F42" w:rsidRPr="00C60F42" w:rsidRDefault="00C60F42" w:rsidP="002A0335">
            <w:pPr>
              <w:ind w:left="360"/>
              <w:rPr>
                <w:color w:val="1F497D"/>
                <w:sz w:val="26"/>
                <w:szCs w:val="26"/>
              </w:rPr>
            </w:pPr>
            <w:r w:rsidRPr="00C60F42">
              <w:rPr>
                <w:sz w:val="26"/>
                <w:szCs w:val="26"/>
              </w:rPr>
              <w:t>John F. Coleman, Jr., Vice Chairman</w:t>
            </w:r>
          </w:p>
        </w:tc>
        <w:tc>
          <w:tcPr>
            <w:tcW w:w="750" w:type="dxa"/>
          </w:tcPr>
          <w:p w:rsidR="00C60F42" w:rsidRPr="00CD6C97" w:rsidRDefault="00C60F42">
            <w:pPr>
              <w:rPr>
                <w:sz w:val="26"/>
              </w:rPr>
            </w:pPr>
          </w:p>
        </w:tc>
      </w:tr>
      <w:tr w:rsidR="00C60F42" w:rsidRPr="00CD6C97" w:rsidTr="002E022C">
        <w:trPr>
          <w:trHeight w:val="338"/>
        </w:trPr>
        <w:tc>
          <w:tcPr>
            <w:tcW w:w="7667" w:type="dxa"/>
            <w:gridSpan w:val="3"/>
          </w:tcPr>
          <w:p w:rsidR="00C60F42" w:rsidRPr="00C60F42" w:rsidRDefault="006A64BC" w:rsidP="002A0335">
            <w:pPr>
              <w:ind w:left="360"/>
              <w:rPr>
                <w:color w:val="1F497D"/>
                <w:sz w:val="26"/>
                <w:szCs w:val="26"/>
              </w:rPr>
            </w:pPr>
            <w:r w:rsidRPr="00C60F42">
              <w:rPr>
                <w:sz w:val="26"/>
                <w:szCs w:val="26"/>
              </w:rPr>
              <w:t>Wayne E. Gardner</w:t>
            </w:r>
          </w:p>
        </w:tc>
        <w:tc>
          <w:tcPr>
            <w:tcW w:w="750" w:type="dxa"/>
          </w:tcPr>
          <w:p w:rsidR="00C60F42" w:rsidRPr="00CD6C97" w:rsidRDefault="00C60F42">
            <w:pPr>
              <w:rPr>
                <w:sz w:val="26"/>
              </w:rPr>
            </w:pPr>
          </w:p>
        </w:tc>
      </w:tr>
      <w:tr w:rsidR="00C60F42" w:rsidRPr="00CD6C97" w:rsidTr="002E022C">
        <w:trPr>
          <w:trHeight w:val="355"/>
        </w:trPr>
        <w:tc>
          <w:tcPr>
            <w:tcW w:w="7667" w:type="dxa"/>
            <w:gridSpan w:val="3"/>
          </w:tcPr>
          <w:p w:rsidR="00C60F42" w:rsidRPr="00C60F42" w:rsidRDefault="006A64BC" w:rsidP="002A0335">
            <w:pPr>
              <w:ind w:left="360"/>
              <w:rPr>
                <w:sz w:val="26"/>
                <w:szCs w:val="26"/>
              </w:rPr>
            </w:pPr>
            <w:r w:rsidRPr="00C60F42">
              <w:rPr>
                <w:sz w:val="26"/>
                <w:szCs w:val="26"/>
              </w:rPr>
              <w:t>James H. Cawley</w:t>
            </w:r>
          </w:p>
        </w:tc>
        <w:tc>
          <w:tcPr>
            <w:tcW w:w="750" w:type="dxa"/>
          </w:tcPr>
          <w:p w:rsidR="00C60F42" w:rsidRPr="00CD6C97" w:rsidRDefault="00C60F42">
            <w:pPr>
              <w:rPr>
                <w:sz w:val="26"/>
              </w:rPr>
            </w:pPr>
          </w:p>
        </w:tc>
      </w:tr>
      <w:tr w:rsidR="00C60F42" w:rsidRPr="00C60F42" w:rsidTr="002E022C">
        <w:trPr>
          <w:gridAfter w:val="2"/>
          <w:wAfter w:w="1177" w:type="dxa"/>
          <w:trHeight w:val="355"/>
        </w:trPr>
        <w:tc>
          <w:tcPr>
            <w:tcW w:w="4871" w:type="dxa"/>
          </w:tcPr>
          <w:p w:rsidR="00C60F42" w:rsidRPr="00C60F42" w:rsidRDefault="006A64BC" w:rsidP="002A0335">
            <w:pPr>
              <w:ind w:left="360"/>
              <w:rPr>
                <w:sz w:val="26"/>
                <w:szCs w:val="26"/>
              </w:rPr>
            </w:pPr>
            <w:r>
              <w:rPr>
                <w:sz w:val="26"/>
                <w:szCs w:val="26"/>
              </w:rPr>
              <w:t>Pamela A. Witmer</w:t>
            </w:r>
          </w:p>
        </w:tc>
        <w:tc>
          <w:tcPr>
            <w:tcW w:w="2369" w:type="dxa"/>
          </w:tcPr>
          <w:p w:rsidR="00C60F42" w:rsidRPr="00C60F42" w:rsidRDefault="00C60F42" w:rsidP="002A0335">
            <w:pPr>
              <w:ind w:left="360"/>
              <w:rPr>
                <w:sz w:val="26"/>
                <w:szCs w:val="26"/>
              </w:rPr>
            </w:pPr>
          </w:p>
        </w:tc>
      </w:tr>
      <w:tr w:rsidR="00E441EC" w:rsidRPr="00CD6C97" w:rsidTr="002E022C">
        <w:trPr>
          <w:gridAfter w:val="2"/>
          <w:wAfter w:w="1177" w:type="dxa"/>
          <w:trHeight w:val="338"/>
        </w:trPr>
        <w:tc>
          <w:tcPr>
            <w:tcW w:w="4871" w:type="dxa"/>
          </w:tcPr>
          <w:p w:rsidR="00E441EC" w:rsidRPr="00CD6C97" w:rsidRDefault="00E441EC" w:rsidP="00F649E4">
            <w:pPr>
              <w:rPr>
                <w:sz w:val="26"/>
              </w:rPr>
            </w:pPr>
          </w:p>
        </w:tc>
        <w:tc>
          <w:tcPr>
            <w:tcW w:w="2369" w:type="dxa"/>
          </w:tcPr>
          <w:p w:rsidR="00E441EC" w:rsidRPr="00CD6C97" w:rsidRDefault="00E441EC" w:rsidP="00A82FC9">
            <w:pPr>
              <w:rPr>
                <w:sz w:val="26"/>
              </w:rPr>
            </w:pPr>
          </w:p>
        </w:tc>
      </w:tr>
    </w:tbl>
    <w:p w:rsidR="002E022C" w:rsidRPr="002E022C" w:rsidRDefault="002E022C" w:rsidP="002E022C">
      <w:pPr>
        <w:suppressAutoHyphens/>
        <w:rPr>
          <w:spacing w:val="-3"/>
          <w:sz w:val="26"/>
          <w:szCs w:val="26"/>
        </w:rPr>
      </w:pPr>
      <w:proofErr w:type="gramStart"/>
      <w:r w:rsidRPr="002E022C">
        <w:rPr>
          <w:spacing w:val="-3"/>
          <w:sz w:val="26"/>
          <w:szCs w:val="26"/>
        </w:rPr>
        <w:t>Petition of PPL Electric Utilities Corporation</w:t>
      </w:r>
      <w:r w:rsidR="002A0335">
        <w:rPr>
          <w:spacing w:val="-3"/>
          <w:sz w:val="26"/>
          <w:szCs w:val="26"/>
        </w:rPr>
        <w:tab/>
      </w:r>
      <w:r w:rsidR="002A0335">
        <w:rPr>
          <w:spacing w:val="-3"/>
          <w:sz w:val="26"/>
          <w:szCs w:val="26"/>
        </w:rPr>
        <w:tab/>
      </w:r>
      <w:r>
        <w:rPr>
          <w:spacing w:val="-3"/>
          <w:sz w:val="26"/>
          <w:szCs w:val="26"/>
        </w:rPr>
        <w:t>Docket No.</w:t>
      </w:r>
      <w:proofErr w:type="gramEnd"/>
      <w:r w:rsidR="002A0335">
        <w:rPr>
          <w:spacing w:val="-3"/>
          <w:sz w:val="26"/>
          <w:szCs w:val="26"/>
        </w:rPr>
        <w:t xml:space="preserve"> P-2011-2255163</w:t>
      </w:r>
    </w:p>
    <w:p w:rsidR="002E022C" w:rsidRPr="002E022C" w:rsidRDefault="002E022C" w:rsidP="002E022C">
      <w:pPr>
        <w:tabs>
          <w:tab w:val="left" w:pos="-720"/>
        </w:tabs>
        <w:suppressAutoHyphens/>
        <w:jc w:val="both"/>
        <w:rPr>
          <w:spacing w:val="-3"/>
          <w:sz w:val="26"/>
          <w:szCs w:val="26"/>
        </w:rPr>
      </w:pPr>
      <w:proofErr w:type="gramStart"/>
      <w:r w:rsidRPr="002E022C">
        <w:rPr>
          <w:spacing w:val="-3"/>
          <w:sz w:val="26"/>
          <w:szCs w:val="26"/>
        </w:rPr>
        <w:t>for</w:t>
      </w:r>
      <w:proofErr w:type="gramEnd"/>
      <w:r w:rsidRPr="002E022C">
        <w:rPr>
          <w:spacing w:val="-3"/>
          <w:sz w:val="26"/>
          <w:szCs w:val="26"/>
        </w:rPr>
        <w:t xml:space="preserve"> an Extension of Time to Conduct Its Next</w:t>
      </w:r>
      <w:r w:rsidRPr="002E022C">
        <w:rPr>
          <w:spacing w:val="-3"/>
          <w:sz w:val="26"/>
          <w:szCs w:val="26"/>
        </w:rPr>
        <w:tab/>
      </w:r>
      <w:r w:rsidRPr="002E022C">
        <w:rPr>
          <w:spacing w:val="-3"/>
          <w:sz w:val="26"/>
          <w:szCs w:val="26"/>
        </w:rPr>
        <w:tab/>
      </w:r>
    </w:p>
    <w:p w:rsidR="002E022C" w:rsidRDefault="002E022C" w:rsidP="002E022C">
      <w:pPr>
        <w:tabs>
          <w:tab w:val="left" w:pos="-720"/>
        </w:tabs>
        <w:suppressAutoHyphens/>
        <w:jc w:val="both"/>
        <w:rPr>
          <w:spacing w:val="-3"/>
          <w:sz w:val="26"/>
          <w:szCs w:val="26"/>
        </w:rPr>
      </w:pPr>
      <w:r w:rsidRPr="002E022C">
        <w:rPr>
          <w:spacing w:val="-3"/>
          <w:sz w:val="26"/>
          <w:szCs w:val="26"/>
        </w:rPr>
        <w:t>Customer Solicitation Regarding Release</w:t>
      </w:r>
    </w:p>
    <w:p w:rsidR="002A0335" w:rsidRDefault="002E022C" w:rsidP="002E022C">
      <w:pPr>
        <w:tabs>
          <w:tab w:val="left" w:pos="-720"/>
        </w:tabs>
        <w:suppressAutoHyphens/>
        <w:jc w:val="both"/>
        <w:rPr>
          <w:spacing w:val="-3"/>
          <w:sz w:val="26"/>
          <w:szCs w:val="26"/>
        </w:rPr>
      </w:pPr>
      <w:proofErr w:type="gramStart"/>
      <w:r w:rsidRPr="002E022C">
        <w:rPr>
          <w:spacing w:val="-3"/>
          <w:sz w:val="26"/>
          <w:szCs w:val="26"/>
        </w:rPr>
        <w:t>of</w:t>
      </w:r>
      <w:proofErr w:type="gramEnd"/>
      <w:r w:rsidRPr="002E022C">
        <w:rPr>
          <w:spacing w:val="-3"/>
          <w:sz w:val="26"/>
          <w:szCs w:val="26"/>
        </w:rPr>
        <w:t xml:space="preserve"> Customer Information to Electric</w:t>
      </w:r>
    </w:p>
    <w:p w:rsidR="002E022C" w:rsidRPr="002E022C" w:rsidRDefault="002E022C" w:rsidP="002E022C">
      <w:pPr>
        <w:tabs>
          <w:tab w:val="left" w:pos="-720"/>
        </w:tabs>
        <w:suppressAutoHyphens/>
        <w:jc w:val="both"/>
        <w:rPr>
          <w:spacing w:val="-3"/>
          <w:sz w:val="26"/>
          <w:szCs w:val="26"/>
        </w:rPr>
      </w:pPr>
      <w:r w:rsidRPr="002E022C">
        <w:rPr>
          <w:spacing w:val="-3"/>
          <w:sz w:val="26"/>
          <w:szCs w:val="26"/>
        </w:rPr>
        <w:t>Generation Suppliers</w:t>
      </w:r>
    </w:p>
    <w:p w:rsidR="00D850D4" w:rsidRDefault="00D850D4">
      <w:pPr>
        <w:jc w:val="center"/>
        <w:rPr>
          <w:b/>
          <w:sz w:val="26"/>
        </w:rPr>
      </w:pPr>
    </w:p>
    <w:p w:rsidR="004522A6" w:rsidRPr="00CD6C97" w:rsidRDefault="004522A6">
      <w:pPr>
        <w:jc w:val="center"/>
        <w:rPr>
          <w:b/>
          <w:sz w:val="26"/>
        </w:rPr>
      </w:pPr>
    </w:p>
    <w:p w:rsidR="00D850D4" w:rsidRPr="00E473C3" w:rsidRDefault="00E473C3" w:rsidP="00E473C3">
      <w:pPr>
        <w:spacing w:line="360" w:lineRule="auto"/>
        <w:jc w:val="center"/>
        <w:rPr>
          <w:sz w:val="26"/>
        </w:rPr>
      </w:pPr>
      <w:r>
        <w:rPr>
          <w:b/>
          <w:sz w:val="26"/>
        </w:rPr>
        <w:t>OPINION AND ORDER</w:t>
      </w:r>
    </w:p>
    <w:p w:rsidR="004522A6" w:rsidRDefault="004522A6" w:rsidP="004522A6">
      <w:pPr>
        <w:widowControl w:val="0"/>
        <w:spacing w:line="480" w:lineRule="auto"/>
        <w:rPr>
          <w:b/>
        </w:rPr>
      </w:pPr>
    </w:p>
    <w:p w:rsidR="004522A6" w:rsidRPr="00602978" w:rsidRDefault="004522A6" w:rsidP="002A0335">
      <w:pPr>
        <w:widowControl w:val="0"/>
        <w:spacing w:line="360" w:lineRule="auto"/>
      </w:pPr>
      <w:r w:rsidRPr="00602978">
        <w:rPr>
          <w:b/>
        </w:rPr>
        <w:t>BY THE COMMISSION:</w:t>
      </w:r>
    </w:p>
    <w:p w:rsidR="00E96680" w:rsidRDefault="004522A6">
      <w:pPr>
        <w:spacing w:line="360" w:lineRule="auto"/>
        <w:rPr>
          <w:sz w:val="26"/>
        </w:rPr>
      </w:pPr>
      <w:r>
        <w:rPr>
          <w:sz w:val="26"/>
        </w:rPr>
        <w:tab/>
        <w:t xml:space="preserve">Before us is the </w:t>
      </w:r>
      <w:r w:rsidRPr="004522A6">
        <w:rPr>
          <w:sz w:val="26"/>
        </w:rPr>
        <w:t xml:space="preserve">Petition of PPL Electric Utilities Corporation </w:t>
      </w:r>
      <w:r w:rsidR="009A55E7">
        <w:rPr>
          <w:sz w:val="26"/>
        </w:rPr>
        <w:t>(</w:t>
      </w:r>
      <w:r w:rsidR="00915899">
        <w:rPr>
          <w:sz w:val="26"/>
        </w:rPr>
        <w:t>PPL or Company</w:t>
      </w:r>
      <w:r w:rsidR="009A55E7">
        <w:rPr>
          <w:sz w:val="26"/>
        </w:rPr>
        <w:t xml:space="preserve">) </w:t>
      </w:r>
      <w:r w:rsidRPr="004522A6">
        <w:rPr>
          <w:sz w:val="26"/>
        </w:rPr>
        <w:t>for an Extension of Time to Conduct Its Next Customer Solicitation Regarding Release of Customer Information to Electric Generation Suppliers</w:t>
      </w:r>
      <w:r w:rsidR="009A55E7">
        <w:rPr>
          <w:sz w:val="26"/>
        </w:rPr>
        <w:t xml:space="preserve"> (Petition).  </w:t>
      </w:r>
      <w:r w:rsidR="008052A5">
        <w:rPr>
          <w:sz w:val="26"/>
        </w:rPr>
        <w:t xml:space="preserve">As described in more detail below, a number of parties have filed answers which support the Petition.  For the </w:t>
      </w:r>
      <w:r w:rsidR="00915899">
        <w:rPr>
          <w:sz w:val="26"/>
        </w:rPr>
        <w:t>reasons</w:t>
      </w:r>
      <w:r w:rsidR="008052A5">
        <w:rPr>
          <w:sz w:val="26"/>
        </w:rPr>
        <w:t xml:space="preserve"> set forth below, we shall grant the Petition.</w:t>
      </w:r>
    </w:p>
    <w:p w:rsidR="008052A5" w:rsidRDefault="008052A5">
      <w:pPr>
        <w:spacing w:line="360" w:lineRule="auto"/>
        <w:rPr>
          <w:sz w:val="26"/>
        </w:rPr>
      </w:pPr>
    </w:p>
    <w:p w:rsidR="008052A5" w:rsidRPr="008052A5" w:rsidRDefault="008052A5">
      <w:pPr>
        <w:spacing w:line="360" w:lineRule="auto"/>
        <w:rPr>
          <w:b/>
          <w:sz w:val="26"/>
        </w:rPr>
      </w:pPr>
      <w:r w:rsidRPr="008052A5">
        <w:rPr>
          <w:b/>
          <w:sz w:val="26"/>
        </w:rPr>
        <w:t>PPL’s Petition</w:t>
      </w:r>
    </w:p>
    <w:p w:rsidR="00BC3CAD" w:rsidRDefault="00BC3CAD" w:rsidP="00BC3CAD">
      <w:pPr>
        <w:spacing w:line="360" w:lineRule="auto"/>
        <w:rPr>
          <w:sz w:val="26"/>
        </w:rPr>
      </w:pPr>
      <w:r w:rsidRPr="004B2C39">
        <w:rPr>
          <w:sz w:val="26"/>
        </w:rPr>
        <w:tab/>
        <w:t xml:space="preserve">PPL filed </w:t>
      </w:r>
      <w:r w:rsidR="00C363BA" w:rsidRPr="004B2C39">
        <w:rPr>
          <w:sz w:val="26"/>
        </w:rPr>
        <w:t>its</w:t>
      </w:r>
      <w:r w:rsidRPr="004B2C39">
        <w:rPr>
          <w:sz w:val="26"/>
        </w:rPr>
        <w:t xml:space="preserve"> Petition </w:t>
      </w:r>
      <w:r w:rsidR="009C7F59" w:rsidRPr="004B2C39">
        <w:rPr>
          <w:sz w:val="26"/>
        </w:rPr>
        <w:t xml:space="preserve">on August 2, 2011, </w:t>
      </w:r>
      <w:r w:rsidRPr="004B2C39">
        <w:rPr>
          <w:sz w:val="26"/>
        </w:rPr>
        <w:t xml:space="preserve">seeking an extension of time in which to conduct its next solicitation of customers with regard to the release of individual customer information to Electric Generation Suppliers (EGSs).  </w:t>
      </w:r>
      <w:r w:rsidR="00230626" w:rsidRPr="004B2C39">
        <w:rPr>
          <w:sz w:val="26"/>
        </w:rPr>
        <w:t xml:space="preserve">Petition, p. 1. </w:t>
      </w:r>
      <w:r w:rsidR="00264D9C">
        <w:rPr>
          <w:sz w:val="26"/>
        </w:rPr>
        <w:t xml:space="preserve"> </w:t>
      </w:r>
      <w:r w:rsidR="00747FD5" w:rsidRPr="004B2C39">
        <w:rPr>
          <w:sz w:val="26"/>
        </w:rPr>
        <w:t>PPL’s obligation</w:t>
      </w:r>
      <w:r w:rsidR="008266CD" w:rsidRPr="004B2C39">
        <w:rPr>
          <w:sz w:val="26"/>
        </w:rPr>
        <w:t xml:space="preserve"> to solicit its customers as to whether they consented to the release of data on their accounts to EGSs grew out of the Commission’s investigation </w:t>
      </w:r>
      <w:r w:rsidR="00006D9B" w:rsidRPr="004B2C39">
        <w:rPr>
          <w:sz w:val="26"/>
        </w:rPr>
        <w:t xml:space="preserve">at Docket No. </w:t>
      </w:r>
      <w:proofErr w:type="gramStart"/>
      <w:r w:rsidR="00006D9B" w:rsidRPr="004B2C39">
        <w:rPr>
          <w:sz w:val="26"/>
        </w:rPr>
        <w:lastRenderedPageBreak/>
        <w:t>M</w:t>
      </w:r>
      <w:r w:rsidR="00E90890">
        <w:rPr>
          <w:sz w:val="26"/>
        </w:rPr>
        <w:noBreakHyphen/>
      </w:r>
      <w:r w:rsidR="00006D9B" w:rsidRPr="004B2C39">
        <w:rPr>
          <w:sz w:val="26"/>
        </w:rPr>
        <w:t>2009-2104271</w:t>
      </w:r>
      <w:r w:rsidR="008266CD" w:rsidRPr="004B2C39">
        <w:rPr>
          <w:sz w:val="26"/>
        </w:rPr>
        <w:t xml:space="preserve">into the retail market for electric power within PPL’s service territory prior to the expiration of </w:t>
      </w:r>
      <w:r w:rsidR="00006D9B" w:rsidRPr="004B2C39">
        <w:rPr>
          <w:sz w:val="26"/>
        </w:rPr>
        <w:t>its</w:t>
      </w:r>
      <w:r w:rsidR="008266CD" w:rsidRPr="004B2C39">
        <w:rPr>
          <w:sz w:val="26"/>
        </w:rPr>
        <w:t xml:space="preserve"> generation rate cap.</w:t>
      </w:r>
      <w:proofErr w:type="gramEnd"/>
      <w:r w:rsidR="008266CD" w:rsidRPr="004B2C39">
        <w:rPr>
          <w:sz w:val="26"/>
        </w:rPr>
        <w:t xml:space="preserve">  Petition, p</w:t>
      </w:r>
      <w:r w:rsidR="00006D9B" w:rsidRPr="004B2C39">
        <w:rPr>
          <w:sz w:val="26"/>
        </w:rPr>
        <w:t>p</w:t>
      </w:r>
      <w:r w:rsidR="008266CD" w:rsidRPr="004B2C39">
        <w:rPr>
          <w:sz w:val="26"/>
        </w:rPr>
        <w:t>. 2</w:t>
      </w:r>
      <w:r w:rsidR="00006D9B" w:rsidRPr="004B2C39">
        <w:rPr>
          <w:sz w:val="26"/>
        </w:rPr>
        <w:t>-</w:t>
      </w:r>
      <w:r w:rsidR="001B63F6">
        <w:rPr>
          <w:sz w:val="26"/>
        </w:rPr>
        <w:t>4</w:t>
      </w:r>
      <w:r w:rsidR="00006D9B" w:rsidRPr="004B2C39">
        <w:rPr>
          <w:sz w:val="26"/>
        </w:rPr>
        <w:t>.</w:t>
      </w:r>
      <w:r w:rsidR="00747FD5" w:rsidRPr="004B2C39">
        <w:rPr>
          <w:sz w:val="26"/>
        </w:rPr>
        <w:t xml:space="preserve"> </w:t>
      </w:r>
      <w:r w:rsidR="00006D9B" w:rsidRPr="004B2C39">
        <w:rPr>
          <w:sz w:val="26"/>
        </w:rPr>
        <w:t xml:space="preserve">  The Company </w:t>
      </w:r>
      <w:r w:rsidRPr="004B2C39">
        <w:rPr>
          <w:sz w:val="26"/>
        </w:rPr>
        <w:t xml:space="preserve">states that it is obligated to conduct a solicitation of its customers regarding release of information every two years as a result of the Commission’s order in </w:t>
      </w:r>
      <w:r w:rsidR="00006D9B" w:rsidRPr="004B2C39">
        <w:rPr>
          <w:sz w:val="26"/>
        </w:rPr>
        <w:t>that proceeding.</w:t>
      </w:r>
      <w:r w:rsidR="00006D9B" w:rsidRPr="004B2C39">
        <w:rPr>
          <w:rStyle w:val="FootnoteReference"/>
          <w:sz w:val="26"/>
        </w:rPr>
        <w:footnoteReference w:id="1"/>
      </w:r>
      <w:r w:rsidR="00006D9B" w:rsidRPr="004B2C39">
        <w:rPr>
          <w:sz w:val="26"/>
        </w:rPr>
        <w:t xml:space="preserve">  </w:t>
      </w:r>
      <w:r w:rsidR="00006D9B" w:rsidRPr="004B2C39">
        <w:rPr>
          <w:i/>
          <w:sz w:val="26"/>
        </w:rPr>
        <w:t>Id.</w:t>
      </w:r>
      <w:r w:rsidRPr="004B2C39">
        <w:rPr>
          <w:sz w:val="26"/>
        </w:rPr>
        <w:t xml:space="preserve">  The Company says it last conducted a solicitation of its customers in September 2009 and, therefore, it must again solicit its customers in September 2011.  </w:t>
      </w:r>
      <w:r w:rsidR="00915899" w:rsidRPr="004B2C39">
        <w:rPr>
          <w:i/>
          <w:sz w:val="26"/>
        </w:rPr>
        <w:t>Id.</w:t>
      </w:r>
      <w:r w:rsidRPr="004B2C39">
        <w:rPr>
          <w:sz w:val="26"/>
        </w:rPr>
        <w:t xml:space="preserve">  </w:t>
      </w:r>
      <w:r w:rsidR="00236A3F">
        <w:rPr>
          <w:sz w:val="26"/>
        </w:rPr>
        <w:t xml:space="preserve">Moreover, </w:t>
      </w:r>
      <w:r w:rsidR="00732809">
        <w:rPr>
          <w:sz w:val="26"/>
        </w:rPr>
        <w:t xml:space="preserve">in a subsequent order the Commission specified </w:t>
      </w:r>
      <w:r w:rsidR="006D7386">
        <w:rPr>
          <w:sz w:val="26"/>
        </w:rPr>
        <w:t xml:space="preserve">the specific customer data elements to </w:t>
      </w:r>
      <w:r w:rsidR="002525D0">
        <w:rPr>
          <w:sz w:val="26"/>
        </w:rPr>
        <w:t xml:space="preserve">be </w:t>
      </w:r>
      <w:r w:rsidR="006D7386">
        <w:rPr>
          <w:sz w:val="26"/>
        </w:rPr>
        <w:t>provided to the EGSs.</w:t>
      </w:r>
      <w:r w:rsidR="006D7386">
        <w:rPr>
          <w:rStyle w:val="FootnoteReference"/>
          <w:sz w:val="26"/>
        </w:rPr>
        <w:footnoteReference w:id="2"/>
      </w:r>
      <w:r w:rsidR="006D7386">
        <w:rPr>
          <w:sz w:val="26"/>
        </w:rPr>
        <w:t xml:space="preserve">  </w:t>
      </w:r>
      <w:r w:rsidR="006D7386">
        <w:rPr>
          <w:i/>
          <w:sz w:val="26"/>
        </w:rPr>
        <w:t>Id.</w:t>
      </w:r>
    </w:p>
    <w:p w:rsidR="006D7386" w:rsidRDefault="006D7386" w:rsidP="00BC3CAD">
      <w:pPr>
        <w:spacing w:line="360" w:lineRule="auto"/>
        <w:rPr>
          <w:sz w:val="26"/>
        </w:rPr>
      </w:pPr>
    </w:p>
    <w:p w:rsidR="006D7386" w:rsidRPr="005D684C" w:rsidRDefault="006D7386" w:rsidP="00BC3CAD">
      <w:pPr>
        <w:spacing w:line="360" w:lineRule="auto"/>
        <w:rPr>
          <w:sz w:val="26"/>
        </w:rPr>
      </w:pPr>
      <w:r>
        <w:rPr>
          <w:sz w:val="26"/>
        </w:rPr>
        <w:tab/>
      </w:r>
      <w:r w:rsidR="00F06895">
        <w:rPr>
          <w:sz w:val="26"/>
        </w:rPr>
        <w:t xml:space="preserve">PPL’s concern </w:t>
      </w:r>
      <w:r w:rsidR="002525D0">
        <w:rPr>
          <w:sz w:val="26"/>
        </w:rPr>
        <w:t>arises</w:t>
      </w:r>
      <w:r w:rsidR="00F06895">
        <w:rPr>
          <w:sz w:val="26"/>
        </w:rPr>
        <w:t xml:space="preserve"> from recent developments concerning a separate proceeding which commenced last year when the PUC </w:t>
      </w:r>
      <w:r w:rsidR="002525D0">
        <w:rPr>
          <w:sz w:val="26"/>
        </w:rPr>
        <w:t>issue</w:t>
      </w:r>
      <w:r w:rsidR="00275EFE">
        <w:rPr>
          <w:sz w:val="26"/>
        </w:rPr>
        <w:t>d</w:t>
      </w:r>
      <w:r w:rsidR="002525D0">
        <w:rPr>
          <w:sz w:val="26"/>
        </w:rPr>
        <w:t xml:space="preserve"> an order which established guidelines on a generic basis for customer data elements to be given to the EGSs</w:t>
      </w:r>
      <w:r w:rsidR="005D684C">
        <w:rPr>
          <w:sz w:val="26"/>
        </w:rPr>
        <w:t xml:space="preserve"> via </w:t>
      </w:r>
      <w:proofErr w:type="gramStart"/>
      <w:r w:rsidR="005D684C">
        <w:rPr>
          <w:sz w:val="26"/>
        </w:rPr>
        <w:t>a</w:t>
      </w:r>
      <w:proofErr w:type="gramEnd"/>
      <w:r w:rsidR="005D684C">
        <w:rPr>
          <w:sz w:val="26"/>
        </w:rPr>
        <w:t xml:space="preserve"> electric distribution company’s (EDC’s) Eligible Customer List (ECL)</w:t>
      </w:r>
      <w:r w:rsidR="002525D0">
        <w:rPr>
          <w:sz w:val="26"/>
        </w:rPr>
        <w:t>.</w:t>
      </w:r>
      <w:r w:rsidR="000F5439">
        <w:rPr>
          <w:rStyle w:val="FootnoteReference"/>
          <w:sz w:val="26"/>
        </w:rPr>
        <w:footnoteReference w:id="3"/>
      </w:r>
      <w:r w:rsidR="002525D0">
        <w:rPr>
          <w:sz w:val="26"/>
        </w:rPr>
        <w:t xml:space="preserve">  </w:t>
      </w:r>
      <w:r w:rsidR="00B97AC3">
        <w:rPr>
          <w:sz w:val="26"/>
        </w:rPr>
        <w:t xml:space="preserve">Following an appeal of the First ECL Order, Commonwealth Court stayed the order and, at the request of the Commission, subsequently returned jurisdiction to the PUC so that </w:t>
      </w:r>
      <w:r w:rsidR="004242E4">
        <w:rPr>
          <w:sz w:val="26"/>
        </w:rPr>
        <w:t>we</w:t>
      </w:r>
      <w:r w:rsidR="00B97AC3">
        <w:rPr>
          <w:sz w:val="26"/>
        </w:rPr>
        <w:t xml:space="preserve"> might reconsider </w:t>
      </w:r>
      <w:r w:rsidR="004242E4">
        <w:rPr>
          <w:sz w:val="26"/>
        </w:rPr>
        <w:t>our</w:t>
      </w:r>
      <w:r w:rsidR="00B97AC3">
        <w:rPr>
          <w:sz w:val="26"/>
        </w:rPr>
        <w:t xml:space="preserve"> decision in that order.</w:t>
      </w:r>
      <w:r w:rsidR="001B63F6">
        <w:rPr>
          <w:rStyle w:val="FootnoteReference"/>
          <w:sz w:val="26"/>
        </w:rPr>
        <w:footnoteReference w:id="4"/>
      </w:r>
      <w:r w:rsidR="00B97AC3">
        <w:rPr>
          <w:sz w:val="26"/>
        </w:rPr>
        <w:t xml:space="preserve">  </w:t>
      </w:r>
      <w:r w:rsidR="001B63F6">
        <w:rPr>
          <w:sz w:val="26"/>
        </w:rPr>
        <w:t xml:space="preserve">Subsequently, the Commission issued </w:t>
      </w:r>
      <w:r w:rsidR="00E21BDF">
        <w:rPr>
          <w:sz w:val="26"/>
        </w:rPr>
        <w:t xml:space="preserve">an order which announced its intent to reconsider the First ECL Order and to apply the interim guidelines on a statewide basis to all </w:t>
      </w:r>
      <w:r w:rsidR="00EC27DB">
        <w:rPr>
          <w:sz w:val="26"/>
        </w:rPr>
        <w:t>EDCs</w:t>
      </w:r>
      <w:r w:rsidR="00E21BDF">
        <w:rPr>
          <w:sz w:val="26"/>
        </w:rPr>
        <w:t>, including PPL.</w:t>
      </w:r>
      <w:r w:rsidR="00E21BDF">
        <w:rPr>
          <w:rStyle w:val="FootnoteReference"/>
          <w:sz w:val="26"/>
        </w:rPr>
        <w:footnoteReference w:id="5"/>
      </w:r>
      <w:r w:rsidR="00DA5698">
        <w:rPr>
          <w:sz w:val="26"/>
        </w:rPr>
        <w:t xml:space="preserve">  </w:t>
      </w:r>
      <w:r w:rsidR="00DA5698">
        <w:rPr>
          <w:i/>
          <w:sz w:val="26"/>
        </w:rPr>
        <w:t>Id.</w:t>
      </w:r>
      <w:r w:rsidR="005D684C">
        <w:rPr>
          <w:i/>
          <w:sz w:val="26"/>
        </w:rPr>
        <w:t xml:space="preserve">  </w:t>
      </w:r>
      <w:r w:rsidR="005D684C">
        <w:rPr>
          <w:sz w:val="26"/>
        </w:rPr>
        <w:t xml:space="preserve">Comments on the </w:t>
      </w:r>
      <w:r w:rsidR="004C01A1">
        <w:rPr>
          <w:sz w:val="26"/>
        </w:rPr>
        <w:t xml:space="preserve">Second </w:t>
      </w:r>
      <w:r w:rsidR="005D684C">
        <w:rPr>
          <w:sz w:val="26"/>
        </w:rPr>
        <w:t xml:space="preserve">ECL </w:t>
      </w:r>
      <w:r w:rsidR="004C01A1">
        <w:rPr>
          <w:sz w:val="26"/>
        </w:rPr>
        <w:t>Order were filed with the Commission in July 2011.</w:t>
      </w:r>
    </w:p>
    <w:p w:rsidR="004A4787" w:rsidRDefault="004A4787" w:rsidP="00BC3CAD">
      <w:pPr>
        <w:spacing w:line="360" w:lineRule="auto"/>
        <w:rPr>
          <w:sz w:val="26"/>
        </w:rPr>
      </w:pPr>
    </w:p>
    <w:p w:rsidR="00EA6D23" w:rsidRDefault="004C01A1" w:rsidP="00BC3CAD">
      <w:pPr>
        <w:spacing w:line="360" w:lineRule="auto"/>
        <w:rPr>
          <w:sz w:val="26"/>
        </w:rPr>
      </w:pPr>
      <w:r>
        <w:rPr>
          <w:sz w:val="26"/>
        </w:rPr>
        <w:tab/>
      </w:r>
      <w:r w:rsidR="00C955B3">
        <w:rPr>
          <w:sz w:val="26"/>
        </w:rPr>
        <w:t xml:space="preserve">PPL states that it will be unable to provide its customers with the appropriate range of choices regarding the release of their personal information if it is required to do </w:t>
      </w:r>
      <w:r w:rsidR="00C955B3">
        <w:rPr>
          <w:sz w:val="26"/>
        </w:rPr>
        <w:lastRenderedPageBreak/>
        <w:t xml:space="preserve">so before the Commission acts on its reconsideration of the ECL.  Petition, pp. 4-5.  It is highly likely that, if it goes ahead with its required </w:t>
      </w:r>
      <w:r w:rsidR="005B5333">
        <w:rPr>
          <w:sz w:val="26"/>
        </w:rPr>
        <w:t>solicitation of</w:t>
      </w:r>
      <w:r w:rsidR="00C955B3">
        <w:rPr>
          <w:sz w:val="26"/>
        </w:rPr>
        <w:t xml:space="preserve"> its customers in September, it will have to make a second solicitation following the PUC’s order regarding the ECL.</w:t>
      </w:r>
      <w:r w:rsidR="002728FF">
        <w:rPr>
          <w:sz w:val="26"/>
        </w:rPr>
        <w:t xml:space="preserve">  </w:t>
      </w:r>
      <w:r w:rsidR="002728FF">
        <w:rPr>
          <w:i/>
          <w:sz w:val="26"/>
        </w:rPr>
        <w:t>Id.</w:t>
      </w:r>
      <w:r w:rsidR="002728FF">
        <w:rPr>
          <w:sz w:val="26"/>
        </w:rPr>
        <w:t xml:space="preserve">  </w:t>
      </w:r>
      <w:r w:rsidR="0026622E">
        <w:rPr>
          <w:sz w:val="26"/>
        </w:rPr>
        <w:t xml:space="preserve">This process would be confusing to the customers and expensive as well, the Company argues.  Each time it makes such a solicitation of its customer base, it costs PPL approximately $800,000.  </w:t>
      </w:r>
      <w:r w:rsidR="0026622E">
        <w:rPr>
          <w:i/>
          <w:sz w:val="26"/>
        </w:rPr>
        <w:t>Id.</w:t>
      </w:r>
      <w:r w:rsidR="0026622E">
        <w:rPr>
          <w:sz w:val="26"/>
        </w:rPr>
        <w:t xml:space="preserve">  </w:t>
      </w:r>
    </w:p>
    <w:p w:rsidR="00EA6D23" w:rsidRDefault="00EA6D23" w:rsidP="00BC3CAD">
      <w:pPr>
        <w:spacing w:line="360" w:lineRule="auto"/>
        <w:rPr>
          <w:sz w:val="26"/>
        </w:rPr>
      </w:pPr>
    </w:p>
    <w:p w:rsidR="004A4787" w:rsidRDefault="00EA6D23" w:rsidP="00BC3CAD">
      <w:pPr>
        <w:spacing w:line="360" w:lineRule="auto"/>
        <w:rPr>
          <w:sz w:val="26"/>
        </w:rPr>
      </w:pPr>
      <w:r>
        <w:rPr>
          <w:sz w:val="26"/>
        </w:rPr>
        <w:tab/>
      </w:r>
      <w:r w:rsidR="0026622E">
        <w:rPr>
          <w:sz w:val="26"/>
        </w:rPr>
        <w:t>PPL also states that it will take it 120 days to reprogram its computers</w:t>
      </w:r>
      <w:r>
        <w:rPr>
          <w:sz w:val="26"/>
        </w:rPr>
        <w:t xml:space="preserve"> in order to comply with a change in ECL before it can solicit its customers.  For those reasons, and because of the </w:t>
      </w:r>
      <w:r w:rsidR="00C64E3A">
        <w:rPr>
          <w:sz w:val="26"/>
        </w:rPr>
        <w:t xml:space="preserve">proximity </w:t>
      </w:r>
      <w:r w:rsidR="00864043">
        <w:rPr>
          <w:sz w:val="26"/>
        </w:rPr>
        <w:t xml:space="preserve">of its September customer solicitation, PPL asks </w:t>
      </w:r>
      <w:r w:rsidR="004242E4">
        <w:rPr>
          <w:sz w:val="26"/>
        </w:rPr>
        <w:t xml:space="preserve">us </w:t>
      </w:r>
      <w:r w:rsidR="00864043">
        <w:rPr>
          <w:sz w:val="26"/>
        </w:rPr>
        <w:t xml:space="preserve">to approve its Petition and to do </w:t>
      </w:r>
      <w:proofErr w:type="gramStart"/>
      <w:r w:rsidR="00864043">
        <w:rPr>
          <w:sz w:val="26"/>
        </w:rPr>
        <w:t>so on</w:t>
      </w:r>
      <w:proofErr w:type="gramEnd"/>
      <w:r w:rsidR="00864043">
        <w:rPr>
          <w:sz w:val="26"/>
        </w:rPr>
        <w:t xml:space="preserve"> an expedited basis.  </w:t>
      </w:r>
    </w:p>
    <w:p w:rsidR="00864043" w:rsidRDefault="00864043" w:rsidP="00BC3CAD">
      <w:pPr>
        <w:spacing w:line="360" w:lineRule="auto"/>
        <w:rPr>
          <w:sz w:val="26"/>
        </w:rPr>
      </w:pPr>
    </w:p>
    <w:p w:rsidR="0040662A" w:rsidRPr="00195218" w:rsidRDefault="0040662A" w:rsidP="0040662A">
      <w:pPr>
        <w:spacing w:line="360" w:lineRule="auto"/>
        <w:rPr>
          <w:sz w:val="26"/>
        </w:rPr>
      </w:pPr>
      <w:r>
        <w:rPr>
          <w:b/>
          <w:sz w:val="26"/>
        </w:rPr>
        <w:t>Answers in Support</w:t>
      </w:r>
    </w:p>
    <w:p w:rsidR="00AB26D5" w:rsidRDefault="00864043" w:rsidP="00BC3CAD">
      <w:pPr>
        <w:spacing w:line="360" w:lineRule="auto"/>
        <w:rPr>
          <w:sz w:val="26"/>
        </w:rPr>
      </w:pPr>
      <w:r>
        <w:rPr>
          <w:sz w:val="26"/>
        </w:rPr>
        <w:tab/>
        <w:t xml:space="preserve">In response to this request, we issued a Secretarial Letter on August 8, 2011, which set August 16, 2011, as the deadline for answers or comments on the Petition and which directed </w:t>
      </w:r>
      <w:r w:rsidR="00643A33">
        <w:rPr>
          <w:sz w:val="26"/>
        </w:rPr>
        <w:t xml:space="preserve">the Company to serve copies of its Petition upon all parties to the PPL retail markets proceeding at </w:t>
      </w:r>
      <w:r w:rsidR="00643A33" w:rsidRPr="00643A33">
        <w:rPr>
          <w:sz w:val="26"/>
        </w:rPr>
        <w:t xml:space="preserve">Docket No. </w:t>
      </w:r>
      <w:proofErr w:type="gramStart"/>
      <w:r w:rsidR="00643A33" w:rsidRPr="00643A33">
        <w:rPr>
          <w:sz w:val="26"/>
        </w:rPr>
        <w:t>M-2009-2104271</w:t>
      </w:r>
      <w:r w:rsidR="00643A33">
        <w:rPr>
          <w:sz w:val="26"/>
        </w:rPr>
        <w:t>.</w:t>
      </w:r>
      <w:proofErr w:type="gramEnd"/>
      <w:r w:rsidR="00643A33">
        <w:rPr>
          <w:sz w:val="26"/>
        </w:rPr>
        <w:t xml:space="preserve">  PPL filed a certificate of service on August 9, 2011, indicating that it had served those parties.  </w:t>
      </w:r>
    </w:p>
    <w:p w:rsidR="0040662A" w:rsidRDefault="0040662A" w:rsidP="00BC3CAD">
      <w:pPr>
        <w:spacing w:line="360" w:lineRule="auto"/>
        <w:rPr>
          <w:sz w:val="26"/>
        </w:rPr>
      </w:pPr>
    </w:p>
    <w:p w:rsidR="00AB26D5" w:rsidRDefault="009C7F59" w:rsidP="00BC3CAD">
      <w:pPr>
        <w:spacing w:line="360" w:lineRule="auto"/>
        <w:rPr>
          <w:sz w:val="26"/>
        </w:rPr>
      </w:pPr>
      <w:r w:rsidRPr="00195218">
        <w:rPr>
          <w:sz w:val="26"/>
        </w:rPr>
        <w:tab/>
        <w:t xml:space="preserve">The Office of Consumer Advocate (OCA), </w:t>
      </w:r>
      <w:r w:rsidR="00195218" w:rsidRPr="00195218">
        <w:rPr>
          <w:sz w:val="26"/>
        </w:rPr>
        <w:t>Dominion Retail, Inc. (Dominion), and the Retail Energy Supply Association (RESA)</w:t>
      </w:r>
      <w:r w:rsidR="00D96F0E">
        <w:rPr>
          <w:sz w:val="26"/>
        </w:rPr>
        <w:t>,</w:t>
      </w:r>
      <w:r w:rsidR="00195218">
        <w:rPr>
          <w:sz w:val="26"/>
        </w:rPr>
        <w:t xml:space="preserve"> filed answers or comments in support of PPL’s Petition.  </w:t>
      </w:r>
      <w:r w:rsidR="00BA6D88">
        <w:rPr>
          <w:sz w:val="26"/>
        </w:rPr>
        <w:t xml:space="preserve">These parties all agree that it would be costly and inefficient for PPL to conduct two solicitations of its customers.  RESA also points out that the Commission’s stated goal of unifying the procedures </w:t>
      </w:r>
      <w:r w:rsidR="004242E4">
        <w:rPr>
          <w:sz w:val="26"/>
        </w:rPr>
        <w:t>followed</w:t>
      </w:r>
      <w:r w:rsidR="00BA6D88">
        <w:rPr>
          <w:sz w:val="26"/>
        </w:rPr>
        <w:t xml:space="preserve"> by the various EDCs would be served by letting PPL wait until it could follow the same procedures as other companies.  RESA Letter, p. 2.</w:t>
      </w:r>
    </w:p>
    <w:p w:rsidR="00E90890" w:rsidRDefault="00E90890" w:rsidP="00BC3CAD">
      <w:pPr>
        <w:spacing w:line="360" w:lineRule="auto"/>
        <w:rPr>
          <w:sz w:val="26"/>
        </w:rPr>
      </w:pPr>
    </w:p>
    <w:p w:rsidR="00E90890" w:rsidRDefault="00E90890" w:rsidP="00BC3CAD">
      <w:pPr>
        <w:spacing w:line="360" w:lineRule="auto"/>
        <w:rPr>
          <w:sz w:val="26"/>
        </w:rPr>
      </w:pPr>
    </w:p>
    <w:p w:rsidR="00E90890" w:rsidRDefault="00E90890" w:rsidP="00BC3CAD">
      <w:pPr>
        <w:spacing w:line="360" w:lineRule="auto"/>
        <w:rPr>
          <w:sz w:val="26"/>
        </w:rPr>
      </w:pPr>
    </w:p>
    <w:p w:rsidR="00D96F0E" w:rsidRPr="00846918" w:rsidRDefault="00D96F0E" w:rsidP="00BC3CAD">
      <w:pPr>
        <w:spacing w:line="360" w:lineRule="auto"/>
        <w:rPr>
          <w:sz w:val="26"/>
        </w:rPr>
      </w:pPr>
      <w:r>
        <w:rPr>
          <w:b/>
          <w:sz w:val="26"/>
        </w:rPr>
        <w:lastRenderedPageBreak/>
        <w:t>Discussion</w:t>
      </w:r>
    </w:p>
    <w:p w:rsidR="00FA40BB" w:rsidRDefault="005337BC" w:rsidP="0028424A">
      <w:pPr>
        <w:spacing w:line="360" w:lineRule="auto"/>
        <w:rPr>
          <w:b/>
          <w:sz w:val="26"/>
          <w:szCs w:val="26"/>
        </w:rPr>
      </w:pPr>
      <w:r>
        <w:rPr>
          <w:sz w:val="26"/>
        </w:rPr>
        <w:tab/>
        <w:t xml:space="preserve">The </w:t>
      </w:r>
      <w:r w:rsidR="00C72234">
        <w:rPr>
          <w:sz w:val="26"/>
        </w:rPr>
        <w:t>procedures by which EDCs</w:t>
      </w:r>
      <w:r w:rsidR="006A4B7F">
        <w:rPr>
          <w:sz w:val="26"/>
        </w:rPr>
        <w:t xml:space="preserve"> solicit customers regarding the release of cu</w:t>
      </w:r>
      <w:r w:rsidR="00FB1A7E">
        <w:rPr>
          <w:sz w:val="26"/>
        </w:rPr>
        <w:t>stomer account information</w:t>
      </w:r>
      <w:r w:rsidR="00C72234">
        <w:rPr>
          <w:sz w:val="26"/>
        </w:rPr>
        <w:t xml:space="preserve"> </w:t>
      </w:r>
      <w:r>
        <w:rPr>
          <w:sz w:val="26"/>
        </w:rPr>
        <w:t>should be</w:t>
      </w:r>
      <w:r w:rsidR="00C72234">
        <w:rPr>
          <w:sz w:val="26"/>
        </w:rPr>
        <w:t xml:space="preserve"> simple and easy for customers to understand.  </w:t>
      </w:r>
      <w:r>
        <w:rPr>
          <w:sz w:val="26"/>
        </w:rPr>
        <w:t xml:space="preserve">Moreover, the procedures should be uniform across the Commonwealth to the extent practical.  </w:t>
      </w:r>
      <w:r w:rsidR="00F33057">
        <w:rPr>
          <w:sz w:val="26"/>
        </w:rPr>
        <w:t>In that regard, w</w:t>
      </w:r>
      <w:r w:rsidR="0028424A">
        <w:rPr>
          <w:sz w:val="26"/>
        </w:rPr>
        <w:t xml:space="preserve">e find that PPL’s request makes sense in that it will avoid customer confusion.  </w:t>
      </w:r>
      <w:r>
        <w:rPr>
          <w:sz w:val="26"/>
        </w:rPr>
        <w:t>Also</w:t>
      </w:r>
      <w:r w:rsidR="0028424A">
        <w:rPr>
          <w:sz w:val="26"/>
        </w:rPr>
        <w:t xml:space="preserve">, it will be less costly for the Company by avoiding the </w:t>
      </w:r>
      <w:r w:rsidR="00C72234">
        <w:rPr>
          <w:sz w:val="26"/>
        </w:rPr>
        <w:t>possibility</w:t>
      </w:r>
      <w:r w:rsidR="0028424A">
        <w:rPr>
          <w:sz w:val="26"/>
        </w:rPr>
        <w:t xml:space="preserve"> of making a second </w:t>
      </w:r>
      <w:r w:rsidR="00C72234">
        <w:rPr>
          <w:sz w:val="26"/>
        </w:rPr>
        <w:t>solicitation</w:t>
      </w:r>
      <w:r w:rsidR="0028424A">
        <w:rPr>
          <w:sz w:val="26"/>
        </w:rPr>
        <w:t xml:space="preserve"> of customers within the space of a few months.  For those </w:t>
      </w:r>
      <w:r w:rsidR="00C72234">
        <w:rPr>
          <w:sz w:val="26"/>
        </w:rPr>
        <w:t>reasons</w:t>
      </w:r>
      <w:r w:rsidR="0028424A">
        <w:rPr>
          <w:sz w:val="26"/>
        </w:rPr>
        <w:t xml:space="preserve">, the Petition shall be granted; </w:t>
      </w:r>
      <w:r w:rsidR="00FA40BB" w:rsidRPr="00CD6C97">
        <w:rPr>
          <w:b/>
          <w:sz w:val="26"/>
          <w:szCs w:val="26"/>
        </w:rPr>
        <w:t>THEREFORE</w:t>
      </w:r>
      <w:r w:rsidR="006B1962" w:rsidRPr="00CD6C97">
        <w:rPr>
          <w:b/>
          <w:sz w:val="26"/>
          <w:szCs w:val="26"/>
        </w:rPr>
        <w:t>,</w:t>
      </w:r>
    </w:p>
    <w:p w:rsidR="00622AFA" w:rsidRPr="00CD6C97" w:rsidRDefault="00622AFA" w:rsidP="00DF0470">
      <w:pPr>
        <w:tabs>
          <w:tab w:val="left" w:pos="742"/>
        </w:tabs>
        <w:spacing w:line="360" w:lineRule="auto"/>
        <w:rPr>
          <w:sz w:val="26"/>
          <w:szCs w:val="26"/>
        </w:rPr>
      </w:pPr>
    </w:p>
    <w:p w:rsidR="00DF0470" w:rsidRPr="00CD6C97" w:rsidRDefault="002B18E0" w:rsidP="00DF0470">
      <w:pPr>
        <w:spacing w:line="360" w:lineRule="auto"/>
        <w:rPr>
          <w:b/>
          <w:bCs/>
          <w:sz w:val="26"/>
          <w:szCs w:val="26"/>
        </w:rPr>
      </w:pPr>
      <w:r>
        <w:rPr>
          <w:b/>
          <w:bCs/>
          <w:sz w:val="26"/>
          <w:szCs w:val="26"/>
        </w:rPr>
        <w:tab/>
      </w:r>
      <w:r w:rsidR="006B1962" w:rsidRPr="00CD6C97">
        <w:rPr>
          <w:b/>
          <w:bCs/>
          <w:sz w:val="26"/>
          <w:szCs w:val="26"/>
        </w:rPr>
        <w:t>I</w:t>
      </w:r>
      <w:r w:rsidR="00DF0470" w:rsidRPr="00CD6C97">
        <w:rPr>
          <w:b/>
          <w:bCs/>
          <w:sz w:val="26"/>
          <w:szCs w:val="26"/>
        </w:rPr>
        <w:t>T IS ORDERED:</w:t>
      </w:r>
    </w:p>
    <w:p w:rsidR="00DF0470" w:rsidRPr="00CD6C97" w:rsidRDefault="00DF0470" w:rsidP="00DF0470">
      <w:pPr>
        <w:tabs>
          <w:tab w:val="left" w:pos="4320"/>
        </w:tabs>
        <w:rPr>
          <w:sz w:val="26"/>
        </w:rPr>
      </w:pPr>
      <w:r w:rsidRPr="00CD6C97">
        <w:rPr>
          <w:sz w:val="26"/>
          <w:szCs w:val="26"/>
        </w:rPr>
        <w:tab/>
      </w:r>
      <w:r w:rsidRPr="00CD6C97">
        <w:rPr>
          <w:sz w:val="26"/>
        </w:rPr>
        <w:tab/>
      </w:r>
      <w:r w:rsidRPr="00CD6C97">
        <w:rPr>
          <w:sz w:val="26"/>
        </w:rPr>
        <w:tab/>
      </w:r>
    </w:p>
    <w:p w:rsidR="00DF0470" w:rsidRDefault="00C60B40" w:rsidP="003E36BB">
      <w:pPr>
        <w:tabs>
          <w:tab w:val="left" w:pos="742"/>
        </w:tabs>
        <w:spacing w:line="360" w:lineRule="auto"/>
        <w:rPr>
          <w:sz w:val="26"/>
          <w:szCs w:val="26"/>
        </w:rPr>
      </w:pPr>
      <w:r>
        <w:rPr>
          <w:sz w:val="26"/>
          <w:szCs w:val="26"/>
        </w:rPr>
        <w:tab/>
        <w:t>1.</w:t>
      </w:r>
      <w:r>
        <w:rPr>
          <w:sz w:val="26"/>
          <w:szCs w:val="26"/>
        </w:rPr>
        <w:tab/>
      </w:r>
      <w:r w:rsidR="003E36BB">
        <w:rPr>
          <w:sz w:val="26"/>
          <w:szCs w:val="26"/>
        </w:rPr>
        <w:t xml:space="preserve">That the </w:t>
      </w:r>
      <w:r w:rsidR="003E36BB" w:rsidRPr="003E36BB">
        <w:rPr>
          <w:sz w:val="26"/>
          <w:szCs w:val="26"/>
        </w:rPr>
        <w:t>Petition of PPL Electric Utilities Corporation for an Extension of Time to Conduct Its Next</w:t>
      </w:r>
      <w:r w:rsidR="003E36BB">
        <w:rPr>
          <w:sz w:val="26"/>
          <w:szCs w:val="26"/>
        </w:rPr>
        <w:t xml:space="preserve"> </w:t>
      </w:r>
      <w:r w:rsidR="003E36BB" w:rsidRPr="003E36BB">
        <w:rPr>
          <w:sz w:val="26"/>
          <w:szCs w:val="26"/>
        </w:rPr>
        <w:t>Customer Solicitation Regarding Release of Customer Information to Electric Generation Suppliers</w:t>
      </w:r>
      <w:r w:rsidR="003E36BB">
        <w:rPr>
          <w:sz w:val="26"/>
          <w:szCs w:val="26"/>
        </w:rPr>
        <w:t xml:space="preserve"> is granted.</w:t>
      </w:r>
    </w:p>
    <w:p w:rsidR="003E36BB" w:rsidRDefault="003E36BB" w:rsidP="003E36BB">
      <w:pPr>
        <w:tabs>
          <w:tab w:val="left" w:pos="742"/>
        </w:tabs>
        <w:spacing w:line="360" w:lineRule="auto"/>
        <w:rPr>
          <w:sz w:val="26"/>
          <w:szCs w:val="26"/>
        </w:rPr>
      </w:pPr>
    </w:p>
    <w:p w:rsidR="003E36BB" w:rsidRDefault="003E36BB" w:rsidP="003E36BB">
      <w:pPr>
        <w:tabs>
          <w:tab w:val="left" w:pos="742"/>
        </w:tabs>
        <w:spacing w:line="360" w:lineRule="auto"/>
        <w:rPr>
          <w:sz w:val="26"/>
          <w:szCs w:val="26"/>
        </w:rPr>
      </w:pPr>
      <w:r>
        <w:rPr>
          <w:sz w:val="26"/>
          <w:szCs w:val="26"/>
        </w:rPr>
        <w:tab/>
        <w:t>2.</w:t>
      </w:r>
      <w:r>
        <w:rPr>
          <w:sz w:val="26"/>
          <w:szCs w:val="26"/>
        </w:rPr>
        <w:tab/>
        <w:t xml:space="preserve">That PPL shall conduct its next solicitation of its customers </w:t>
      </w:r>
      <w:r w:rsidR="00800BE0">
        <w:rPr>
          <w:sz w:val="26"/>
          <w:szCs w:val="26"/>
        </w:rPr>
        <w:t xml:space="preserve">regarding the release of customer information to electric generation suppliers within 120 days of our next order regarding the interim guidelines for Eligible Customer Lists at Docket No. </w:t>
      </w:r>
      <w:r w:rsidR="00800BE0" w:rsidRPr="00800BE0">
        <w:rPr>
          <w:sz w:val="26"/>
          <w:szCs w:val="26"/>
        </w:rPr>
        <w:t>M</w:t>
      </w:r>
      <w:r w:rsidR="00F74447">
        <w:rPr>
          <w:sz w:val="26"/>
          <w:szCs w:val="26"/>
        </w:rPr>
        <w:noBreakHyphen/>
      </w:r>
      <w:r w:rsidR="00800BE0" w:rsidRPr="00800BE0">
        <w:rPr>
          <w:sz w:val="26"/>
          <w:szCs w:val="26"/>
        </w:rPr>
        <w:t>2010-2183412</w:t>
      </w:r>
      <w:r w:rsidR="008B528A">
        <w:rPr>
          <w:sz w:val="26"/>
          <w:szCs w:val="26"/>
        </w:rPr>
        <w:t xml:space="preserve"> and every two years thereafter unless changed by subsequent Commission order.</w:t>
      </w:r>
    </w:p>
    <w:p w:rsidR="002A0335" w:rsidRDefault="002A0335" w:rsidP="003E36BB">
      <w:pPr>
        <w:tabs>
          <w:tab w:val="left" w:pos="742"/>
        </w:tabs>
        <w:spacing w:line="360" w:lineRule="auto"/>
        <w:rPr>
          <w:sz w:val="26"/>
          <w:szCs w:val="26"/>
        </w:rPr>
      </w:pPr>
    </w:p>
    <w:p w:rsidR="00E90890" w:rsidRDefault="00E90890" w:rsidP="003E36BB">
      <w:pPr>
        <w:tabs>
          <w:tab w:val="left" w:pos="742"/>
        </w:tabs>
        <w:spacing w:line="360" w:lineRule="auto"/>
        <w:rPr>
          <w:sz w:val="26"/>
          <w:szCs w:val="26"/>
        </w:rPr>
      </w:pPr>
    </w:p>
    <w:p w:rsidR="00E90890" w:rsidRDefault="00E90890" w:rsidP="003E36BB">
      <w:pPr>
        <w:tabs>
          <w:tab w:val="left" w:pos="742"/>
        </w:tabs>
        <w:spacing w:line="360" w:lineRule="auto"/>
        <w:rPr>
          <w:sz w:val="26"/>
          <w:szCs w:val="26"/>
        </w:rPr>
      </w:pPr>
    </w:p>
    <w:p w:rsidR="00E90890" w:rsidRDefault="00E90890" w:rsidP="003E36BB">
      <w:pPr>
        <w:tabs>
          <w:tab w:val="left" w:pos="742"/>
        </w:tabs>
        <w:spacing w:line="360" w:lineRule="auto"/>
        <w:rPr>
          <w:sz w:val="26"/>
          <w:szCs w:val="26"/>
        </w:rPr>
      </w:pPr>
    </w:p>
    <w:p w:rsidR="00E90890" w:rsidRDefault="00E90890" w:rsidP="003E36BB">
      <w:pPr>
        <w:tabs>
          <w:tab w:val="left" w:pos="742"/>
        </w:tabs>
        <w:spacing w:line="360" w:lineRule="auto"/>
        <w:rPr>
          <w:sz w:val="26"/>
          <w:szCs w:val="26"/>
        </w:rPr>
      </w:pPr>
    </w:p>
    <w:p w:rsidR="00E90890" w:rsidRDefault="00E90890" w:rsidP="003E36BB">
      <w:pPr>
        <w:tabs>
          <w:tab w:val="left" w:pos="742"/>
        </w:tabs>
        <w:spacing w:line="360" w:lineRule="auto"/>
        <w:rPr>
          <w:sz w:val="26"/>
          <w:szCs w:val="26"/>
        </w:rPr>
      </w:pPr>
    </w:p>
    <w:p w:rsidR="00E90890" w:rsidRDefault="00E90890" w:rsidP="003E36BB">
      <w:pPr>
        <w:tabs>
          <w:tab w:val="left" w:pos="742"/>
        </w:tabs>
        <w:spacing w:line="360" w:lineRule="auto"/>
        <w:rPr>
          <w:sz w:val="26"/>
          <w:szCs w:val="26"/>
        </w:rPr>
      </w:pPr>
    </w:p>
    <w:p w:rsidR="008B528A" w:rsidRDefault="008B528A" w:rsidP="003E36BB">
      <w:pPr>
        <w:tabs>
          <w:tab w:val="left" w:pos="742"/>
        </w:tabs>
        <w:spacing w:line="360" w:lineRule="auto"/>
        <w:rPr>
          <w:sz w:val="26"/>
          <w:szCs w:val="26"/>
        </w:rPr>
      </w:pPr>
      <w:r>
        <w:rPr>
          <w:sz w:val="26"/>
          <w:szCs w:val="26"/>
        </w:rPr>
        <w:lastRenderedPageBreak/>
        <w:tab/>
        <w:t>3.</w:t>
      </w:r>
      <w:r>
        <w:rPr>
          <w:sz w:val="26"/>
          <w:szCs w:val="26"/>
        </w:rPr>
        <w:tab/>
        <w:t>That a copy of this order be served upon PPL, each party which filed an answer or comments in this docket, the Bureau of Investigation and Enforcement, OCA and the Office of Small Business Advocate.</w:t>
      </w:r>
    </w:p>
    <w:p w:rsidR="002A0335" w:rsidRDefault="002A0335" w:rsidP="003E36BB">
      <w:pPr>
        <w:tabs>
          <w:tab w:val="left" w:pos="742"/>
        </w:tabs>
        <w:spacing w:line="360" w:lineRule="auto"/>
        <w:rPr>
          <w:sz w:val="26"/>
          <w:szCs w:val="26"/>
        </w:rPr>
      </w:pPr>
    </w:p>
    <w:p w:rsidR="008B528A" w:rsidRDefault="008B528A" w:rsidP="003E36BB">
      <w:pPr>
        <w:tabs>
          <w:tab w:val="left" w:pos="742"/>
        </w:tabs>
        <w:spacing w:line="360" w:lineRule="auto"/>
        <w:rPr>
          <w:sz w:val="26"/>
          <w:szCs w:val="26"/>
        </w:rPr>
      </w:pPr>
      <w:r>
        <w:rPr>
          <w:sz w:val="26"/>
          <w:szCs w:val="26"/>
        </w:rPr>
        <w:tab/>
        <w:t>4.</w:t>
      </w:r>
      <w:r>
        <w:rPr>
          <w:sz w:val="26"/>
          <w:szCs w:val="26"/>
        </w:rPr>
        <w:tab/>
        <w:t>That this docket be marked closed.</w:t>
      </w:r>
    </w:p>
    <w:p w:rsidR="003E36BB" w:rsidRDefault="003E36BB" w:rsidP="003E36BB">
      <w:pPr>
        <w:tabs>
          <w:tab w:val="left" w:pos="742"/>
        </w:tabs>
        <w:spacing w:line="360" w:lineRule="auto"/>
        <w:rPr>
          <w:sz w:val="26"/>
          <w:szCs w:val="26"/>
        </w:rPr>
      </w:pPr>
    </w:p>
    <w:p w:rsidR="00DF0470" w:rsidRPr="00304809" w:rsidRDefault="001E4064" w:rsidP="00DF0470">
      <w:pPr>
        <w:pStyle w:val="p17"/>
        <w:ind w:left="5057"/>
        <w:rPr>
          <w:b/>
          <w:bCs/>
          <w:sz w:val="26"/>
          <w:szCs w:val="26"/>
        </w:rPr>
      </w:pPr>
      <w:r>
        <w:rPr>
          <w:b/>
          <w:bCs/>
          <w:noProof/>
          <w:sz w:val="26"/>
          <w:szCs w:val="26"/>
        </w:rPr>
        <w:drawing>
          <wp:anchor distT="0" distB="0" distL="114300" distR="114300" simplePos="0" relativeHeight="251659264" behindDoc="1" locked="0" layoutInCell="1" allowOverlap="1">
            <wp:simplePos x="0" y="0"/>
            <wp:positionH relativeFrom="column">
              <wp:posOffset>3028950</wp:posOffset>
            </wp:positionH>
            <wp:positionV relativeFrom="paragraph">
              <wp:posOffset>34290</wp:posOffset>
            </wp:positionV>
            <wp:extent cx="2200275" cy="838200"/>
            <wp:effectExtent l="19050" t="0" r="9525" b="0"/>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F0470" w:rsidRPr="00304809">
        <w:rPr>
          <w:b/>
          <w:bCs/>
          <w:sz w:val="26"/>
          <w:szCs w:val="26"/>
        </w:rPr>
        <w:t>BY THE COMMISSION</w:t>
      </w:r>
    </w:p>
    <w:p w:rsidR="00DF0470" w:rsidRPr="00CD6C97" w:rsidRDefault="00DF0470" w:rsidP="00DF0470">
      <w:pPr>
        <w:tabs>
          <w:tab w:val="left" w:pos="5057"/>
        </w:tabs>
        <w:rPr>
          <w:bCs/>
          <w:sz w:val="26"/>
          <w:szCs w:val="26"/>
        </w:rPr>
      </w:pPr>
    </w:p>
    <w:p w:rsidR="00DF0470" w:rsidRPr="00CD6C97" w:rsidRDefault="00DF0470" w:rsidP="00DF0470">
      <w:pPr>
        <w:tabs>
          <w:tab w:val="left" w:pos="5057"/>
        </w:tabs>
        <w:rPr>
          <w:b/>
          <w:bCs/>
          <w:sz w:val="26"/>
          <w:szCs w:val="26"/>
        </w:rPr>
      </w:pPr>
    </w:p>
    <w:p w:rsidR="00DF0470" w:rsidRPr="00CD6C97" w:rsidRDefault="00DF0470" w:rsidP="00DF0470">
      <w:pPr>
        <w:tabs>
          <w:tab w:val="left" w:pos="5057"/>
        </w:tabs>
        <w:rPr>
          <w:b/>
          <w:bCs/>
          <w:sz w:val="26"/>
          <w:szCs w:val="26"/>
        </w:rPr>
      </w:pPr>
    </w:p>
    <w:p w:rsidR="00671D91" w:rsidRDefault="00671D91" w:rsidP="00DF0470">
      <w:pPr>
        <w:pStyle w:val="p18"/>
        <w:ind w:left="5062"/>
        <w:rPr>
          <w:sz w:val="26"/>
          <w:szCs w:val="26"/>
        </w:rPr>
      </w:pPr>
      <w:r w:rsidRPr="00671D91">
        <w:rPr>
          <w:sz w:val="26"/>
          <w:szCs w:val="26"/>
        </w:rPr>
        <w:t>Rosemary Chiavetta</w:t>
      </w:r>
    </w:p>
    <w:p w:rsidR="00DF0470" w:rsidRPr="00CD6C97" w:rsidRDefault="00DF0470" w:rsidP="00DF0470">
      <w:pPr>
        <w:pStyle w:val="p18"/>
        <w:ind w:left="5062"/>
        <w:rPr>
          <w:sz w:val="26"/>
          <w:szCs w:val="26"/>
        </w:rPr>
      </w:pPr>
      <w:r w:rsidRPr="00CD6C97">
        <w:rPr>
          <w:sz w:val="26"/>
          <w:szCs w:val="26"/>
        </w:rPr>
        <w:t>Secretary</w:t>
      </w:r>
    </w:p>
    <w:p w:rsidR="00DF0470" w:rsidRPr="00CD6C97" w:rsidRDefault="00DF0470" w:rsidP="00DF0470">
      <w:pPr>
        <w:tabs>
          <w:tab w:val="left" w:pos="5062"/>
        </w:tabs>
        <w:rPr>
          <w:sz w:val="26"/>
          <w:szCs w:val="26"/>
        </w:rPr>
      </w:pPr>
    </w:p>
    <w:p w:rsidR="00DF0470" w:rsidRPr="002A0335" w:rsidRDefault="00DF0470" w:rsidP="00DF0470">
      <w:pPr>
        <w:pStyle w:val="p14"/>
        <w:rPr>
          <w:sz w:val="26"/>
          <w:szCs w:val="26"/>
        </w:rPr>
      </w:pPr>
      <w:r w:rsidRPr="002A0335">
        <w:rPr>
          <w:sz w:val="26"/>
          <w:szCs w:val="26"/>
        </w:rPr>
        <w:t>(SEAL)</w:t>
      </w:r>
      <w:r w:rsidR="001E4064" w:rsidRPr="001E4064">
        <w:rPr>
          <w:noProof/>
        </w:rPr>
        <w:t xml:space="preserve"> </w:t>
      </w:r>
    </w:p>
    <w:p w:rsidR="00DF0470" w:rsidRPr="002A0335" w:rsidRDefault="00DF0470" w:rsidP="00DF0470">
      <w:pPr>
        <w:tabs>
          <w:tab w:val="left" w:pos="204"/>
        </w:tabs>
        <w:rPr>
          <w:sz w:val="26"/>
          <w:szCs w:val="26"/>
        </w:rPr>
      </w:pPr>
    </w:p>
    <w:p w:rsidR="00DF0470" w:rsidRPr="002A0335" w:rsidRDefault="00DF0470" w:rsidP="00BE499A">
      <w:pPr>
        <w:pStyle w:val="p14"/>
        <w:rPr>
          <w:sz w:val="26"/>
          <w:szCs w:val="26"/>
        </w:rPr>
      </w:pPr>
      <w:r w:rsidRPr="002A0335">
        <w:rPr>
          <w:sz w:val="26"/>
          <w:szCs w:val="26"/>
        </w:rPr>
        <w:t xml:space="preserve">ORDER ADOPTED:  </w:t>
      </w:r>
      <w:r w:rsidR="00847B1A" w:rsidRPr="002A0335">
        <w:rPr>
          <w:sz w:val="26"/>
          <w:szCs w:val="26"/>
        </w:rPr>
        <w:t>August 25</w:t>
      </w:r>
      <w:r w:rsidR="00551DD7" w:rsidRPr="002A0335">
        <w:rPr>
          <w:sz w:val="26"/>
          <w:szCs w:val="26"/>
        </w:rPr>
        <w:t>, 2011</w:t>
      </w:r>
    </w:p>
    <w:p w:rsidR="00BE499A" w:rsidRPr="002A0335" w:rsidRDefault="00BE499A" w:rsidP="00BE499A">
      <w:pPr>
        <w:pStyle w:val="p14"/>
        <w:rPr>
          <w:sz w:val="26"/>
          <w:szCs w:val="26"/>
        </w:rPr>
      </w:pPr>
    </w:p>
    <w:p w:rsidR="00CD6C97" w:rsidRPr="002A0335" w:rsidRDefault="00DF0470" w:rsidP="005A7356">
      <w:pPr>
        <w:pStyle w:val="p14"/>
        <w:rPr>
          <w:sz w:val="26"/>
          <w:szCs w:val="26"/>
        </w:rPr>
      </w:pPr>
      <w:r w:rsidRPr="002A0335">
        <w:rPr>
          <w:sz w:val="26"/>
          <w:szCs w:val="26"/>
        </w:rPr>
        <w:t xml:space="preserve">ORDER ENTERED:  </w:t>
      </w:r>
      <w:r w:rsidR="001E4064">
        <w:rPr>
          <w:sz w:val="26"/>
          <w:szCs w:val="26"/>
        </w:rPr>
        <w:t>August 25, 2011</w:t>
      </w:r>
    </w:p>
    <w:sectPr w:rsidR="00CD6C97" w:rsidRPr="002A0335" w:rsidSect="00D8318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7B2" w:rsidRDefault="008947B2">
      <w:r>
        <w:separator/>
      </w:r>
    </w:p>
  </w:endnote>
  <w:endnote w:type="continuationSeparator" w:id="0">
    <w:p w:rsidR="008947B2" w:rsidRDefault="008947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F9" w:rsidRDefault="00D01223">
    <w:pPr>
      <w:pStyle w:val="Footer"/>
      <w:framePr w:wrap="around" w:vAnchor="text" w:hAnchor="margin" w:xAlign="center" w:y="1"/>
      <w:rPr>
        <w:rStyle w:val="PageNumber"/>
      </w:rPr>
    </w:pPr>
    <w:r>
      <w:rPr>
        <w:rStyle w:val="PageNumber"/>
      </w:rPr>
      <w:fldChar w:fldCharType="begin"/>
    </w:r>
    <w:r w:rsidR="006A01F9">
      <w:rPr>
        <w:rStyle w:val="PageNumber"/>
      </w:rPr>
      <w:instrText xml:space="preserve">PAGE  </w:instrText>
    </w:r>
    <w:r>
      <w:rPr>
        <w:rStyle w:val="PageNumber"/>
      </w:rPr>
      <w:fldChar w:fldCharType="end"/>
    </w:r>
  </w:p>
  <w:p w:rsidR="006A01F9" w:rsidRDefault="006A01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F9" w:rsidRPr="002A0335" w:rsidRDefault="00D01223">
    <w:pPr>
      <w:pStyle w:val="Footer"/>
      <w:framePr w:wrap="around" w:vAnchor="text" w:hAnchor="margin" w:xAlign="center" w:y="1"/>
      <w:rPr>
        <w:rStyle w:val="PageNumber"/>
        <w:sz w:val="22"/>
        <w:szCs w:val="22"/>
      </w:rPr>
    </w:pPr>
    <w:r w:rsidRPr="002A0335">
      <w:rPr>
        <w:rStyle w:val="PageNumber"/>
        <w:sz w:val="22"/>
        <w:szCs w:val="22"/>
      </w:rPr>
      <w:fldChar w:fldCharType="begin"/>
    </w:r>
    <w:r w:rsidR="006A01F9" w:rsidRPr="002A0335">
      <w:rPr>
        <w:rStyle w:val="PageNumber"/>
        <w:sz w:val="22"/>
        <w:szCs w:val="22"/>
      </w:rPr>
      <w:instrText xml:space="preserve">PAGE  </w:instrText>
    </w:r>
    <w:r w:rsidRPr="002A0335">
      <w:rPr>
        <w:rStyle w:val="PageNumber"/>
        <w:sz w:val="22"/>
        <w:szCs w:val="22"/>
      </w:rPr>
      <w:fldChar w:fldCharType="separate"/>
    </w:r>
    <w:r w:rsidR="001E4064">
      <w:rPr>
        <w:rStyle w:val="PageNumber"/>
        <w:noProof/>
        <w:sz w:val="22"/>
        <w:szCs w:val="22"/>
      </w:rPr>
      <w:t>5</w:t>
    </w:r>
    <w:r w:rsidRPr="002A0335">
      <w:rPr>
        <w:rStyle w:val="PageNumber"/>
        <w:sz w:val="22"/>
        <w:szCs w:val="22"/>
      </w:rPr>
      <w:fldChar w:fldCharType="end"/>
    </w:r>
  </w:p>
  <w:p w:rsidR="006A01F9" w:rsidRDefault="006A01F9" w:rsidP="00FA5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7B2" w:rsidRDefault="008947B2">
      <w:r>
        <w:separator/>
      </w:r>
    </w:p>
  </w:footnote>
  <w:footnote w:type="continuationSeparator" w:id="0">
    <w:p w:rsidR="008947B2" w:rsidRDefault="008947B2">
      <w:r>
        <w:continuationSeparator/>
      </w:r>
    </w:p>
  </w:footnote>
  <w:footnote w:id="1">
    <w:p w:rsidR="00006D9B" w:rsidRPr="002A0335" w:rsidRDefault="00006D9B">
      <w:pPr>
        <w:pStyle w:val="FootnoteText"/>
        <w:rPr>
          <w:sz w:val="22"/>
          <w:szCs w:val="22"/>
        </w:rPr>
      </w:pPr>
      <w:r w:rsidRPr="002A0335">
        <w:rPr>
          <w:rStyle w:val="FootnoteReference"/>
          <w:sz w:val="22"/>
          <w:szCs w:val="22"/>
        </w:rPr>
        <w:footnoteRef/>
      </w:r>
      <w:r w:rsidRPr="002A0335">
        <w:rPr>
          <w:sz w:val="22"/>
          <w:szCs w:val="22"/>
        </w:rPr>
        <w:t xml:space="preserve"> </w:t>
      </w:r>
      <w:r w:rsidRPr="002A0335">
        <w:rPr>
          <w:i/>
          <w:sz w:val="22"/>
          <w:szCs w:val="22"/>
        </w:rPr>
        <w:t>PPL Electric Utilities Corporation Retail Markets</w:t>
      </w:r>
      <w:r w:rsidRPr="002A0335">
        <w:rPr>
          <w:sz w:val="22"/>
          <w:szCs w:val="22"/>
        </w:rPr>
        <w:t>, Docket No. M-2009-2104271, Opinion and Order entered August 11, 20</w:t>
      </w:r>
      <w:r w:rsidR="00915899" w:rsidRPr="002A0335">
        <w:rPr>
          <w:sz w:val="22"/>
          <w:szCs w:val="22"/>
        </w:rPr>
        <w:t>09</w:t>
      </w:r>
      <w:r w:rsidRPr="002A0335">
        <w:rPr>
          <w:sz w:val="22"/>
          <w:szCs w:val="22"/>
        </w:rPr>
        <w:t>.</w:t>
      </w:r>
    </w:p>
  </w:footnote>
  <w:footnote w:id="2">
    <w:p w:rsidR="006D7386" w:rsidRPr="002A0335" w:rsidRDefault="006D7386">
      <w:pPr>
        <w:pStyle w:val="FootnoteText"/>
        <w:rPr>
          <w:sz w:val="22"/>
          <w:szCs w:val="22"/>
        </w:rPr>
      </w:pPr>
      <w:r w:rsidRPr="002A0335">
        <w:rPr>
          <w:rStyle w:val="FootnoteReference"/>
          <w:sz w:val="22"/>
          <w:szCs w:val="22"/>
        </w:rPr>
        <w:footnoteRef/>
      </w:r>
      <w:r w:rsidRPr="002A0335">
        <w:rPr>
          <w:sz w:val="22"/>
          <w:szCs w:val="22"/>
        </w:rPr>
        <w:t xml:space="preserve">  </w:t>
      </w:r>
      <w:r w:rsidRPr="002A0335">
        <w:rPr>
          <w:i/>
          <w:sz w:val="22"/>
          <w:szCs w:val="22"/>
        </w:rPr>
        <w:t>PPL Electric Utilities Corporation Retail Markets</w:t>
      </w:r>
      <w:r w:rsidRPr="002A0335">
        <w:rPr>
          <w:sz w:val="22"/>
          <w:szCs w:val="22"/>
        </w:rPr>
        <w:t>, Docket No. M-2009-2104271, Clarification Order entered October 22, 2009.</w:t>
      </w:r>
    </w:p>
  </w:footnote>
  <w:footnote w:id="3">
    <w:p w:rsidR="000F5439" w:rsidRPr="002A0335" w:rsidRDefault="000F5439" w:rsidP="001B63F6">
      <w:pPr>
        <w:tabs>
          <w:tab w:val="left" w:pos="-720"/>
        </w:tabs>
        <w:suppressAutoHyphens/>
        <w:jc w:val="both"/>
        <w:rPr>
          <w:sz w:val="22"/>
          <w:szCs w:val="22"/>
        </w:rPr>
      </w:pPr>
      <w:r w:rsidRPr="002A0335">
        <w:rPr>
          <w:rStyle w:val="FootnoteReference"/>
          <w:sz w:val="22"/>
          <w:szCs w:val="22"/>
        </w:rPr>
        <w:footnoteRef/>
      </w:r>
      <w:r w:rsidRPr="002A0335">
        <w:rPr>
          <w:sz w:val="22"/>
          <w:szCs w:val="22"/>
        </w:rPr>
        <w:t xml:space="preserve"> </w:t>
      </w:r>
      <w:r w:rsidRPr="002A0335">
        <w:rPr>
          <w:i/>
          <w:spacing w:val="-3"/>
          <w:sz w:val="22"/>
          <w:szCs w:val="22"/>
        </w:rPr>
        <w:t>Interim Guidelines For Eligible Customer Lists</w:t>
      </w:r>
      <w:r w:rsidRPr="002A0335">
        <w:rPr>
          <w:spacing w:val="-3"/>
          <w:sz w:val="22"/>
          <w:szCs w:val="22"/>
        </w:rPr>
        <w:t xml:space="preserve">, Docket No.  M-2010-2183412, Opinion and Order entered </w:t>
      </w:r>
      <w:r w:rsidRPr="002A0335">
        <w:rPr>
          <w:sz w:val="22"/>
          <w:szCs w:val="22"/>
        </w:rPr>
        <w:t>November 12, 2010 (First ECL Order).  The First ECL Order followed a tentative order issued earlier in the same proceeding which presented the interim guidelines for public comments.</w:t>
      </w:r>
    </w:p>
  </w:footnote>
  <w:footnote w:id="4">
    <w:p w:rsidR="001B63F6" w:rsidRPr="002A0335" w:rsidRDefault="001B63F6">
      <w:pPr>
        <w:pStyle w:val="FootnoteText"/>
        <w:rPr>
          <w:sz w:val="22"/>
          <w:szCs w:val="22"/>
        </w:rPr>
      </w:pPr>
      <w:r w:rsidRPr="002A0335">
        <w:rPr>
          <w:rStyle w:val="FootnoteReference"/>
          <w:sz w:val="22"/>
          <w:szCs w:val="22"/>
        </w:rPr>
        <w:footnoteRef/>
      </w:r>
      <w:r w:rsidRPr="002A0335">
        <w:rPr>
          <w:sz w:val="22"/>
          <w:szCs w:val="22"/>
        </w:rPr>
        <w:t xml:space="preserve"> The Commission agreed to maintain the stay while its reconsideration was pending.</w:t>
      </w:r>
    </w:p>
  </w:footnote>
  <w:footnote w:id="5">
    <w:p w:rsidR="00E21BDF" w:rsidRDefault="00E21BDF">
      <w:pPr>
        <w:pStyle w:val="FootnoteText"/>
      </w:pPr>
      <w:r w:rsidRPr="002A0335">
        <w:rPr>
          <w:rStyle w:val="FootnoteReference"/>
          <w:sz w:val="22"/>
          <w:szCs w:val="22"/>
        </w:rPr>
        <w:footnoteRef/>
      </w:r>
      <w:r w:rsidRPr="002A0335">
        <w:rPr>
          <w:sz w:val="22"/>
          <w:szCs w:val="22"/>
        </w:rPr>
        <w:t xml:space="preserve"> </w:t>
      </w:r>
      <w:r w:rsidRPr="002A0335">
        <w:rPr>
          <w:i/>
          <w:spacing w:val="-3"/>
          <w:sz w:val="22"/>
          <w:szCs w:val="22"/>
        </w:rPr>
        <w:t>Interim Guidelines For Eligible Customer Lists</w:t>
      </w:r>
      <w:r w:rsidRPr="002A0335">
        <w:rPr>
          <w:spacing w:val="-3"/>
          <w:sz w:val="22"/>
          <w:szCs w:val="22"/>
        </w:rPr>
        <w:t>, Docket No.  M-2010-2183412, Opinion and Order entered June 13, 2011</w:t>
      </w:r>
      <w:r w:rsidRPr="002A0335">
        <w:rPr>
          <w:sz w:val="22"/>
          <w:szCs w:val="22"/>
        </w:rPr>
        <w:t xml:space="preserve"> (Second ECL Order). The Second ECL Order was issued in </w:t>
      </w:r>
      <w:r w:rsidR="00DA5698" w:rsidRPr="002A0335">
        <w:rPr>
          <w:sz w:val="22"/>
          <w:szCs w:val="22"/>
        </w:rPr>
        <w:t xml:space="preserve">PPL’s retail markets proceeding (Docket No. </w:t>
      </w:r>
      <w:proofErr w:type="gramStart"/>
      <w:r w:rsidR="00DA5698" w:rsidRPr="002A0335">
        <w:rPr>
          <w:sz w:val="22"/>
          <w:szCs w:val="22"/>
        </w:rPr>
        <w:t>M-2009-2104271) as well.</w:t>
      </w:r>
      <w:proofErr w:type="gramEnd"/>
      <w:r w:rsidRPr="001B63F6">
        <w:rPr>
          <w:sz w:val="22"/>
          <w:szCs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4E0F48"/>
    <w:lvl w:ilvl="0">
      <w:numFmt w:val="bullet"/>
      <w:lvlText w:val="*"/>
      <w:lvlJc w:val="left"/>
      <w:pPr>
        <w:ind w:left="0" w:firstLine="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D850D4"/>
    <w:rsid w:val="0000186B"/>
    <w:rsid w:val="00006D9B"/>
    <w:rsid w:val="00030025"/>
    <w:rsid w:val="0003182B"/>
    <w:rsid w:val="00037D28"/>
    <w:rsid w:val="000675A4"/>
    <w:rsid w:val="00076AE2"/>
    <w:rsid w:val="000811B9"/>
    <w:rsid w:val="00082240"/>
    <w:rsid w:val="00092C0A"/>
    <w:rsid w:val="000946A1"/>
    <w:rsid w:val="000A6AC7"/>
    <w:rsid w:val="000E3ECD"/>
    <w:rsid w:val="000F19D8"/>
    <w:rsid w:val="000F5439"/>
    <w:rsid w:val="00107AB8"/>
    <w:rsid w:val="001119EF"/>
    <w:rsid w:val="00132CEE"/>
    <w:rsid w:val="00133BD1"/>
    <w:rsid w:val="00142828"/>
    <w:rsid w:val="00155365"/>
    <w:rsid w:val="0015549B"/>
    <w:rsid w:val="001673BE"/>
    <w:rsid w:val="001740E9"/>
    <w:rsid w:val="00195218"/>
    <w:rsid w:val="001B63F6"/>
    <w:rsid w:val="001B6DC1"/>
    <w:rsid w:val="001B6FAA"/>
    <w:rsid w:val="001B7588"/>
    <w:rsid w:val="001C58F1"/>
    <w:rsid w:val="001E4064"/>
    <w:rsid w:val="001F27E7"/>
    <w:rsid w:val="00214315"/>
    <w:rsid w:val="00214C36"/>
    <w:rsid w:val="00217EF7"/>
    <w:rsid w:val="00230626"/>
    <w:rsid w:val="00236A3F"/>
    <w:rsid w:val="00250087"/>
    <w:rsid w:val="00251C6E"/>
    <w:rsid w:val="002525D0"/>
    <w:rsid w:val="00264D9C"/>
    <w:rsid w:val="0026622E"/>
    <w:rsid w:val="002728FF"/>
    <w:rsid w:val="00275EFE"/>
    <w:rsid w:val="0028424A"/>
    <w:rsid w:val="00290A3D"/>
    <w:rsid w:val="002A0335"/>
    <w:rsid w:val="002A23AC"/>
    <w:rsid w:val="002B18E0"/>
    <w:rsid w:val="002B49E8"/>
    <w:rsid w:val="002C30F7"/>
    <w:rsid w:val="002C736A"/>
    <w:rsid w:val="002C7630"/>
    <w:rsid w:val="002E022C"/>
    <w:rsid w:val="002E2B14"/>
    <w:rsid w:val="002F7691"/>
    <w:rsid w:val="00304809"/>
    <w:rsid w:val="00306CFA"/>
    <w:rsid w:val="0035040B"/>
    <w:rsid w:val="00353A13"/>
    <w:rsid w:val="00366363"/>
    <w:rsid w:val="0039025B"/>
    <w:rsid w:val="003B178D"/>
    <w:rsid w:val="003C706C"/>
    <w:rsid w:val="003E36BB"/>
    <w:rsid w:val="003F46EF"/>
    <w:rsid w:val="0040662A"/>
    <w:rsid w:val="00422263"/>
    <w:rsid w:val="004242E4"/>
    <w:rsid w:val="004522A6"/>
    <w:rsid w:val="00452838"/>
    <w:rsid w:val="004768B5"/>
    <w:rsid w:val="004A4787"/>
    <w:rsid w:val="004B2C39"/>
    <w:rsid w:val="004C01A1"/>
    <w:rsid w:val="004D788C"/>
    <w:rsid w:val="004E58A5"/>
    <w:rsid w:val="004F370A"/>
    <w:rsid w:val="005106A8"/>
    <w:rsid w:val="00520427"/>
    <w:rsid w:val="00523A8C"/>
    <w:rsid w:val="00524B6D"/>
    <w:rsid w:val="005337BC"/>
    <w:rsid w:val="00551DD7"/>
    <w:rsid w:val="005529E9"/>
    <w:rsid w:val="00571027"/>
    <w:rsid w:val="00572CCC"/>
    <w:rsid w:val="005878E7"/>
    <w:rsid w:val="00594E98"/>
    <w:rsid w:val="005A7356"/>
    <w:rsid w:val="005B5333"/>
    <w:rsid w:val="005D03E0"/>
    <w:rsid w:val="005D684C"/>
    <w:rsid w:val="005F1C61"/>
    <w:rsid w:val="005F3889"/>
    <w:rsid w:val="005F72F6"/>
    <w:rsid w:val="00600A17"/>
    <w:rsid w:val="006027A7"/>
    <w:rsid w:val="006048E2"/>
    <w:rsid w:val="00605A1A"/>
    <w:rsid w:val="00621EEE"/>
    <w:rsid w:val="00622AFA"/>
    <w:rsid w:val="00643A33"/>
    <w:rsid w:val="00664271"/>
    <w:rsid w:val="00665270"/>
    <w:rsid w:val="006673C9"/>
    <w:rsid w:val="00671D91"/>
    <w:rsid w:val="00697266"/>
    <w:rsid w:val="006A01F9"/>
    <w:rsid w:val="006A4B7F"/>
    <w:rsid w:val="006A64BC"/>
    <w:rsid w:val="006B1962"/>
    <w:rsid w:val="006B2984"/>
    <w:rsid w:val="006B77BE"/>
    <w:rsid w:val="006D7386"/>
    <w:rsid w:val="006D7595"/>
    <w:rsid w:val="006E1F2F"/>
    <w:rsid w:val="00732809"/>
    <w:rsid w:val="007347A3"/>
    <w:rsid w:val="00734AE2"/>
    <w:rsid w:val="00747283"/>
    <w:rsid w:val="00747FD5"/>
    <w:rsid w:val="00753775"/>
    <w:rsid w:val="007632B0"/>
    <w:rsid w:val="00781608"/>
    <w:rsid w:val="00790906"/>
    <w:rsid w:val="007B744C"/>
    <w:rsid w:val="007E6598"/>
    <w:rsid w:val="007E6952"/>
    <w:rsid w:val="007F20F0"/>
    <w:rsid w:val="007F37C1"/>
    <w:rsid w:val="00800BE0"/>
    <w:rsid w:val="008052A5"/>
    <w:rsid w:val="00806E34"/>
    <w:rsid w:val="00816287"/>
    <w:rsid w:val="00823498"/>
    <w:rsid w:val="00824F64"/>
    <w:rsid w:val="008266CD"/>
    <w:rsid w:val="008339CF"/>
    <w:rsid w:val="00835BE7"/>
    <w:rsid w:val="00837D29"/>
    <w:rsid w:val="00846918"/>
    <w:rsid w:val="00847B1A"/>
    <w:rsid w:val="00864043"/>
    <w:rsid w:val="008779DC"/>
    <w:rsid w:val="008866CB"/>
    <w:rsid w:val="008947B2"/>
    <w:rsid w:val="008A35C0"/>
    <w:rsid w:val="008A3A0D"/>
    <w:rsid w:val="008B528A"/>
    <w:rsid w:val="008B5653"/>
    <w:rsid w:val="008C7ABF"/>
    <w:rsid w:val="008D0A44"/>
    <w:rsid w:val="00915899"/>
    <w:rsid w:val="009205C7"/>
    <w:rsid w:val="009248F5"/>
    <w:rsid w:val="00941451"/>
    <w:rsid w:val="00944E13"/>
    <w:rsid w:val="009570F1"/>
    <w:rsid w:val="00964AC1"/>
    <w:rsid w:val="00975C2A"/>
    <w:rsid w:val="00981EE0"/>
    <w:rsid w:val="00985472"/>
    <w:rsid w:val="00991254"/>
    <w:rsid w:val="009A55E7"/>
    <w:rsid w:val="009C7F59"/>
    <w:rsid w:val="009D5F04"/>
    <w:rsid w:val="009F0727"/>
    <w:rsid w:val="00A20BE8"/>
    <w:rsid w:val="00A508B3"/>
    <w:rsid w:val="00A70532"/>
    <w:rsid w:val="00A74E31"/>
    <w:rsid w:val="00A82B74"/>
    <w:rsid w:val="00A82FC9"/>
    <w:rsid w:val="00A85BFA"/>
    <w:rsid w:val="00A9040A"/>
    <w:rsid w:val="00AB26D5"/>
    <w:rsid w:val="00AD5F40"/>
    <w:rsid w:val="00AE3E24"/>
    <w:rsid w:val="00B048AB"/>
    <w:rsid w:val="00B10F16"/>
    <w:rsid w:val="00B3246D"/>
    <w:rsid w:val="00B363B0"/>
    <w:rsid w:val="00B84095"/>
    <w:rsid w:val="00B9643A"/>
    <w:rsid w:val="00B97AC3"/>
    <w:rsid w:val="00BA6D88"/>
    <w:rsid w:val="00BB02BC"/>
    <w:rsid w:val="00BC3CAD"/>
    <w:rsid w:val="00BD7C30"/>
    <w:rsid w:val="00BE0D8F"/>
    <w:rsid w:val="00BE2339"/>
    <w:rsid w:val="00BE499A"/>
    <w:rsid w:val="00C00B47"/>
    <w:rsid w:val="00C01D96"/>
    <w:rsid w:val="00C01DBA"/>
    <w:rsid w:val="00C07C12"/>
    <w:rsid w:val="00C14B6E"/>
    <w:rsid w:val="00C31CD1"/>
    <w:rsid w:val="00C363BA"/>
    <w:rsid w:val="00C410FE"/>
    <w:rsid w:val="00C5353F"/>
    <w:rsid w:val="00C53C98"/>
    <w:rsid w:val="00C60B40"/>
    <w:rsid w:val="00C60F42"/>
    <w:rsid w:val="00C64E3A"/>
    <w:rsid w:val="00C72234"/>
    <w:rsid w:val="00C955B3"/>
    <w:rsid w:val="00CC1A98"/>
    <w:rsid w:val="00CD1EC4"/>
    <w:rsid w:val="00CD6C97"/>
    <w:rsid w:val="00D01223"/>
    <w:rsid w:val="00D4782F"/>
    <w:rsid w:val="00D53410"/>
    <w:rsid w:val="00D53CF7"/>
    <w:rsid w:val="00D61F9F"/>
    <w:rsid w:val="00D77859"/>
    <w:rsid w:val="00D83182"/>
    <w:rsid w:val="00D850D4"/>
    <w:rsid w:val="00D96F0E"/>
    <w:rsid w:val="00DA4F7F"/>
    <w:rsid w:val="00DA5698"/>
    <w:rsid w:val="00DB0C0C"/>
    <w:rsid w:val="00DB5BBF"/>
    <w:rsid w:val="00DB623A"/>
    <w:rsid w:val="00DC7F2D"/>
    <w:rsid w:val="00DF0470"/>
    <w:rsid w:val="00DF6811"/>
    <w:rsid w:val="00E21BDF"/>
    <w:rsid w:val="00E441EC"/>
    <w:rsid w:val="00E473C3"/>
    <w:rsid w:val="00E52E18"/>
    <w:rsid w:val="00E5613D"/>
    <w:rsid w:val="00E90890"/>
    <w:rsid w:val="00E96680"/>
    <w:rsid w:val="00EA6D23"/>
    <w:rsid w:val="00EA78E6"/>
    <w:rsid w:val="00EC0F33"/>
    <w:rsid w:val="00EC27DB"/>
    <w:rsid w:val="00ED0363"/>
    <w:rsid w:val="00F06895"/>
    <w:rsid w:val="00F15A31"/>
    <w:rsid w:val="00F27679"/>
    <w:rsid w:val="00F33057"/>
    <w:rsid w:val="00F55B91"/>
    <w:rsid w:val="00F649E4"/>
    <w:rsid w:val="00F74447"/>
    <w:rsid w:val="00F80429"/>
    <w:rsid w:val="00FA29A2"/>
    <w:rsid w:val="00FA40BB"/>
    <w:rsid w:val="00FA58EC"/>
    <w:rsid w:val="00FB1A7E"/>
    <w:rsid w:val="00FC11AE"/>
    <w:rsid w:val="00FF7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rsid w:val="00CC1A98"/>
  </w:style>
  <w:style w:type="paragraph" w:styleId="FootnoteText">
    <w:name w:val="footnote text"/>
    <w:basedOn w:val="Normal"/>
    <w:semiHidden/>
    <w:rsid w:val="009248F5"/>
    <w:rPr>
      <w:sz w:val="20"/>
    </w:rPr>
  </w:style>
  <w:style w:type="character" w:styleId="FootnoteReference">
    <w:name w:val="footnote reference"/>
    <w:basedOn w:val="DefaultParagraphFont"/>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s>
</file>

<file path=word/webSettings.xml><?xml version="1.0" encoding="utf-8"?>
<w:webSettings xmlns:r="http://schemas.openxmlformats.org/officeDocument/2006/relationships" xmlns:w="http://schemas.openxmlformats.org/wordprocessingml/2006/main">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E501B-A347-46F0-8B70-D45639CB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joyce marie farner</cp:lastModifiedBy>
  <cp:revision>8</cp:revision>
  <cp:lastPrinted>2011-08-25T15:13:00Z</cp:lastPrinted>
  <dcterms:created xsi:type="dcterms:W3CDTF">2011-08-18T15:24:00Z</dcterms:created>
  <dcterms:modified xsi:type="dcterms:W3CDTF">2011-08-25T15:13:00Z</dcterms:modified>
</cp:coreProperties>
</file>