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980"/>
        <w:gridCol w:w="270"/>
        <w:gridCol w:w="1530"/>
        <w:gridCol w:w="450"/>
        <w:gridCol w:w="2880"/>
      </w:tblGrid>
      <w:tr w:rsidR="00142BC5" w:rsidRPr="00B2490C">
        <w:tc>
          <w:tcPr>
            <w:tcW w:w="2448" w:type="dxa"/>
          </w:tcPr>
          <w:p w:rsidR="00142BC5" w:rsidRPr="00B2490C" w:rsidRDefault="00142BC5">
            <w:pPr>
              <w:rPr>
                <w:rFonts w:ascii="Arial" w:hAnsi="Arial" w:cs="Arial"/>
                <w:sz w:val="24"/>
                <w:szCs w:val="24"/>
              </w:rPr>
            </w:pPr>
          </w:p>
        </w:tc>
        <w:tc>
          <w:tcPr>
            <w:tcW w:w="4230" w:type="dxa"/>
            <w:gridSpan w:val="4"/>
          </w:tcPr>
          <w:p w:rsidR="00142BC5" w:rsidRPr="00B2490C" w:rsidRDefault="00142BC5">
            <w:pPr>
              <w:jc w:val="center"/>
              <w:rPr>
                <w:rFonts w:ascii="Arial" w:hAnsi="Arial" w:cs="Arial"/>
                <w:b/>
                <w:sz w:val="24"/>
                <w:szCs w:val="24"/>
              </w:rPr>
            </w:pPr>
            <w:r w:rsidRPr="00B2490C">
              <w:rPr>
                <w:rFonts w:ascii="Arial" w:hAnsi="Arial" w:cs="Arial"/>
                <w:b/>
                <w:sz w:val="24"/>
                <w:szCs w:val="24"/>
              </w:rPr>
              <w:t>PENNSYLVANIA</w:t>
            </w:r>
          </w:p>
          <w:p w:rsidR="00142BC5" w:rsidRPr="00B2490C" w:rsidRDefault="00142BC5">
            <w:pPr>
              <w:jc w:val="center"/>
              <w:rPr>
                <w:rFonts w:ascii="Arial" w:hAnsi="Arial" w:cs="Arial"/>
                <w:b/>
                <w:sz w:val="24"/>
                <w:szCs w:val="24"/>
              </w:rPr>
            </w:pPr>
            <w:r w:rsidRPr="00B2490C">
              <w:rPr>
                <w:rFonts w:ascii="Arial" w:hAnsi="Arial" w:cs="Arial"/>
                <w:b/>
                <w:sz w:val="24"/>
                <w:szCs w:val="24"/>
              </w:rPr>
              <w:t>PUBLIC UTILITY COMMISSION</w:t>
            </w:r>
          </w:p>
          <w:p w:rsidR="00142BC5" w:rsidRPr="00B2490C" w:rsidRDefault="00142BC5">
            <w:pPr>
              <w:jc w:val="center"/>
              <w:rPr>
                <w:rFonts w:ascii="Arial" w:hAnsi="Arial" w:cs="Arial"/>
                <w:sz w:val="24"/>
                <w:szCs w:val="24"/>
              </w:rPr>
            </w:pPr>
            <w:r w:rsidRPr="00B2490C">
              <w:rPr>
                <w:rFonts w:ascii="Arial" w:hAnsi="Arial" w:cs="Arial"/>
                <w:b/>
                <w:sz w:val="24"/>
                <w:szCs w:val="24"/>
              </w:rPr>
              <w:t>Harrisburg, PA  17105-3265</w:t>
            </w:r>
          </w:p>
        </w:tc>
        <w:tc>
          <w:tcPr>
            <w:tcW w:w="2880" w:type="dxa"/>
          </w:tcPr>
          <w:p w:rsidR="00142BC5" w:rsidRPr="00B2490C" w:rsidRDefault="00142BC5">
            <w:pPr>
              <w:rPr>
                <w:rFonts w:ascii="Arial" w:hAnsi="Arial" w:cs="Arial"/>
                <w:sz w:val="24"/>
                <w:szCs w:val="24"/>
              </w:rPr>
            </w:pPr>
          </w:p>
        </w:tc>
      </w:tr>
      <w:tr w:rsidR="00AC1019" w:rsidRPr="00B2490C">
        <w:tc>
          <w:tcPr>
            <w:tcW w:w="2448" w:type="dxa"/>
          </w:tcPr>
          <w:p w:rsidR="00AC1019" w:rsidRPr="00B2490C" w:rsidRDefault="00AC1019">
            <w:pPr>
              <w:rPr>
                <w:rFonts w:ascii="Arial" w:hAnsi="Arial" w:cs="Arial"/>
                <w:sz w:val="24"/>
                <w:szCs w:val="24"/>
              </w:rPr>
            </w:pPr>
          </w:p>
        </w:tc>
        <w:tc>
          <w:tcPr>
            <w:tcW w:w="4230" w:type="dxa"/>
            <w:gridSpan w:val="4"/>
          </w:tcPr>
          <w:p w:rsidR="00AC1019" w:rsidRPr="00B2490C" w:rsidRDefault="00AC1019">
            <w:pPr>
              <w:jc w:val="center"/>
              <w:rPr>
                <w:rFonts w:ascii="Arial" w:hAnsi="Arial" w:cs="Arial"/>
                <w:b/>
                <w:sz w:val="24"/>
                <w:szCs w:val="24"/>
              </w:rPr>
            </w:pPr>
          </w:p>
        </w:tc>
        <w:tc>
          <w:tcPr>
            <w:tcW w:w="2880" w:type="dxa"/>
          </w:tcPr>
          <w:p w:rsidR="00AC1019" w:rsidRPr="00B2490C" w:rsidRDefault="00AC1019">
            <w:pPr>
              <w:rPr>
                <w:rFonts w:ascii="Arial" w:hAnsi="Arial" w:cs="Arial"/>
                <w:sz w:val="24"/>
                <w:szCs w:val="24"/>
              </w:rPr>
            </w:pPr>
          </w:p>
        </w:tc>
      </w:tr>
      <w:tr w:rsidR="00142BC5" w:rsidRPr="00B2490C">
        <w:tc>
          <w:tcPr>
            <w:tcW w:w="4698" w:type="dxa"/>
            <w:gridSpan w:val="3"/>
          </w:tcPr>
          <w:p w:rsidR="00142BC5" w:rsidRPr="00B2490C" w:rsidRDefault="00142BC5">
            <w:pPr>
              <w:rPr>
                <w:rFonts w:ascii="Arial" w:hAnsi="Arial" w:cs="Arial"/>
                <w:sz w:val="24"/>
                <w:szCs w:val="24"/>
              </w:rPr>
            </w:pPr>
          </w:p>
        </w:tc>
        <w:tc>
          <w:tcPr>
            <w:tcW w:w="4860" w:type="dxa"/>
            <w:gridSpan w:val="3"/>
          </w:tcPr>
          <w:p w:rsidR="00142BC5" w:rsidRDefault="00142BC5" w:rsidP="005433A1">
            <w:pPr>
              <w:rPr>
                <w:rFonts w:ascii="Arial" w:hAnsi="Arial" w:cs="Arial"/>
                <w:sz w:val="24"/>
                <w:szCs w:val="24"/>
              </w:rPr>
            </w:pPr>
            <w:r w:rsidRPr="00B2490C">
              <w:rPr>
                <w:rFonts w:ascii="Arial" w:hAnsi="Arial" w:cs="Arial"/>
                <w:sz w:val="24"/>
                <w:szCs w:val="24"/>
              </w:rPr>
              <w:t>Public Meeting held</w:t>
            </w:r>
            <w:r w:rsidR="0066610F" w:rsidRPr="00B2490C">
              <w:rPr>
                <w:rFonts w:ascii="Arial" w:hAnsi="Arial" w:cs="Arial"/>
                <w:sz w:val="24"/>
                <w:szCs w:val="24"/>
              </w:rPr>
              <w:t xml:space="preserve"> </w:t>
            </w:r>
            <w:r w:rsidR="005433A1" w:rsidRPr="00B2490C">
              <w:rPr>
                <w:rFonts w:ascii="Arial" w:hAnsi="Arial" w:cs="Arial"/>
                <w:sz w:val="24"/>
                <w:szCs w:val="24"/>
              </w:rPr>
              <w:t>August 25, 2011</w:t>
            </w:r>
          </w:p>
          <w:p w:rsidR="0012628C" w:rsidRDefault="0012628C" w:rsidP="005433A1">
            <w:pPr>
              <w:rPr>
                <w:rFonts w:ascii="Arial" w:hAnsi="Arial" w:cs="Arial"/>
                <w:sz w:val="24"/>
                <w:szCs w:val="24"/>
              </w:rPr>
            </w:pPr>
          </w:p>
          <w:p w:rsidR="0012628C" w:rsidRPr="00B2490C" w:rsidRDefault="0012628C" w:rsidP="005433A1">
            <w:pPr>
              <w:rPr>
                <w:rFonts w:ascii="Arial" w:hAnsi="Arial" w:cs="Arial"/>
                <w:sz w:val="24"/>
                <w:szCs w:val="24"/>
              </w:rPr>
            </w:pPr>
          </w:p>
        </w:tc>
      </w:tr>
      <w:tr w:rsidR="00142BC5" w:rsidRPr="00B2490C">
        <w:tc>
          <w:tcPr>
            <w:tcW w:w="4698" w:type="dxa"/>
            <w:gridSpan w:val="3"/>
          </w:tcPr>
          <w:p w:rsidR="00142BC5" w:rsidRPr="00B2490C" w:rsidRDefault="00142BC5">
            <w:pPr>
              <w:rPr>
                <w:rFonts w:ascii="Arial" w:hAnsi="Arial" w:cs="Arial"/>
                <w:sz w:val="24"/>
                <w:szCs w:val="24"/>
              </w:rPr>
            </w:pPr>
            <w:r w:rsidRPr="00B2490C">
              <w:rPr>
                <w:rFonts w:ascii="Arial" w:hAnsi="Arial" w:cs="Arial"/>
                <w:sz w:val="24"/>
                <w:szCs w:val="24"/>
              </w:rPr>
              <w:t>Commissioners Present:</w:t>
            </w:r>
          </w:p>
        </w:tc>
        <w:tc>
          <w:tcPr>
            <w:tcW w:w="4860" w:type="dxa"/>
            <w:gridSpan w:val="3"/>
          </w:tcPr>
          <w:p w:rsidR="00142BC5" w:rsidRPr="00B2490C" w:rsidRDefault="00142BC5">
            <w:pPr>
              <w:rPr>
                <w:rFonts w:ascii="Arial" w:hAnsi="Arial" w:cs="Arial"/>
                <w:sz w:val="24"/>
                <w:szCs w:val="24"/>
              </w:rPr>
            </w:pPr>
          </w:p>
        </w:tc>
      </w:tr>
      <w:tr w:rsidR="00AC1019" w:rsidRPr="00B2490C">
        <w:tc>
          <w:tcPr>
            <w:tcW w:w="4698" w:type="dxa"/>
            <w:gridSpan w:val="3"/>
          </w:tcPr>
          <w:p w:rsidR="00AC1019" w:rsidRPr="00B2490C" w:rsidRDefault="00AC1019">
            <w:pPr>
              <w:rPr>
                <w:rFonts w:ascii="Arial" w:hAnsi="Arial" w:cs="Arial"/>
                <w:sz w:val="24"/>
                <w:szCs w:val="24"/>
              </w:rPr>
            </w:pPr>
          </w:p>
        </w:tc>
        <w:tc>
          <w:tcPr>
            <w:tcW w:w="4860" w:type="dxa"/>
            <w:gridSpan w:val="3"/>
          </w:tcPr>
          <w:p w:rsidR="00AC1019" w:rsidRPr="00B2490C" w:rsidRDefault="00AC1019">
            <w:pPr>
              <w:rPr>
                <w:rFonts w:ascii="Arial" w:hAnsi="Arial" w:cs="Arial"/>
                <w:sz w:val="24"/>
                <w:szCs w:val="24"/>
              </w:rPr>
            </w:pPr>
          </w:p>
        </w:tc>
      </w:tr>
      <w:tr w:rsidR="00142BC5" w:rsidRPr="00B2490C">
        <w:tc>
          <w:tcPr>
            <w:tcW w:w="4698" w:type="dxa"/>
            <w:gridSpan w:val="3"/>
          </w:tcPr>
          <w:p w:rsidR="00142BC5" w:rsidRPr="00B2490C" w:rsidRDefault="00142BC5">
            <w:pPr>
              <w:ind w:firstLine="450"/>
              <w:rPr>
                <w:rFonts w:ascii="Arial" w:hAnsi="Arial" w:cs="Arial"/>
                <w:sz w:val="24"/>
                <w:szCs w:val="24"/>
              </w:rPr>
            </w:pPr>
          </w:p>
        </w:tc>
        <w:tc>
          <w:tcPr>
            <w:tcW w:w="4860" w:type="dxa"/>
            <w:gridSpan w:val="3"/>
          </w:tcPr>
          <w:p w:rsidR="00142BC5" w:rsidRPr="00B2490C" w:rsidRDefault="00142BC5">
            <w:pPr>
              <w:rPr>
                <w:rFonts w:ascii="Arial" w:hAnsi="Arial" w:cs="Arial"/>
                <w:sz w:val="24"/>
                <w:szCs w:val="24"/>
              </w:rPr>
            </w:pPr>
          </w:p>
        </w:tc>
      </w:tr>
      <w:tr w:rsidR="00AB30CA" w:rsidRPr="00B2490C" w:rsidTr="00956E10">
        <w:tc>
          <w:tcPr>
            <w:tcW w:w="9558" w:type="dxa"/>
            <w:gridSpan w:val="6"/>
          </w:tcPr>
          <w:p w:rsidR="00AB30CA" w:rsidRPr="00B2490C" w:rsidRDefault="00AB30CA">
            <w:pPr>
              <w:rPr>
                <w:rFonts w:ascii="Arial" w:hAnsi="Arial" w:cs="Arial"/>
                <w:sz w:val="24"/>
                <w:szCs w:val="24"/>
              </w:rPr>
            </w:pPr>
            <w:r>
              <w:rPr>
                <w:rFonts w:ascii="Arial" w:hAnsi="Arial" w:cs="Arial"/>
                <w:sz w:val="24"/>
                <w:szCs w:val="24"/>
              </w:rPr>
              <w:t xml:space="preserve">     </w:t>
            </w:r>
            <w:r w:rsidRPr="00B2490C">
              <w:rPr>
                <w:rFonts w:ascii="Arial" w:hAnsi="Arial" w:cs="Arial"/>
                <w:sz w:val="24"/>
                <w:szCs w:val="24"/>
              </w:rPr>
              <w:t xml:space="preserve">Robert F. </w:t>
            </w:r>
            <w:proofErr w:type="spellStart"/>
            <w:r w:rsidRPr="00B2490C">
              <w:rPr>
                <w:rFonts w:ascii="Arial" w:hAnsi="Arial" w:cs="Arial"/>
                <w:sz w:val="24"/>
                <w:szCs w:val="24"/>
              </w:rPr>
              <w:t>Powelson</w:t>
            </w:r>
            <w:proofErr w:type="spellEnd"/>
            <w:r w:rsidRPr="00B2490C">
              <w:rPr>
                <w:rFonts w:ascii="Arial" w:hAnsi="Arial" w:cs="Arial"/>
                <w:sz w:val="24"/>
                <w:szCs w:val="24"/>
              </w:rPr>
              <w:t>, Chairman</w:t>
            </w:r>
            <w:r>
              <w:rPr>
                <w:rFonts w:ascii="Arial" w:hAnsi="Arial" w:cs="Arial"/>
                <w:sz w:val="24"/>
                <w:szCs w:val="24"/>
              </w:rPr>
              <w:t>, Statement</w:t>
            </w:r>
          </w:p>
        </w:tc>
      </w:tr>
      <w:tr w:rsidR="005433A1" w:rsidRPr="00B2490C">
        <w:tc>
          <w:tcPr>
            <w:tcW w:w="4698" w:type="dxa"/>
            <w:gridSpan w:val="3"/>
          </w:tcPr>
          <w:p w:rsidR="005433A1" w:rsidRPr="00B2490C" w:rsidRDefault="00C55AE7" w:rsidP="00FA162D">
            <w:pPr>
              <w:rPr>
                <w:rFonts w:ascii="Arial" w:hAnsi="Arial" w:cs="Arial"/>
                <w:spacing w:val="-3"/>
                <w:sz w:val="24"/>
                <w:szCs w:val="24"/>
              </w:rPr>
            </w:pPr>
            <w:r>
              <w:rPr>
                <w:rFonts w:ascii="Arial" w:hAnsi="Arial" w:cs="Arial"/>
                <w:spacing w:val="-3"/>
                <w:sz w:val="24"/>
                <w:szCs w:val="24"/>
              </w:rPr>
              <w:t xml:space="preserve">     </w:t>
            </w:r>
            <w:r w:rsidR="0012628C">
              <w:rPr>
                <w:rFonts w:ascii="Arial" w:hAnsi="Arial" w:cs="Arial"/>
                <w:spacing w:val="-3"/>
                <w:sz w:val="24"/>
                <w:szCs w:val="24"/>
              </w:rPr>
              <w:t xml:space="preserve">John F. Coleman, Jr., </w:t>
            </w:r>
            <w:r w:rsidR="005433A1" w:rsidRPr="00B2490C">
              <w:rPr>
                <w:rFonts w:ascii="Arial" w:hAnsi="Arial" w:cs="Arial"/>
                <w:spacing w:val="-3"/>
                <w:sz w:val="24"/>
                <w:szCs w:val="24"/>
              </w:rPr>
              <w:t>Vice Chairman</w:t>
            </w:r>
          </w:p>
        </w:tc>
        <w:tc>
          <w:tcPr>
            <w:tcW w:w="4860" w:type="dxa"/>
            <w:gridSpan w:val="3"/>
          </w:tcPr>
          <w:p w:rsidR="005433A1" w:rsidRPr="00B2490C" w:rsidRDefault="005433A1">
            <w:pPr>
              <w:rPr>
                <w:rFonts w:ascii="Arial" w:hAnsi="Arial" w:cs="Arial"/>
                <w:sz w:val="24"/>
                <w:szCs w:val="24"/>
              </w:rPr>
            </w:pPr>
          </w:p>
        </w:tc>
      </w:tr>
      <w:tr w:rsidR="005433A1" w:rsidRPr="00B2490C">
        <w:tc>
          <w:tcPr>
            <w:tcW w:w="4698" w:type="dxa"/>
            <w:gridSpan w:val="3"/>
          </w:tcPr>
          <w:p w:rsidR="005433A1" w:rsidRPr="00B2490C" w:rsidRDefault="00C55AE7" w:rsidP="00FA162D">
            <w:pPr>
              <w:rPr>
                <w:rFonts w:ascii="Arial" w:hAnsi="Arial" w:cs="Arial"/>
                <w:sz w:val="24"/>
                <w:szCs w:val="24"/>
              </w:rPr>
            </w:pPr>
            <w:r>
              <w:rPr>
                <w:rFonts w:ascii="Arial" w:hAnsi="Arial" w:cs="Arial"/>
                <w:sz w:val="24"/>
                <w:szCs w:val="24"/>
              </w:rPr>
              <w:t xml:space="preserve">     </w:t>
            </w:r>
            <w:r w:rsidR="005433A1" w:rsidRPr="00B2490C">
              <w:rPr>
                <w:rFonts w:ascii="Arial" w:hAnsi="Arial" w:cs="Arial"/>
                <w:sz w:val="24"/>
                <w:szCs w:val="24"/>
              </w:rPr>
              <w:t>Wayne E. Gardner</w:t>
            </w:r>
          </w:p>
        </w:tc>
        <w:tc>
          <w:tcPr>
            <w:tcW w:w="4860" w:type="dxa"/>
            <w:gridSpan w:val="3"/>
          </w:tcPr>
          <w:p w:rsidR="005433A1" w:rsidRPr="00B2490C" w:rsidRDefault="005433A1">
            <w:pPr>
              <w:rPr>
                <w:rFonts w:ascii="Arial" w:hAnsi="Arial" w:cs="Arial"/>
                <w:sz w:val="24"/>
                <w:szCs w:val="24"/>
              </w:rPr>
            </w:pPr>
          </w:p>
        </w:tc>
      </w:tr>
      <w:tr w:rsidR="005433A1" w:rsidRPr="00B2490C">
        <w:tc>
          <w:tcPr>
            <w:tcW w:w="4698" w:type="dxa"/>
            <w:gridSpan w:val="3"/>
          </w:tcPr>
          <w:p w:rsidR="005433A1" w:rsidRPr="00B2490C" w:rsidRDefault="00C55AE7" w:rsidP="00FA162D">
            <w:pPr>
              <w:rPr>
                <w:rFonts w:ascii="Arial" w:hAnsi="Arial" w:cs="Arial"/>
                <w:sz w:val="24"/>
                <w:szCs w:val="24"/>
              </w:rPr>
            </w:pPr>
            <w:r>
              <w:rPr>
                <w:rFonts w:ascii="Arial" w:hAnsi="Arial" w:cs="Arial"/>
                <w:spacing w:val="-3"/>
                <w:sz w:val="24"/>
                <w:szCs w:val="24"/>
              </w:rPr>
              <w:t xml:space="preserve">     </w:t>
            </w:r>
            <w:r w:rsidR="005433A1" w:rsidRPr="00B2490C">
              <w:rPr>
                <w:rFonts w:ascii="Arial" w:hAnsi="Arial" w:cs="Arial"/>
                <w:spacing w:val="-3"/>
                <w:sz w:val="24"/>
                <w:szCs w:val="24"/>
              </w:rPr>
              <w:t>James H. Cawley</w:t>
            </w:r>
          </w:p>
        </w:tc>
        <w:tc>
          <w:tcPr>
            <w:tcW w:w="4860" w:type="dxa"/>
            <w:gridSpan w:val="3"/>
          </w:tcPr>
          <w:p w:rsidR="005433A1" w:rsidRPr="00B2490C" w:rsidRDefault="005433A1">
            <w:pPr>
              <w:rPr>
                <w:rFonts w:ascii="Arial" w:hAnsi="Arial" w:cs="Arial"/>
                <w:sz w:val="24"/>
                <w:szCs w:val="24"/>
              </w:rPr>
            </w:pPr>
          </w:p>
        </w:tc>
      </w:tr>
      <w:tr w:rsidR="005433A1" w:rsidRPr="00B2490C">
        <w:tc>
          <w:tcPr>
            <w:tcW w:w="6228" w:type="dxa"/>
            <w:gridSpan w:val="4"/>
          </w:tcPr>
          <w:p w:rsidR="005433A1" w:rsidRPr="00B2490C" w:rsidRDefault="00C55AE7" w:rsidP="00FA162D">
            <w:pPr>
              <w:rPr>
                <w:rFonts w:ascii="Arial" w:hAnsi="Arial" w:cs="Arial"/>
                <w:sz w:val="24"/>
                <w:szCs w:val="24"/>
              </w:rPr>
            </w:pPr>
            <w:r>
              <w:rPr>
                <w:rFonts w:ascii="Arial" w:hAnsi="Arial" w:cs="Arial"/>
                <w:spacing w:val="-3"/>
                <w:sz w:val="24"/>
                <w:szCs w:val="24"/>
              </w:rPr>
              <w:t xml:space="preserve">     </w:t>
            </w:r>
            <w:r w:rsidR="005433A1" w:rsidRPr="00B2490C">
              <w:rPr>
                <w:rFonts w:ascii="Arial" w:hAnsi="Arial" w:cs="Arial"/>
                <w:spacing w:val="-3"/>
                <w:sz w:val="24"/>
                <w:szCs w:val="24"/>
              </w:rPr>
              <w:t>Pamela A. Witmer</w:t>
            </w:r>
          </w:p>
        </w:tc>
        <w:tc>
          <w:tcPr>
            <w:tcW w:w="3330" w:type="dxa"/>
            <w:gridSpan w:val="2"/>
          </w:tcPr>
          <w:p w:rsidR="005433A1" w:rsidRPr="00B2490C" w:rsidRDefault="005433A1">
            <w:pPr>
              <w:ind w:firstLine="1332"/>
              <w:rPr>
                <w:rFonts w:ascii="Arial" w:hAnsi="Arial" w:cs="Arial"/>
                <w:sz w:val="24"/>
                <w:szCs w:val="24"/>
              </w:rPr>
            </w:pPr>
          </w:p>
        </w:tc>
      </w:tr>
      <w:tr w:rsidR="005433A1" w:rsidRPr="00B2490C" w:rsidTr="00A909B2">
        <w:tc>
          <w:tcPr>
            <w:tcW w:w="4428" w:type="dxa"/>
            <w:gridSpan w:val="2"/>
          </w:tcPr>
          <w:p w:rsidR="005433A1" w:rsidRPr="00B2490C" w:rsidRDefault="005433A1" w:rsidP="00FA162D">
            <w:pPr>
              <w:rPr>
                <w:rFonts w:ascii="Arial" w:hAnsi="Arial" w:cs="Arial"/>
                <w:sz w:val="24"/>
                <w:szCs w:val="24"/>
              </w:rPr>
            </w:pPr>
          </w:p>
        </w:tc>
        <w:tc>
          <w:tcPr>
            <w:tcW w:w="1800" w:type="dxa"/>
            <w:gridSpan w:val="2"/>
            <w:vAlign w:val="center"/>
          </w:tcPr>
          <w:p w:rsidR="005433A1" w:rsidRPr="00B2490C" w:rsidRDefault="005433A1" w:rsidP="00F32FF7">
            <w:pPr>
              <w:jc w:val="center"/>
              <w:rPr>
                <w:rFonts w:ascii="Arial" w:hAnsi="Arial" w:cs="Arial"/>
                <w:sz w:val="24"/>
                <w:szCs w:val="24"/>
              </w:rPr>
            </w:pPr>
          </w:p>
        </w:tc>
        <w:tc>
          <w:tcPr>
            <w:tcW w:w="3330" w:type="dxa"/>
            <w:gridSpan w:val="2"/>
          </w:tcPr>
          <w:p w:rsidR="005433A1" w:rsidRPr="00B2490C" w:rsidRDefault="005433A1" w:rsidP="005F1DC0">
            <w:pPr>
              <w:rPr>
                <w:rFonts w:ascii="Arial" w:hAnsi="Arial" w:cs="Arial"/>
                <w:sz w:val="24"/>
                <w:szCs w:val="24"/>
              </w:rPr>
            </w:pPr>
            <w:r w:rsidRPr="00B2490C">
              <w:rPr>
                <w:rFonts w:ascii="Arial" w:hAnsi="Arial" w:cs="Arial"/>
                <w:sz w:val="24"/>
                <w:szCs w:val="24"/>
              </w:rPr>
              <w:t>Docket Number:</w:t>
            </w:r>
          </w:p>
          <w:p w:rsidR="005433A1" w:rsidRPr="00B2490C" w:rsidRDefault="005433A1" w:rsidP="005433A1">
            <w:pPr>
              <w:rPr>
                <w:rFonts w:ascii="Arial" w:hAnsi="Arial" w:cs="Arial"/>
                <w:i/>
                <w:sz w:val="24"/>
                <w:szCs w:val="24"/>
              </w:rPr>
            </w:pPr>
            <w:r w:rsidRPr="00B2490C">
              <w:rPr>
                <w:rFonts w:ascii="Arial" w:hAnsi="Arial" w:cs="Arial"/>
                <w:sz w:val="24"/>
                <w:szCs w:val="24"/>
              </w:rPr>
              <w:t>M-2011-</w:t>
            </w:r>
            <w:r w:rsidR="0046685D" w:rsidRPr="00B2490C">
              <w:rPr>
                <w:rFonts w:ascii="Arial" w:hAnsi="Arial" w:cs="Arial"/>
                <w:sz w:val="24"/>
                <w:szCs w:val="24"/>
              </w:rPr>
              <w:t>2258733</w:t>
            </w:r>
          </w:p>
        </w:tc>
      </w:tr>
      <w:tr w:rsidR="005433A1" w:rsidRPr="00B2490C">
        <w:tc>
          <w:tcPr>
            <w:tcW w:w="6228" w:type="dxa"/>
            <w:gridSpan w:val="4"/>
          </w:tcPr>
          <w:p w:rsidR="005433A1" w:rsidRPr="00B2490C" w:rsidRDefault="005433A1" w:rsidP="00160160">
            <w:pPr>
              <w:ind w:firstLine="450"/>
              <w:rPr>
                <w:rFonts w:ascii="Arial" w:hAnsi="Arial" w:cs="Arial"/>
                <w:sz w:val="24"/>
                <w:szCs w:val="24"/>
              </w:rPr>
            </w:pPr>
          </w:p>
        </w:tc>
        <w:tc>
          <w:tcPr>
            <w:tcW w:w="3330" w:type="dxa"/>
            <w:gridSpan w:val="2"/>
          </w:tcPr>
          <w:p w:rsidR="005433A1" w:rsidRPr="00B2490C" w:rsidRDefault="005433A1">
            <w:pPr>
              <w:ind w:firstLine="1332"/>
              <w:rPr>
                <w:rFonts w:ascii="Arial" w:hAnsi="Arial" w:cs="Arial"/>
                <w:sz w:val="24"/>
                <w:szCs w:val="24"/>
              </w:rPr>
            </w:pPr>
          </w:p>
        </w:tc>
      </w:tr>
      <w:tr w:rsidR="005433A1" w:rsidRPr="00B2490C">
        <w:tc>
          <w:tcPr>
            <w:tcW w:w="6228" w:type="dxa"/>
            <w:gridSpan w:val="4"/>
          </w:tcPr>
          <w:p w:rsidR="005433A1" w:rsidRPr="00B2490C" w:rsidRDefault="005433A1">
            <w:pPr>
              <w:jc w:val="center"/>
              <w:rPr>
                <w:rFonts w:ascii="Arial" w:hAnsi="Arial" w:cs="Arial"/>
                <w:sz w:val="24"/>
                <w:szCs w:val="24"/>
              </w:rPr>
            </w:pPr>
          </w:p>
        </w:tc>
        <w:tc>
          <w:tcPr>
            <w:tcW w:w="3330" w:type="dxa"/>
            <w:gridSpan w:val="2"/>
          </w:tcPr>
          <w:p w:rsidR="005433A1" w:rsidRPr="00B2490C" w:rsidRDefault="005433A1">
            <w:pPr>
              <w:ind w:firstLine="1332"/>
              <w:rPr>
                <w:rFonts w:ascii="Arial" w:hAnsi="Arial" w:cs="Arial"/>
                <w:sz w:val="24"/>
                <w:szCs w:val="24"/>
              </w:rPr>
            </w:pPr>
          </w:p>
        </w:tc>
      </w:tr>
    </w:tbl>
    <w:p w:rsidR="00F47908" w:rsidRPr="00B2490C" w:rsidRDefault="00F47908">
      <w:pPr>
        <w:jc w:val="center"/>
        <w:rPr>
          <w:rFonts w:ascii="Arial" w:hAnsi="Arial" w:cs="Arial"/>
          <w:b/>
          <w:sz w:val="24"/>
          <w:szCs w:val="24"/>
        </w:rPr>
      </w:pPr>
    </w:p>
    <w:p w:rsidR="00142BC5" w:rsidRPr="00B2490C" w:rsidRDefault="00142BC5">
      <w:pPr>
        <w:jc w:val="center"/>
        <w:rPr>
          <w:rFonts w:ascii="Arial" w:hAnsi="Arial" w:cs="Arial"/>
          <w:sz w:val="24"/>
          <w:szCs w:val="24"/>
        </w:rPr>
      </w:pPr>
      <w:r w:rsidRPr="00B2490C">
        <w:rPr>
          <w:rFonts w:ascii="Arial" w:hAnsi="Arial" w:cs="Arial"/>
          <w:b/>
          <w:sz w:val="24"/>
          <w:szCs w:val="24"/>
        </w:rPr>
        <w:t>ORDER</w:t>
      </w:r>
    </w:p>
    <w:p w:rsidR="00AC1019" w:rsidRPr="00B2490C" w:rsidRDefault="00AC1019">
      <w:pPr>
        <w:spacing w:line="360" w:lineRule="auto"/>
        <w:rPr>
          <w:rFonts w:ascii="Arial" w:hAnsi="Arial" w:cs="Arial"/>
          <w:b/>
          <w:sz w:val="24"/>
          <w:szCs w:val="24"/>
        </w:rPr>
      </w:pPr>
    </w:p>
    <w:p w:rsidR="00142BC5" w:rsidRPr="00B2490C" w:rsidRDefault="00142BC5">
      <w:pPr>
        <w:spacing w:line="360" w:lineRule="auto"/>
        <w:rPr>
          <w:rFonts w:ascii="Arial" w:hAnsi="Arial" w:cs="Arial"/>
          <w:b/>
          <w:sz w:val="24"/>
          <w:szCs w:val="24"/>
        </w:rPr>
      </w:pPr>
      <w:r w:rsidRPr="00B2490C">
        <w:rPr>
          <w:rFonts w:ascii="Arial" w:hAnsi="Arial" w:cs="Arial"/>
          <w:b/>
          <w:sz w:val="24"/>
          <w:szCs w:val="24"/>
        </w:rPr>
        <w:t>BY THE COMMISSION:</w:t>
      </w:r>
    </w:p>
    <w:p w:rsidR="00142BC5" w:rsidRPr="00B2490C" w:rsidRDefault="00142BC5">
      <w:pPr>
        <w:spacing w:line="360" w:lineRule="auto"/>
        <w:rPr>
          <w:rFonts w:ascii="Arial" w:hAnsi="Arial" w:cs="Arial"/>
          <w:sz w:val="24"/>
          <w:szCs w:val="24"/>
        </w:rPr>
      </w:pPr>
    </w:p>
    <w:p w:rsidR="00A82616" w:rsidRPr="00B2490C" w:rsidRDefault="005433A1" w:rsidP="00775DEA">
      <w:pPr>
        <w:spacing w:line="360" w:lineRule="auto"/>
        <w:ind w:firstLine="720"/>
        <w:rPr>
          <w:rFonts w:ascii="Arial" w:hAnsi="Arial" w:cs="Arial"/>
          <w:sz w:val="24"/>
          <w:szCs w:val="24"/>
        </w:rPr>
      </w:pPr>
      <w:r w:rsidRPr="00B2490C">
        <w:rPr>
          <w:rFonts w:ascii="Arial" w:hAnsi="Arial" w:cs="Arial"/>
          <w:sz w:val="24"/>
          <w:szCs w:val="24"/>
        </w:rPr>
        <w:t xml:space="preserve"> </w:t>
      </w:r>
      <w:r w:rsidR="00B65F20" w:rsidRPr="00B2490C">
        <w:rPr>
          <w:rFonts w:ascii="Arial" w:hAnsi="Arial" w:cs="Arial"/>
          <w:sz w:val="24"/>
          <w:szCs w:val="24"/>
        </w:rPr>
        <w:t xml:space="preserve">On August 22, 2011, PPL Electric Utilities Corporation (PPL </w:t>
      </w:r>
      <w:r w:rsidR="008610B6" w:rsidRPr="00B2490C">
        <w:rPr>
          <w:rFonts w:ascii="Arial" w:hAnsi="Arial" w:cs="Arial"/>
          <w:sz w:val="24"/>
          <w:szCs w:val="24"/>
        </w:rPr>
        <w:t xml:space="preserve">Electric </w:t>
      </w:r>
      <w:r w:rsidR="00B65F20" w:rsidRPr="00B2490C">
        <w:rPr>
          <w:rFonts w:ascii="Arial" w:hAnsi="Arial" w:cs="Arial"/>
          <w:sz w:val="24"/>
          <w:szCs w:val="24"/>
        </w:rPr>
        <w:t>or Company)</w:t>
      </w:r>
      <w:r w:rsidRPr="00B2490C">
        <w:rPr>
          <w:rFonts w:ascii="Arial" w:hAnsi="Arial" w:cs="Arial"/>
          <w:sz w:val="24"/>
          <w:szCs w:val="24"/>
        </w:rPr>
        <w:t>, submitted</w:t>
      </w:r>
      <w:r w:rsidR="00B65F20" w:rsidRPr="00B2490C">
        <w:rPr>
          <w:rFonts w:ascii="Arial" w:hAnsi="Arial" w:cs="Arial"/>
          <w:sz w:val="24"/>
          <w:szCs w:val="24"/>
        </w:rPr>
        <w:t xml:space="preserve">, in accordance with its Generation Supply Charge-1 </w:t>
      </w:r>
      <w:r w:rsidR="008B296E" w:rsidRPr="00B2490C">
        <w:rPr>
          <w:rFonts w:ascii="Arial" w:hAnsi="Arial" w:cs="Arial"/>
          <w:sz w:val="24"/>
          <w:szCs w:val="24"/>
        </w:rPr>
        <w:t>(GSC-1) Rider</w:t>
      </w:r>
      <w:r w:rsidRPr="00B2490C">
        <w:rPr>
          <w:rFonts w:ascii="Arial" w:hAnsi="Arial" w:cs="Arial"/>
          <w:sz w:val="24"/>
          <w:szCs w:val="24"/>
        </w:rPr>
        <w:t xml:space="preserve">, its GSC-1 quarterly rate update proposing revised GSC-1 rates to become effective September 1, 2011.  </w:t>
      </w:r>
    </w:p>
    <w:p w:rsidR="00A82616" w:rsidRPr="00B2490C" w:rsidRDefault="00A82616" w:rsidP="00775DEA">
      <w:pPr>
        <w:spacing w:line="360" w:lineRule="auto"/>
        <w:ind w:firstLine="720"/>
        <w:rPr>
          <w:rFonts w:ascii="Arial" w:hAnsi="Arial" w:cs="Arial"/>
          <w:sz w:val="24"/>
          <w:szCs w:val="24"/>
        </w:rPr>
      </w:pPr>
    </w:p>
    <w:p w:rsidR="00A82616" w:rsidRPr="00B2490C" w:rsidRDefault="00A82616" w:rsidP="00775DEA">
      <w:pPr>
        <w:spacing w:line="360" w:lineRule="auto"/>
        <w:ind w:firstLine="720"/>
        <w:rPr>
          <w:rFonts w:ascii="Arial" w:hAnsi="Arial" w:cs="Arial"/>
          <w:sz w:val="24"/>
          <w:szCs w:val="24"/>
        </w:rPr>
      </w:pPr>
      <w:r w:rsidRPr="00B2490C">
        <w:rPr>
          <w:rFonts w:ascii="Arial" w:hAnsi="Arial" w:cs="Arial"/>
          <w:sz w:val="24"/>
          <w:szCs w:val="24"/>
        </w:rPr>
        <w:t>The GSC-1 Rider provides for the rates to be adjusted quarterly to reflect the projections of the Company’s costs to acquire generation supply, adjusted for losses and including Alternative Energy Credits, for the computation quarter including all direct and indirect costs of generation supply to be acquired by the Company from any source plus any associated generation supply related procurement and administration costs.  The GSC-1 rates are also to reflect the over or under recovery of GSC-1 related costs from the quarterly reconciliation period ended one month prior to the GSC-1 application period.  The GSC-1 rate adjustments are filed ten days prior to the revised rates</w:t>
      </w:r>
      <w:r w:rsidR="0012628C">
        <w:rPr>
          <w:rFonts w:ascii="Arial" w:hAnsi="Arial" w:cs="Arial"/>
          <w:sz w:val="24"/>
          <w:szCs w:val="24"/>
        </w:rPr>
        <w:t>’</w:t>
      </w:r>
      <w:r w:rsidRPr="00B2490C">
        <w:rPr>
          <w:rFonts w:ascii="Arial" w:hAnsi="Arial" w:cs="Arial"/>
          <w:sz w:val="24"/>
          <w:szCs w:val="24"/>
        </w:rPr>
        <w:t xml:space="preserve"> effective date.</w:t>
      </w:r>
    </w:p>
    <w:p w:rsidR="00A82616" w:rsidRPr="00B2490C" w:rsidRDefault="00A82616" w:rsidP="00775DEA">
      <w:pPr>
        <w:spacing w:line="360" w:lineRule="auto"/>
        <w:ind w:firstLine="720"/>
        <w:rPr>
          <w:rFonts w:ascii="Arial" w:hAnsi="Arial" w:cs="Arial"/>
          <w:sz w:val="24"/>
          <w:szCs w:val="24"/>
        </w:rPr>
      </w:pPr>
    </w:p>
    <w:p w:rsidR="00494ABE" w:rsidRPr="00B2490C" w:rsidRDefault="00463D7D" w:rsidP="00775DEA">
      <w:pPr>
        <w:spacing w:line="360" w:lineRule="auto"/>
        <w:ind w:firstLine="720"/>
        <w:rPr>
          <w:rFonts w:ascii="Arial" w:hAnsi="Arial" w:cs="Arial"/>
          <w:sz w:val="24"/>
          <w:szCs w:val="24"/>
        </w:rPr>
      </w:pPr>
      <w:r w:rsidRPr="00B2490C">
        <w:rPr>
          <w:rFonts w:ascii="Arial" w:hAnsi="Arial" w:cs="Arial"/>
          <w:sz w:val="24"/>
          <w:szCs w:val="24"/>
        </w:rPr>
        <w:t xml:space="preserve">The August 22, 2011 GSC-1 filing reflects rates, inclusive of GRT, for Residential Customers </w:t>
      </w:r>
      <w:r w:rsidR="00637A23" w:rsidRPr="00B2490C">
        <w:rPr>
          <w:rFonts w:ascii="Arial" w:hAnsi="Arial" w:cs="Arial"/>
          <w:sz w:val="24"/>
          <w:szCs w:val="24"/>
        </w:rPr>
        <w:t>for</w:t>
      </w:r>
      <w:r w:rsidR="00BB6F69" w:rsidRPr="00B2490C">
        <w:rPr>
          <w:rFonts w:ascii="Arial" w:hAnsi="Arial" w:cs="Arial"/>
          <w:sz w:val="24"/>
          <w:szCs w:val="24"/>
        </w:rPr>
        <w:t xml:space="preserve"> </w:t>
      </w:r>
      <w:r w:rsidRPr="00B2490C">
        <w:rPr>
          <w:rFonts w:ascii="Arial" w:hAnsi="Arial" w:cs="Arial"/>
          <w:sz w:val="24"/>
          <w:szCs w:val="24"/>
        </w:rPr>
        <w:t xml:space="preserve">on-peak TOU </w:t>
      </w:r>
      <w:r w:rsidR="00637A23" w:rsidRPr="00B2490C">
        <w:rPr>
          <w:rFonts w:ascii="Arial" w:hAnsi="Arial" w:cs="Arial"/>
          <w:sz w:val="24"/>
          <w:szCs w:val="24"/>
        </w:rPr>
        <w:t xml:space="preserve">service </w:t>
      </w:r>
      <w:r w:rsidRPr="00B2490C">
        <w:rPr>
          <w:rFonts w:ascii="Arial" w:hAnsi="Arial" w:cs="Arial"/>
          <w:sz w:val="24"/>
          <w:szCs w:val="24"/>
        </w:rPr>
        <w:t xml:space="preserve">of $0.33338 per KWH for summer hours from September 1, 2011 through September 30, 2011 and $0.33170 per KWH for non-summer hours from October 1, 2011 through November 30, 2011; for Residential Customers </w:t>
      </w:r>
      <w:r w:rsidR="00637A23" w:rsidRPr="00B2490C">
        <w:rPr>
          <w:rFonts w:ascii="Arial" w:hAnsi="Arial" w:cs="Arial"/>
          <w:sz w:val="24"/>
          <w:szCs w:val="24"/>
        </w:rPr>
        <w:t>for</w:t>
      </w:r>
      <w:r w:rsidR="000103AF" w:rsidRPr="00B2490C">
        <w:rPr>
          <w:rFonts w:ascii="Arial" w:hAnsi="Arial" w:cs="Arial"/>
          <w:sz w:val="24"/>
          <w:szCs w:val="24"/>
        </w:rPr>
        <w:t xml:space="preserve"> </w:t>
      </w:r>
      <w:r w:rsidRPr="00B2490C">
        <w:rPr>
          <w:rFonts w:ascii="Arial" w:hAnsi="Arial" w:cs="Arial"/>
          <w:sz w:val="24"/>
          <w:szCs w:val="24"/>
        </w:rPr>
        <w:t xml:space="preserve">off-peak TOU </w:t>
      </w:r>
      <w:r w:rsidR="00637A23" w:rsidRPr="00B2490C">
        <w:rPr>
          <w:rFonts w:ascii="Arial" w:hAnsi="Arial" w:cs="Arial"/>
          <w:sz w:val="24"/>
          <w:szCs w:val="24"/>
        </w:rPr>
        <w:t>service</w:t>
      </w:r>
      <w:r w:rsidR="007B5F5A" w:rsidRPr="00B2490C">
        <w:rPr>
          <w:rFonts w:ascii="Arial" w:hAnsi="Arial" w:cs="Arial"/>
          <w:sz w:val="24"/>
          <w:szCs w:val="24"/>
        </w:rPr>
        <w:t>,</w:t>
      </w:r>
      <w:r w:rsidR="00637A23" w:rsidRPr="00B2490C">
        <w:rPr>
          <w:rFonts w:ascii="Arial" w:hAnsi="Arial" w:cs="Arial"/>
          <w:sz w:val="24"/>
          <w:szCs w:val="24"/>
        </w:rPr>
        <w:t xml:space="preserve"> </w:t>
      </w:r>
      <w:r w:rsidR="007B5F5A" w:rsidRPr="00B2490C">
        <w:rPr>
          <w:rFonts w:ascii="Arial" w:hAnsi="Arial" w:cs="Arial"/>
          <w:sz w:val="24"/>
          <w:szCs w:val="24"/>
        </w:rPr>
        <w:t xml:space="preserve">rates </w:t>
      </w:r>
      <w:r w:rsidRPr="00B2490C">
        <w:rPr>
          <w:rFonts w:ascii="Arial" w:hAnsi="Arial" w:cs="Arial"/>
          <w:sz w:val="24"/>
          <w:szCs w:val="24"/>
        </w:rPr>
        <w:t>of $0.28625 per KWH for summer hours from September 1, 2011 through September 30, 2011 and $0.29961 per KWH for non-summer hours from October 31, 2011 through November 30, 2011; for Small C&amp;I Customers</w:t>
      </w:r>
      <w:r w:rsidR="00BB6F69" w:rsidRPr="00B2490C">
        <w:rPr>
          <w:rFonts w:ascii="Arial" w:hAnsi="Arial" w:cs="Arial"/>
          <w:sz w:val="24"/>
          <w:szCs w:val="24"/>
        </w:rPr>
        <w:t xml:space="preserve"> </w:t>
      </w:r>
      <w:r w:rsidR="00637A23" w:rsidRPr="00B2490C">
        <w:rPr>
          <w:rFonts w:ascii="Arial" w:hAnsi="Arial" w:cs="Arial"/>
          <w:sz w:val="24"/>
          <w:szCs w:val="24"/>
        </w:rPr>
        <w:t>for</w:t>
      </w:r>
      <w:r w:rsidRPr="00B2490C">
        <w:rPr>
          <w:rFonts w:ascii="Arial" w:hAnsi="Arial" w:cs="Arial"/>
          <w:sz w:val="24"/>
          <w:szCs w:val="24"/>
        </w:rPr>
        <w:t xml:space="preserve"> on-peak TOU </w:t>
      </w:r>
      <w:r w:rsidR="00637A23" w:rsidRPr="00B2490C">
        <w:rPr>
          <w:rFonts w:ascii="Arial" w:hAnsi="Arial" w:cs="Arial"/>
          <w:sz w:val="24"/>
          <w:szCs w:val="24"/>
        </w:rPr>
        <w:t>service</w:t>
      </w:r>
      <w:r w:rsidR="007B5F5A" w:rsidRPr="00B2490C">
        <w:rPr>
          <w:rFonts w:ascii="Arial" w:hAnsi="Arial" w:cs="Arial"/>
          <w:sz w:val="24"/>
          <w:szCs w:val="24"/>
        </w:rPr>
        <w:t>,</w:t>
      </w:r>
      <w:r w:rsidR="00637A23" w:rsidRPr="00B2490C">
        <w:rPr>
          <w:rFonts w:ascii="Arial" w:hAnsi="Arial" w:cs="Arial"/>
          <w:sz w:val="24"/>
          <w:szCs w:val="24"/>
        </w:rPr>
        <w:t xml:space="preserve"> </w:t>
      </w:r>
      <w:r w:rsidR="007B5F5A" w:rsidRPr="00B2490C">
        <w:rPr>
          <w:rFonts w:ascii="Arial" w:hAnsi="Arial" w:cs="Arial"/>
          <w:sz w:val="24"/>
          <w:szCs w:val="24"/>
        </w:rPr>
        <w:t xml:space="preserve">rates </w:t>
      </w:r>
      <w:r w:rsidRPr="00B2490C">
        <w:rPr>
          <w:rFonts w:ascii="Arial" w:hAnsi="Arial" w:cs="Arial"/>
          <w:sz w:val="24"/>
          <w:szCs w:val="24"/>
        </w:rPr>
        <w:t>of $0.25116 per KWH for summer hours from September 1, 2011 through September 30, 2011 and $0.25915 per KWH for non-summer hours from October 1, 2011 through November 30, 2011;</w:t>
      </w:r>
      <w:r w:rsidR="00964543" w:rsidRPr="00B2490C">
        <w:rPr>
          <w:rFonts w:ascii="Arial" w:hAnsi="Arial" w:cs="Arial"/>
          <w:sz w:val="24"/>
          <w:szCs w:val="24"/>
        </w:rPr>
        <w:t xml:space="preserve"> and </w:t>
      </w:r>
      <w:r w:rsidRPr="00B2490C">
        <w:rPr>
          <w:rFonts w:ascii="Arial" w:hAnsi="Arial" w:cs="Arial"/>
          <w:sz w:val="24"/>
          <w:szCs w:val="24"/>
        </w:rPr>
        <w:t xml:space="preserve">for Small C&amp;I Customers </w:t>
      </w:r>
      <w:r w:rsidR="00637A23" w:rsidRPr="00B2490C">
        <w:rPr>
          <w:rFonts w:ascii="Arial" w:hAnsi="Arial" w:cs="Arial"/>
          <w:sz w:val="24"/>
          <w:szCs w:val="24"/>
        </w:rPr>
        <w:t>for</w:t>
      </w:r>
      <w:r w:rsidR="00BB6F69" w:rsidRPr="00B2490C">
        <w:rPr>
          <w:rFonts w:ascii="Arial" w:hAnsi="Arial" w:cs="Arial"/>
          <w:sz w:val="24"/>
          <w:szCs w:val="24"/>
        </w:rPr>
        <w:t xml:space="preserve"> </w:t>
      </w:r>
      <w:r w:rsidRPr="00B2490C">
        <w:rPr>
          <w:rFonts w:ascii="Arial" w:hAnsi="Arial" w:cs="Arial"/>
          <w:sz w:val="24"/>
          <w:szCs w:val="24"/>
        </w:rPr>
        <w:t xml:space="preserve">off-peak TOU </w:t>
      </w:r>
      <w:r w:rsidR="00637A23" w:rsidRPr="00B2490C">
        <w:rPr>
          <w:rFonts w:ascii="Arial" w:hAnsi="Arial" w:cs="Arial"/>
          <w:sz w:val="24"/>
          <w:szCs w:val="24"/>
        </w:rPr>
        <w:t>service</w:t>
      </w:r>
      <w:r w:rsidR="007B5F5A" w:rsidRPr="00B2490C">
        <w:rPr>
          <w:rFonts w:ascii="Arial" w:hAnsi="Arial" w:cs="Arial"/>
          <w:sz w:val="24"/>
          <w:szCs w:val="24"/>
        </w:rPr>
        <w:t>, rates</w:t>
      </w:r>
      <w:r w:rsidR="00637A23" w:rsidRPr="00B2490C">
        <w:rPr>
          <w:rFonts w:ascii="Arial" w:hAnsi="Arial" w:cs="Arial"/>
          <w:sz w:val="24"/>
          <w:szCs w:val="24"/>
        </w:rPr>
        <w:t xml:space="preserve"> </w:t>
      </w:r>
      <w:r w:rsidRPr="00B2490C">
        <w:rPr>
          <w:rFonts w:ascii="Arial" w:hAnsi="Arial" w:cs="Arial"/>
          <w:sz w:val="24"/>
          <w:szCs w:val="24"/>
        </w:rPr>
        <w:t>of $0.07644 per KWH for summer hours from September 1, 2011 through September 30, 2011 and $0.08114 per KWH for non-summer hours from October 31, 2011 through November 30, 2011.</w:t>
      </w:r>
    </w:p>
    <w:p w:rsidR="00BB6F69" w:rsidRPr="00B2490C" w:rsidRDefault="00BB6F69" w:rsidP="00775DEA">
      <w:pPr>
        <w:spacing w:line="360" w:lineRule="auto"/>
        <w:ind w:firstLine="720"/>
        <w:rPr>
          <w:rFonts w:ascii="Arial" w:hAnsi="Arial" w:cs="Arial"/>
          <w:sz w:val="24"/>
          <w:szCs w:val="24"/>
        </w:rPr>
      </w:pPr>
    </w:p>
    <w:p w:rsidR="00BB6F69" w:rsidRPr="00B2490C" w:rsidRDefault="00BB6F69" w:rsidP="00775DEA">
      <w:pPr>
        <w:spacing w:line="360" w:lineRule="auto"/>
        <w:ind w:firstLine="720"/>
        <w:rPr>
          <w:rFonts w:ascii="Arial" w:hAnsi="Arial" w:cs="Arial"/>
          <w:sz w:val="24"/>
          <w:szCs w:val="24"/>
        </w:rPr>
      </w:pPr>
      <w:r w:rsidRPr="00B2490C">
        <w:rPr>
          <w:rFonts w:ascii="Arial" w:hAnsi="Arial" w:cs="Arial"/>
          <w:sz w:val="24"/>
          <w:szCs w:val="24"/>
        </w:rPr>
        <w:t xml:space="preserve">The August 22, 2011 filing also reflects </w:t>
      </w:r>
      <w:r w:rsidR="007E0E4C" w:rsidRPr="00B2490C">
        <w:rPr>
          <w:rFonts w:ascii="Arial" w:hAnsi="Arial" w:cs="Arial"/>
          <w:sz w:val="24"/>
          <w:szCs w:val="24"/>
        </w:rPr>
        <w:t xml:space="preserve">Fixed Price </w:t>
      </w:r>
      <w:r w:rsidR="00DA1441" w:rsidRPr="00B2490C">
        <w:rPr>
          <w:rFonts w:ascii="Arial" w:hAnsi="Arial" w:cs="Arial"/>
          <w:sz w:val="24"/>
          <w:szCs w:val="24"/>
        </w:rPr>
        <w:t xml:space="preserve">Default </w:t>
      </w:r>
      <w:r w:rsidR="007E0E4C" w:rsidRPr="00B2490C">
        <w:rPr>
          <w:rFonts w:ascii="Arial" w:hAnsi="Arial" w:cs="Arial"/>
          <w:sz w:val="24"/>
          <w:szCs w:val="24"/>
        </w:rPr>
        <w:t xml:space="preserve">Service rates of $0.07683 per KWH and $0.09319 per KWH for </w:t>
      </w:r>
      <w:r w:rsidRPr="00B2490C">
        <w:rPr>
          <w:rFonts w:ascii="Arial" w:hAnsi="Arial" w:cs="Arial"/>
          <w:sz w:val="24"/>
          <w:szCs w:val="24"/>
        </w:rPr>
        <w:t>Residential Customer</w:t>
      </w:r>
      <w:r w:rsidR="007E0E4C" w:rsidRPr="00B2490C">
        <w:rPr>
          <w:rFonts w:ascii="Arial" w:hAnsi="Arial" w:cs="Arial"/>
          <w:sz w:val="24"/>
          <w:szCs w:val="24"/>
        </w:rPr>
        <w:t>s</w:t>
      </w:r>
      <w:r w:rsidRPr="00B2490C">
        <w:rPr>
          <w:rFonts w:ascii="Arial" w:hAnsi="Arial" w:cs="Arial"/>
          <w:sz w:val="24"/>
          <w:szCs w:val="24"/>
        </w:rPr>
        <w:t xml:space="preserve"> </w:t>
      </w:r>
      <w:r w:rsidR="007E0E4C" w:rsidRPr="00B2490C">
        <w:rPr>
          <w:rFonts w:ascii="Arial" w:hAnsi="Arial" w:cs="Arial"/>
          <w:sz w:val="24"/>
          <w:szCs w:val="24"/>
        </w:rPr>
        <w:t>and Small C&amp;I Customers, respectively.</w:t>
      </w:r>
    </w:p>
    <w:p w:rsidR="00CC3B69" w:rsidRPr="00B2490C" w:rsidRDefault="00CC3B69" w:rsidP="00775DEA">
      <w:pPr>
        <w:spacing w:line="360" w:lineRule="auto"/>
        <w:ind w:firstLine="720"/>
        <w:rPr>
          <w:rFonts w:ascii="Arial" w:hAnsi="Arial" w:cs="Arial"/>
          <w:sz w:val="24"/>
          <w:szCs w:val="24"/>
        </w:rPr>
      </w:pPr>
    </w:p>
    <w:p w:rsidR="00494ABE" w:rsidRPr="00B2490C" w:rsidRDefault="00CC3B69" w:rsidP="00775DEA">
      <w:pPr>
        <w:spacing w:line="360" w:lineRule="auto"/>
        <w:ind w:firstLine="720"/>
        <w:rPr>
          <w:rFonts w:ascii="Arial" w:hAnsi="Arial" w:cs="Arial"/>
          <w:sz w:val="24"/>
          <w:szCs w:val="24"/>
        </w:rPr>
      </w:pPr>
      <w:r w:rsidRPr="00B2490C">
        <w:rPr>
          <w:rFonts w:ascii="Arial" w:hAnsi="Arial" w:cs="Arial"/>
          <w:sz w:val="24"/>
          <w:szCs w:val="24"/>
        </w:rPr>
        <w:t xml:space="preserve">The proposed Residential Customer on-peak and off-peak TOU rates and the Small C&amp;I on-peak TOU rates are significantly above the proposed Fixed Price </w:t>
      </w:r>
      <w:r w:rsidR="00DA1441" w:rsidRPr="00B2490C">
        <w:rPr>
          <w:rFonts w:ascii="Arial" w:hAnsi="Arial" w:cs="Arial"/>
          <w:sz w:val="24"/>
          <w:szCs w:val="24"/>
        </w:rPr>
        <w:t xml:space="preserve">Default </w:t>
      </w:r>
      <w:r w:rsidRPr="00B2490C">
        <w:rPr>
          <w:rFonts w:ascii="Arial" w:hAnsi="Arial" w:cs="Arial"/>
          <w:sz w:val="24"/>
          <w:szCs w:val="24"/>
        </w:rPr>
        <w:t xml:space="preserve">Service rates. </w:t>
      </w:r>
      <w:r w:rsidR="00BE5938" w:rsidRPr="00B2490C">
        <w:rPr>
          <w:rFonts w:ascii="Arial" w:hAnsi="Arial" w:cs="Arial"/>
          <w:sz w:val="24"/>
          <w:szCs w:val="24"/>
        </w:rPr>
        <w:t xml:space="preserve"> The proposed TOU rates are almost four times the comparable fixed rates and approximately three times the current TOU rates that went into effect June 1, 2011.</w:t>
      </w:r>
    </w:p>
    <w:p w:rsidR="00964543" w:rsidRPr="00B2490C" w:rsidRDefault="00964543" w:rsidP="00775DEA">
      <w:pPr>
        <w:spacing w:line="360" w:lineRule="auto"/>
        <w:ind w:firstLine="720"/>
        <w:rPr>
          <w:rFonts w:ascii="Arial" w:hAnsi="Arial" w:cs="Arial"/>
          <w:sz w:val="24"/>
          <w:szCs w:val="24"/>
        </w:rPr>
      </w:pPr>
    </w:p>
    <w:p w:rsidR="00964543" w:rsidRPr="00B2490C" w:rsidRDefault="005058F2" w:rsidP="00775DEA">
      <w:pPr>
        <w:spacing w:line="360" w:lineRule="auto"/>
        <w:ind w:firstLine="720"/>
        <w:rPr>
          <w:rFonts w:ascii="Arial" w:hAnsi="Arial" w:cs="Arial"/>
          <w:sz w:val="24"/>
          <w:szCs w:val="24"/>
        </w:rPr>
      </w:pPr>
      <w:r w:rsidRPr="00B2490C">
        <w:rPr>
          <w:rFonts w:ascii="Arial" w:hAnsi="Arial" w:cs="Arial"/>
          <w:sz w:val="24"/>
          <w:szCs w:val="24"/>
        </w:rPr>
        <w:t xml:space="preserve">In </w:t>
      </w:r>
      <w:r w:rsidR="00944E5E">
        <w:rPr>
          <w:rFonts w:ascii="Arial" w:hAnsi="Arial" w:cs="Arial"/>
          <w:sz w:val="24"/>
          <w:szCs w:val="24"/>
        </w:rPr>
        <w:t>i</w:t>
      </w:r>
      <w:r w:rsidRPr="00B2490C">
        <w:rPr>
          <w:rFonts w:ascii="Arial" w:hAnsi="Arial" w:cs="Arial"/>
          <w:sz w:val="24"/>
          <w:szCs w:val="24"/>
        </w:rPr>
        <w:t>t</w:t>
      </w:r>
      <w:r w:rsidR="00944E5E">
        <w:rPr>
          <w:rFonts w:ascii="Arial" w:hAnsi="Arial" w:cs="Arial"/>
          <w:sz w:val="24"/>
          <w:szCs w:val="24"/>
        </w:rPr>
        <w:t>s</w:t>
      </w:r>
      <w:r w:rsidRPr="00B2490C">
        <w:rPr>
          <w:rFonts w:ascii="Arial" w:hAnsi="Arial" w:cs="Arial"/>
          <w:sz w:val="24"/>
          <w:szCs w:val="24"/>
        </w:rPr>
        <w:t xml:space="preserve"> filing, </w:t>
      </w:r>
      <w:r w:rsidR="00964543" w:rsidRPr="00B2490C">
        <w:rPr>
          <w:rFonts w:ascii="Arial" w:hAnsi="Arial" w:cs="Arial"/>
          <w:sz w:val="24"/>
          <w:szCs w:val="24"/>
        </w:rPr>
        <w:t xml:space="preserve">PPL </w:t>
      </w:r>
      <w:r w:rsidR="008610B6" w:rsidRPr="00B2490C">
        <w:rPr>
          <w:rFonts w:ascii="Arial" w:hAnsi="Arial" w:cs="Arial"/>
          <w:sz w:val="24"/>
          <w:szCs w:val="24"/>
        </w:rPr>
        <w:t xml:space="preserve">Electric </w:t>
      </w:r>
      <w:r w:rsidR="00964543" w:rsidRPr="00B2490C">
        <w:rPr>
          <w:rFonts w:ascii="Arial" w:hAnsi="Arial" w:cs="Arial"/>
          <w:sz w:val="24"/>
          <w:szCs w:val="24"/>
        </w:rPr>
        <w:t>expressed its concern</w:t>
      </w:r>
      <w:r w:rsidR="00637FCB" w:rsidRPr="00B2490C">
        <w:rPr>
          <w:rFonts w:ascii="Arial" w:hAnsi="Arial" w:cs="Arial"/>
          <w:sz w:val="24"/>
          <w:szCs w:val="24"/>
        </w:rPr>
        <w:t xml:space="preserve"> </w:t>
      </w:r>
      <w:r w:rsidR="00964543" w:rsidRPr="00B2490C">
        <w:rPr>
          <w:rFonts w:ascii="Arial" w:hAnsi="Arial" w:cs="Arial"/>
          <w:sz w:val="24"/>
          <w:szCs w:val="24"/>
        </w:rPr>
        <w:t xml:space="preserve">that the proposed TOU rates will adversely affect </w:t>
      </w:r>
      <w:r w:rsidR="00637FCB" w:rsidRPr="00B2490C">
        <w:rPr>
          <w:rFonts w:ascii="Arial" w:hAnsi="Arial" w:cs="Arial"/>
          <w:sz w:val="24"/>
          <w:szCs w:val="24"/>
        </w:rPr>
        <w:t xml:space="preserve">the </w:t>
      </w:r>
      <w:r w:rsidR="0012628C">
        <w:rPr>
          <w:rFonts w:ascii="Arial" w:hAnsi="Arial" w:cs="Arial"/>
          <w:sz w:val="24"/>
          <w:szCs w:val="24"/>
        </w:rPr>
        <w:t>approximate</w:t>
      </w:r>
      <w:r w:rsidR="00637FCB" w:rsidRPr="00B2490C">
        <w:rPr>
          <w:rFonts w:ascii="Arial" w:hAnsi="Arial" w:cs="Arial"/>
          <w:sz w:val="24"/>
          <w:szCs w:val="24"/>
        </w:rPr>
        <w:t xml:space="preserve"> 5,000</w:t>
      </w:r>
      <w:r w:rsidR="0012628C">
        <w:rPr>
          <w:rFonts w:ascii="Arial" w:hAnsi="Arial" w:cs="Arial"/>
          <w:sz w:val="24"/>
          <w:szCs w:val="24"/>
        </w:rPr>
        <w:t xml:space="preserve"> customers </w:t>
      </w:r>
      <w:r w:rsidR="00637FCB" w:rsidRPr="00B2490C">
        <w:rPr>
          <w:rFonts w:ascii="Arial" w:hAnsi="Arial" w:cs="Arial"/>
          <w:sz w:val="24"/>
          <w:szCs w:val="24"/>
        </w:rPr>
        <w:t>currently taking service under the TOU rate option.  The Company also stated that even if these customers would elect to shop with an Electric Generation Supplier or transfer</w:t>
      </w:r>
      <w:r w:rsidR="008610B6" w:rsidRPr="00B2490C">
        <w:rPr>
          <w:rFonts w:ascii="Arial" w:hAnsi="Arial" w:cs="Arial"/>
          <w:sz w:val="24"/>
          <w:szCs w:val="24"/>
        </w:rPr>
        <w:t xml:space="preserve"> to the Fixed Price </w:t>
      </w:r>
      <w:r w:rsidR="00DA1441" w:rsidRPr="00B2490C">
        <w:rPr>
          <w:rFonts w:ascii="Arial" w:hAnsi="Arial" w:cs="Arial"/>
          <w:sz w:val="24"/>
          <w:szCs w:val="24"/>
        </w:rPr>
        <w:t xml:space="preserve">Default </w:t>
      </w:r>
      <w:r w:rsidR="008610B6" w:rsidRPr="00B2490C">
        <w:rPr>
          <w:rFonts w:ascii="Arial" w:hAnsi="Arial" w:cs="Arial"/>
          <w:sz w:val="24"/>
          <w:szCs w:val="24"/>
        </w:rPr>
        <w:t>Service option, they would experience a significant rate increase for the 30 to 45 day period required for PPL Electric</w:t>
      </w:r>
      <w:r w:rsidRPr="00B2490C">
        <w:rPr>
          <w:rFonts w:ascii="Arial" w:hAnsi="Arial" w:cs="Arial"/>
          <w:sz w:val="24"/>
          <w:szCs w:val="24"/>
        </w:rPr>
        <w:t xml:space="preserve"> to process the switch.</w:t>
      </w:r>
    </w:p>
    <w:p w:rsidR="008610B6" w:rsidRPr="00B2490C" w:rsidRDefault="008610B6" w:rsidP="00775DEA">
      <w:pPr>
        <w:spacing w:line="360" w:lineRule="auto"/>
        <w:ind w:firstLine="720"/>
        <w:rPr>
          <w:rFonts w:ascii="Arial" w:hAnsi="Arial" w:cs="Arial"/>
          <w:sz w:val="24"/>
          <w:szCs w:val="24"/>
        </w:rPr>
      </w:pPr>
    </w:p>
    <w:p w:rsidR="000C2080" w:rsidRPr="00B2490C" w:rsidRDefault="000C2080" w:rsidP="00775DEA">
      <w:pPr>
        <w:spacing w:line="360" w:lineRule="auto"/>
        <w:ind w:firstLine="720"/>
        <w:rPr>
          <w:rFonts w:ascii="Arial" w:hAnsi="Arial" w:cs="Arial"/>
          <w:sz w:val="24"/>
          <w:szCs w:val="24"/>
        </w:rPr>
      </w:pPr>
      <w:r w:rsidRPr="00B2490C">
        <w:rPr>
          <w:rFonts w:ascii="Arial" w:hAnsi="Arial" w:cs="Arial"/>
          <w:sz w:val="24"/>
          <w:szCs w:val="24"/>
        </w:rPr>
        <w:t>Based upon these concerns, PPL Electric requested, within the filing, that the Commission order that the proposed TOU rates</w:t>
      </w:r>
      <w:r w:rsidR="0000334C" w:rsidRPr="00B2490C">
        <w:rPr>
          <w:rFonts w:ascii="Arial" w:hAnsi="Arial" w:cs="Arial"/>
          <w:sz w:val="24"/>
          <w:szCs w:val="24"/>
        </w:rPr>
        <w:t xml:space="preserve"> contained in the August 22, 2011 filing be suspended for investigation and that the TOU rates currently set forth in the Company’s Tariff continue in effect for the September 1, 2011 through November 30, 2011 application period.  The Comp</w:t>
      </w:r>
      <w:r w:rsidR="00C37BD9" w:rsidRPr="00B2490C">
        <w:rPr>
          <w:rFonts w:ascii="Arial" w:hAnsi="Arial" w:cs="Arial"/>
          <w:sz w:val="24"/>
          <w:szCs w:val="24"/>
        </w:rPr>
        <w:t>any explicitly stated that the request only applies to the proposed TOU rates and that the proposed Fixed Price Service rates become effective in accordance with the GSC-1 Rider.</w:t>
      </w:r>
    </w:p>
    <w:p w:rsidR="008B296E" w:rsidRPr="00B2490C" w:rsidRDefault="008B296E" w:rsidP="00B65F20">
      <w:pPr>
        <w:spacing w:line="360" w:lineRule="auto"/>
        <w:ind w:firstLine="1440"/>
        <w:rPr>
          <w:rFonts w:ascii="Arial" w:hAnsi="Arial" w:cs="Arial"/>
          <w:sz w:val="24"/>
          <w:szCs w:val="24"/>
        </w:rPr>
      </w:pPr>
    </w:p>
    <w:p w:rsidR="00601475" w:rsidRPr="00B2490C" w:rsidRDefault="00DA5417" w:rsidP="00B65F20">
      <w:pPr>
        <w:spacing w:line="360" w:lineRule="auto"/>
        <w:ind w:firstLine="1440"/>
        <w:rPr>
          <w:rFonts w:ascii="Arial" w:hAnsi="Arial" w:cs="Arial"/>
          <w:sz w:val="24"/>
          <w:szCs w:val="24"/>
        </w:rPr>
      </w:pPr>
      <w:r w:rsidRPr="00B2490C">
        <w:rPr>
          <w:rFonts w:ascii="Arial" w:hAnsi="Arial" w:cs="Arial"/>
          <w:sz w:val="24"/>
          <w:szCs w:val="24"/>
        </w:rPr>
        <w:t xml:space="preserve">The Commission shares PPL Electric’s concerns regarding the impact that the proposed TOU rates would have on the customers served </w:t>
      </w:r>
      <w:r w:rsidR="000B7824" w:rsidRPr="00B2490C">
        <w:rPr>
          <w:rFonts w:ascii="Arial" w:hAnsi="Arial" w:cs="Arial"/>
          <w:sz w:val="24"/>
          <w:szCs w:val="24"/>
        </w:rPr>
        <w:t xml:space="preserve">under the TOU service </w:t>
      </w:r>
      <w:r w:rsidRPr="00B2490C">
        <w:rPr>
          <w:rFonts w:ascii="Arial" w:hAnsi="Arial" w:cs="Arial"/>
          <w:sz w:val="24"/>
          <w:szCs w:val="24"/>
        </w:rPr>
        <w:t>option</w:t>
      </w:r>
      <w:r w:rsidR="000B7824" w:rsidRPr="00B2490C">
        <w:rPr>
          <w:rFonts w:ascii="Arial" w:hAnsi="Arial" w:cs="Arial"/>
          <w:sz w:val="24"/>
          <w:szCs w:val="24"/>
        </w:rPr>
        <w:t xml:space="preserve"> if the proposed TOU rates</w:t>
      </w:r>
      <w:r w:rsidR="007B5F5A" w:rsidRPr="00B2490C">
        <w:rPr>
          <w:rFonts w:ascii="Arial" w:hAnsi="Arial" w:cs="Arial"/>
          <w:sz w:val="24"/>
          <w:szCs w:val="24"/>
        </w:rPr>
        <w:t>,</w:t>
      </w:r>
      <w:r w:rsidR="000B7824" w:rsidRPr="00B2490C">
        <w:rPr>
          <w:rFonts w:ascii="Arial" w:hAnsi="Arial" w:cs="Arial"/>
          <w:sz w:val="24"/>
          <w:szCs w:val="24"/>
        </w:rPr>
        <w:t xml:space="preserve"> </w:t>
      </w:r>
      <w:r w:rsidR="007B5F5A" w:rsidRPr="00B2490C">
        <w:rPr>
          <w:rFonts w:ascii="Arial" w:hAnsi="Arial" w:cs="Arial"/>
          <w:sz w:val="24"/>
          <w:szCs w:val="24"/>
        </w:rPr>
        <w:t xml:space="preserve">as filed, </w:t>
      </w:r>
      <w:r w:rsidR="00601475" w:rsidRPr="00B2490C">
        <w:rPr>
          <w:rFonts w:ascii="Arial" w:hAnsi="Arial" w:cs="Arial"/>
          <w:sz w:val="24"/>
          <w:szCs w:val="24"/>
        </w:rPr>
        <w:t>were to go into effect, pursuant to the GSC-1 Rider</w:t>
      </w:r>
      <w:r w:rsidR="001B1308" w:rsidRPr="00B2490C">
        <w:rPr>
          <w:rFonts w:ascii="Arial" w:hAnsi="Arial" w:cs="Arial"/>
          <w:sz w:val="24"/>
          <w:szCs w:val="24"/>
        </w:rPr>
        <w:t>.  Under the provisions of the GSC-1 Rider, the proposed rates are to become effective</w:t>
      </w:r>
      <w:r w:rsidR="000B7824" w:rsidRPr="00B2490C">
        <w:rPr>
          <w:rFonts w:ascii="Arial" w:hAnsi="Arial" w:cs="Arial"/>
          <w:sz w:val="24"/>
          <w:szCs w:val="24"/>
        </w:rPr>
        <w:t xml:space="preserve"> September 1, 2011</w:t>
      </w:r>
      <w:r w:rsidR="001B1308" w:rsidRPr="00B2490C">
        <w:rPr>
          <w:rFonts w:ascii="Arial" w:hAnsi="Arial" w:cs="Arial"/>
          <w:sz w:val="24"/>
          <w:szCs w:val="24"/>
        </w:rPr>
        <w:t xml:space="preserve"> and remain in effect through November 30, 2011</w:t>
      </w:r>
      <w:r w:rsidR="000B7824" w:rsidRPr="00B2490C">
        <w:rPr>
          <w:rFonts w:ascii="Arial" w:hAnsi="Arial" w:cs="Arial"/>
          <w:sz w:val="24"/>
          <w:szCs w:val="24"/>
        </w:rPr>
        <w:t xml:space="preserve">, </w:t>
      </w:r>
      <w:r w:rsidR="000051CB" w:rsidRPr="00B2490C">
        <w:rPr>
          <w:rFonts w:ascii="Arial" w:hAnsi="Arial" w:cs="Arial"/>
          <w:sz w:val="24"/>
          <w:szCs w:val="24"/>
        </w:rPr>
        <w:t xml:space="preserve">unless otherwise ordered by the Commission.  </w:t>
      </w:r>
    </w:p>
    <w:p w:rsidR="00601475" w:rsidRDefault="00601475" w:rsidP="00B65F20">
      <w:pPr>
        <w:spacing w:line="360" w:lineRule="auto"/>
        <w:ind w:firstLine="1440"/>
        <w:rPr>
          <w:rFonts w:ascii="Arial" w:hAnsi="Arial" w:cs="Arial"/>
          <w:sz w:val="24"/>
          <w:szCs w:val="24"/>
        </w:rPr>
      </w:pPr>
    </w:p>
    <w:p w:rsidR="00541CD6" w:rsidRPr="00541CD6" w:rsidRDefault="00FD206F" w:rsidP="00541CD6">
      <w:pPr>
        <w:spacing w:line="360" w:lineRule="auto"/>
        <w:ind w:firstLine="1440"/>
        <w:rPr>
          <w:rFonts w:ascii="Arial" w:hAnsi="Arial" w:cs="Arial"/>
          <w:sz w:val="24"/>
          <w:szCs w:val="24"/>
        </w:rPr>
      </w:pPr>
      <w:r w:rsidRPr="00FD206F">
        <w:rPr>
          <w:rFonts w:ascii="Arial" w:hAnsi="Arial" w:cs="Arial"/>
          <w:sz w:val="24"/>
          <w:szCs w:val="24"/>
        </w:rPr>
        <w:t>Investigation and analysis of this proposed tariff filing and the supporting data indicate that the proposed changes in rates, rules, and regulations may be unlawful, unjust, unreasonable, and contrary to the public interest.  Accordingly, the Commission finds it necessary to suspend the effectiveness of the TOU rates</w:t>
      </w:r>
      <w:r w:rsidR="00541CD6">
        <w:rPr>
          <w:rFonts w:ascii="Arial" w:hAnsi="Arial" w:cs="Arial"/>
          <w:sz w:val="24"/>
          <w:szCs w:val="24"/>
        </w:rPr>
        <w:t xml:space="preserve"> pending further investigation</w:t>
      </w:r>
      <w:r w:rsidRPr="00FD206F">
        <w:rPr>
          <w:rFonts w:ascii="Arial" w:hAnsi="Arial" w:cs="Arial"/>
          <w:sz w:val="24"/>
          <w:szCs w:val="24"/>
        </w:rPr>
        <w:t xml:space="preserve"> and to</w:t>
      </w:r>
      <w:r w:rsidR="00541CD6">
        <w:rPr>
          <w:rFonts w:ascii="Arial" w:hAnsi="Arial" w:cs="Arial"/>
          <w:sz w:val="24"/>
          <w:szCs w:val="24"/>
        </w:rPr>
        <w:t xml:space="preserve"> </w:t>
      </w:r>
      <w:r w:rsidR="000051CB" w:rsidRPr="00541CD6">
        <w:rPr>
          <w:rFonts w:ascii="Arial" w:hAnsi="Arial" w:cs="Arial"/>
          <w:sz w:val="24"/>
          <w:szCs w:val="24"/>
        </w:rPr>
        <w:t xml:space="preserve">order PPL Electric to </w:t>
      </w:r>
      <w:r w:rsidR="00D4427D" w:rsidRPr="00541CD6">
        <w:rPr>
          <w:rFonts w:ascii="Arial" w:hAnsi="Arial" w:cs="Arial"/>
          <w:sz w:val="24"/>
          <w:szCs w:val="24"/>
        </w:rPr>
        <w:t xml:space="preserve">continue to maintain in effect for service rendered on and after September 1, 2011, the </w:t>
      </w:r>
      <w:r w:rsidR="00D71A63" w:rsidRPr="00541CD6">
        <w:rPr>
          <w:rFonts w:ascii="Arial" w:hAnsi="Arial" w:cs="Arial"/>
          <w:sz w:val="24"/>
          <w:szCs w:val="24"/>
        </w:rPr>
        <w:t xml:space="preserve">currently effective </w:t>
      </w:r>
      <w:r w:rsidR="00372DE6" w:rsidRPr="00541CD6">
        <w:rPr>
          <w:rFonts w:ascii="Arial" w:hAnsi="Arial" w:cs="Arial"/>
          <w:sz w:val="24"/>
          <w:szCs w:val="24"/>
        </w:rPr>
        <w:t xml:space="preserve">TOU service Residential Customer rates of </w:t>
      </w:r>
      <w:r w:rsidR="007A70D6" w:rsidRPr="00541CD6">
        <w:rPr>
          <w:rFonts w:ascii="Arial" w:hAnsi="Arial" w:cs="Arial"/>
          <w:sz w:val="24"/>
          <w:szCs w:val="24"/>
        </w:rPr>
        <w:t>$0.11651 per KWH for on-peak hours and $0.09928 per KWH for off-peak hours; and the TOU service Small C&amp;I Customer rates of $</w:t>
      </w:r>
      <w:r w:rsidR="002A1D36" w:rsidRPr="00541CD6">
        <w:rPr>
          <w:rFonts w:ascii="Arial" w:hAnsi="Arial" w:cs="Arial"/>
          <w:sz w:val="24"/>
          <w:szCs w:val="24"/>
        </w:rPr>
        <w:t>0.</w:t>
      </w:r>
      <w:r w:rsidR="007A70D6" w:rsidRPr="00541CD6">
        <w:rPr>
          <w:rFonts w:ascii="Arial" w:hAnsi="Arial" w:cs="Arial"/>
          <w:sz w:val="24"/>
          <w:szCs w:val="24"/>
        </w:rPr>
        <w:t>15389 per KWH for on-peak service and $0.11588 per KWH for off-peak service.</w:t>
      </w:r>
      <w:r w:rsidR="00905B0C" w:rsidRPr="00541CD6">
        <w:rPr>
          <w:rFonts w:ascii="Arial" w:hAnsi="Arial" w:cs="Arial"/>
          <w:sz w:val="24"/>
          <w:szCs w:val="24"/>
        </w:rPr>
        <w:t xml:space="preserve">  </w:t>
      </w:r>
    </w:p>
    <w:p w:rsidR="00541CD6" w:rsidRDefault="00541CD6" w:rsidP="00541CD6">
      <w:pPr>
        <w:spacing w:line="360" w:lineRule="auto"/>
        <w:ind w:firstLine="1440"/>
        <w:rPr>
          <w:rFonts w:ascii="Arial" w:hAnsi="Arial" w:cs="Arial"/>
          <w:sz w:val="24"/>
          <w:szCs w:val="24"/>
        </w:rPr>
      </w:pPr>
    </w:p>
    <w:p w:rsidR="00601475" w:rsidRPr="00B2490C" w:rsidRDefault="00905B0C" w:rsidP="00541CD6">
      <w:pPr>
        <w:spacing w:line="360" w:lineRule="auto"/>
        <w:ind w:firstLine="1440"/>
        <w:rPr>
          <w:rFonts w:ascii="Arial" w:hAnsi="Arial" w:cs="Arial"/>
          <w:sz w:val="24"/>
          <w:szCs w:val="24"/>
        </w:rPr>
      </w:pPr>
      <w:r w:rsidRPr="00B2490C">
        <w:rPr>
          <w:rFonts w:ascii="Arial" w:hAnsi="Arial" w:cs="Arial"/>
          <w:sz w:val="24"/>
          <w:szCs w:val="24"/>
        </w:rPr>
        <w:t xml:space="preserve">The Commission orders that these rates shall remain in effect for </w:t>
      </w:r>
      <w:r w:rsidR="00E60698" w:rsidRPr="00B2490C">
        <w:rPr>
          <w:rFonts w:ascii="Arial" w:hAnsi="Arial" w:cs="Arial"/>
          <w:sz w:val="24"/>
          <w:szCs w:val="24"/>
        </w:rPr>
        <w:t xml:space="preserve">a period of </w:t>
      </w:r>
      <w:r w:rsidRPr="00B2490C">
        <w:rPr>
          <w:rFonts w:ascii="Arial" w:hAnsi="Arial" w:cs="Arial"/>
          <w:sz w:val="24"/>
          <w:szCs w:val="24"/>
        </w:rPr>
        <w:t xml:space="preserve">up to six months, unless the Commission approves new rates before then.  </w:t>
      </w:r>
      <w:r w:rsidR="00067404" w:rsidRPr="00B2490C">
        <w:rPr>
          <w:rFonts w:ascii="Arial" w:hAnsi="Arial" w:cs="Arial"/>
          <w:sz w:val="24"/>
          <w:szCs w:val="24"/>
        </w:rPr>
        <w:t>Further, the</w:t>
      </w:r>
      <w:r w:rsidRPr="00B2490C">
        <w:rPr>
          <w:rFonts w:ascii="Arial" w:hAnsi="Arial" w:cs="Arial"/>
          <w:sz w:val="24"/>
          <w:szCs w:val="24"/>
        </w:rPr>
        <w:t xml:space="preserve"> Commission </w:t>
      </w:r>
      <w:r w:rsidR="002A1D36">
        <w:rPr>
          <w:rFonts w:ascii="Arial" w:hAnsi="Arial" w:cs="Arial"/>
          <w:sz w:val="24"/>
          <w:szCs w:val="24"/>
        </w:rPr>
        <w:t xml:space="preserve">directs </w:t>
      </w:r>
      <w:r w:rsidRPr="00B2490C">
        <w:rPr>
          <w:rFonts w:ascii="Arial" w:hAnsi="Arial" w:cs="Arial"/>
          <w:sz w:val="24"/>
          <w:szCs w:val="24"/>
        </w:rPr>
        <w:t xml:space="preserve">the Company </w:t>
      </w:r>
      <w:r w:rsidR="00067404" w:rsidRPr="00B2490C">
        <w:rPr>
          <w:rFonts w:ascii="Arial" w:hAnsi="Arial" w:cs="Arial"/>
          <w:sz w:val="24"/>
          <w:szCs w:val="24"/>
        </w:rPr>
        <w:t xml:space="preserve">to </w:t>
      </w:r>
      <w:r w:rsidRPr="00B2490C">
        <w:rPr>
          <w:rFonts w:ascii="Arial" w:hAnsi="Arial" w:cs="Arial"/>
          <w:sz w:val="24"/>
          <w:szCs w:val="24"/>
        </w:rPr>
        <w:t>submit, within thirty (30) days of the entry of this Order,</w:t>
      </w:r>
      <w:r w:rsidR="00096BDF" w:rsidRPr="00B2490C">
        <w:rPr>
          <w:rFonts w:ascii="Arial" w:hAnsi="Arial" w:cs="Arial"/>
          <w:sz w:val="24"/>
          <w:szCs w:val="24"/>
        </w:rPr>
        <w:t xml:space="preserve"> a plan proposing revisions to the pricing of the TOU rates in an effort to avoid or minimize this problem prospectively.</w:t>
      </w:r>
      <w:r w:rsidR="00067404" w:rsidRPr="00B2490C">
        <w:rPr>
          <w:rFonts w:ascii="Arial" w:hAnsi="Arial" w:cs="Arial"/>
          <w:sz w:val="24"/>
          <w:szCs w:val="24"/>
        </w:rPr>
        <w:t xml:space="preserve">  The directive for the continued application </w:t>
      </w:r>
      <w:r w:rsidR="00067404" w:rsidRPr="00B2490C">
        <w:rPr>
          <w:rFonts w:ascii="Arial" w:hAnsi="Arial" w:cs="Arial"/>
          <w:sz w:val="24"/>
          <w:szCs w:val="24"/>
        </w:rPr>
        <w:lastRenderedPageBreak/>
        <w:t>of the currently effective rates only applies to the TOU service rates.  The Commission hereby approves the proposed</w:t>
      </w:r>
      <w:r w:rsidR="00CA6D22" w:rsidRPr="00B2490C">
        <w:rPr>
          <w:rFonts w:ascii="Arial" w:hAnsi="Arial" w:cs="Arial"/>
          <w:sz w:val="24"/>
          <w:szCs w:val="24"/>
        </w:rPr>
        <w:t xml:space="preserve"> Fixed Price </w:t>
      </w:r>
      <w:r w:rsidR="00DA1441" w:rsidRPr="00B2490C">
        <w:rPr>
          <w:rFonts w:ascii="Arial" w:hAnsi="Arial" w:cs="Arial"/>
          <w:sz w:val="24"/>
          <w:szCs w:val="24"/>
        </w:rPr>
        <w:t xml:space="preserve">Default </w:t>
      </w:r>
      <w:r w:rsidR="00CA6D22" w:rsidRPr="00B2490C">
        <w:rPr>
          <w:rFonts w:ascii="Arial" w:hAnsi="Arial" w:cs="Arial"/>
          <w:sz w:val="24"/>
          <w:szCs w:val="24"/>
        </w:rPr>
        <w:t xml:space="preserve">Service rates to become effective </w:t>
      </w:r>
      <w:r w:rsidR="00FD7D5D" w:rsidRPr="00B2490C">
        <w:rPr>
          <w:rFonts w:ascii="Arial" w:hAnsi="Arial" w:cs="Arial"/>
          <w:sz w:val="24"/>
          <w:szCs w:val="24"/>
        </w:rPr>
        <w:t xml:space="preserve">for the application period </w:t>
      </w:r>
      <w:r w:rsidR="00CA6D22" w:rsidRPr="00B2490C">
        <w:rPr>
          <w:rFonts w:ascii="Arial" w:hAnsi="Arial" w:cs="Arial"/>
          <w:sz w:val="24"/>
          <w:szCs w:val="24"/>
        </w:rPr>
        <w:t xml:space="preserve">September 1, 2011 through November 30, 2011.  The Company is directed to submit the appropriate Tariff Supplement </w:t>
      </w:r>
      <w:r w:rsidR="0046685D" w:rsidRPr="00B2490C">
        <w:rPr>
          <w:rFonts w:ascii="Arial" w:hAnsi="Arial" w:cs="Arial"/>
          <w:sz w:val="24"/>
          <w:szCs w:val="24"/>
        </w:rPr>
        <w:t xml:space="preserve">to become effective September 1, 2011, </w:t>
      </w:r>
      <w:r w:rsidR="00CA6D22" w:rsidRPr="00B2490C">
        <w:rPr>
          <w:rFonts w:ascii="Arial" w:hAnsi="Arial" w:cs="Arial"/>
          <w:sz w:val="24"/>
          <w:szCs w:val="24"/>
        </w:rPr>
        <w:t>reflecting the approved rates, within</w:t>
      </w:r>
      <w:r w:rsidR="003C1AF1" w:rsidRPr="00B2490C">
        <w:rPr>
          <w:rFonts w:ascii="Arial" w:hAnsi="Arial" w:cs="Arial"/>
          <w:sz w:val="24"/>
          <w:szCs w:val="24"/>
        </w:rPr>
        <w:t xml:space="preserve"> </w:t>
      </w:r>
      <w:r w:rsidR="00C04A2E">
        <w:rPr>
          <w:rFonts w:ascii="Arial" w:hAnsi="Arial" w:cs="Arial"/>
          <w:sz w:val="24"/>
          <w:szCs w:val="24"/>
        </w:rPr>
        <w:t xml:space="preserve">five </w:t>
      </w:r>
      <w:r w:rsidR="003C1AF1" w:rsidRPr="00B2490C">
        <w:rPr>
          <w:rFonts w:ascii="Arial" w:hAnsi="Arial" w:cs="Arial"/>
          <w:sz w:val="24"/>
          <w:szCs w:val="24"/>
        </w:rPr>
        <w:t xml:space="preserve"> (</w:t>
      </w:r>
      <w:r w:rsidR="00C04A2E">
        <w:rPr>
          <w:rFonts w:ascii="Arial" w:hAnsi="Arial" w:cs="Arial"/>
          <w:sz w:val="24"/>
          <w:szCs w:val="24"/>
        </w:rPr>
        <w:t>5</w:t>
      </w:r>
      <w:r w:rsidR="003C1AF1" w:rsidRPr="00B2490C">
        <w:rPr>
          <w:rFonts w:ascii="Arial" w:hAnsi="Arial" w:cs="Arial"/>
          <w:sz w:val="24"/>
          <w:szCs w:val="24"/>
        </w:rPr>
        <w:t xml:space="preserve">) days of the entry of this Order; </w:t>
      </w:r>
      <w:r w:rsidR="003C1AF1" w:rsidRPr="00B2490C">
        <w:rPr>
          <w:rFonts w:ascii="Arial" w:hAnsi="Arial" w:cs="Arial"/>
          <w:b/>
          <w:sz w:val="24"/>
          <w:szCs w:val="24"/>
        </w:rPr>
        <w:t>THEREFORE</w:t>
      </w:r>
      <w:r w:rsidR="003C1AF1" w:rsidRPr="00B2490C">
        <w:rPr>
          <w:rFonts w:ascii="Arial" w:hAnsi="Arial" w:cs="Arial"/>
          <w:sz w:val="24"/>
          <w:szCs w:val="24"/>
        </w:rPr>
        <w:t>,</w:t>
      </w:r>
    </w:p>
    <w:p w:rsidR="003C1AF1" w:rsidRPr="00B2490C" w:rsidRDefault="003C1AF1" w:rsidP="00B65F20">
      <w:pPr>
        <w:spacing w:line="360" w:lineRule="auto"/>
        <w:ind w:firstLine="1440"/>
        <w:rPr>
          <w:rFonts w:ascii="Arial" w:hAnsi="Arial" w:cs="Arial"/>
          <w:sz w:val="24"/>
          <w:szCs w:val="24"/>
        </w:rPr>
      </w:pPr>
    </w:p>
    <w:p w:rsidR="00142BC5" w:rsidRPr="00B2490C" w:rsidRDefault="003C1AF1" w:rsidP="008754FE">
      <w:pPr>
        <w:spacing w:line="360" w:lineRule="auto"/>
        <w:ind w:firstLine="1440"/>
        <w:rPr>
          <w:rFonts w:ascii="Arial" w:hAnsi="Arial" w:cs="Arial"/>
          <w:b/>
          <w:sz w:val="24"/>
          <w:szCs w:val="24"/>
        </w:rPr>
      </w:pPr>
      <w:r w:rsidRPr="00B2490C">
        <w:rPr>
          <w:rFonts w:ascii="Arial" w:hAnsi="Arial" w:cs="Arial"/>
          <w:b/>
          <w:sz w:val="24"/>
          <w:szCs w:val="24"/>
        </w:rPr>
        <w:t>I</w:t>
      </w:r>
      <w:r w:rsidR="00142BC5" w:rsidRPr="00B2490C">
        <w:rPr>
          <w:rFonts w:ascii="Arial" w:hAnsi="Arial" w:cs="Arial"/>
          <w:b/>
          <w:sz w:val="24"/>
          <w:szCs w:val="24"/>
        </w:rPr>
        <w:t>T IS ORDERED:</w:t>
      </w:r>
    </w:p>
    <w:p w:rsidR="00142BC5" w:rsidRPr="00B2490C" w:rsidRDefault="00142BC5">
      <w:pPr>
        <w:spacing w:line="360" w:lineRule="auto"/>
        <w:rPr>
          <w:rFonts w:ascii="Arial" w:hAnsi="Arial" w:cs="Arial"/>
          <w:sz w:val="24"/>
          <w:szCs w:val="24"/>
        </w:rPr>
      </w:pPr>
    </w:p>
    <w:p w:rsidR="00935555" w:rsidRPr="00B2490C" w:rsidRDefault="00142BC5" w:rsidP="00AC1019">
      <w:pPr>
        <w:tabs>
          <w:tab w:val="left" w:pos="2160"/>
        </w:tabs>
        <w:spacing w:line="360" w:lineRule="auto"/>
        <w:ind w:firstLine="1440"/>
        <w:rPr>
          <w:rFonts w:ascii="Arial" w:hAnsi="Arial" w:cs="Arial"/>
          <w:sz w:val="24"/>
          <w:szCs w:val="24"/>
        </w:rPr>
      </w:pPr>
      <w:r w:rsidRPr="00B2490C">
        <w:rPr>
          <w:rFonts w:ascii="Arial" w:hAnsi="Arial" w:cs="Arial"/>
          <w:sz w:val="24"/>
          <w:szCs w:val="24"/>
        </w:rPr>
        <w:t>1.</w:t>
      </w:r>
      <w:r w:rsidR="00AC1019" w:rsidRPr="00B2490C">
        <w:rPr>
          <w:rFonts w:ascii="Arial" w:hAnsi="Arial" w:cs="Arial"/>
          <w:sz w:val="24"/>
          <w:szCs w:val="24"/>
        </w:rPr>
        <w:tab/>
      </w:r>
      <w:r w:rsidR="00E60698" w:rsidRPr="00B2490C">
        <w:rPr>
          <w:rFonts w:ascii="Arial" w:hAnsi="Arial" w:cs="Arial"/>
          <w:sz w:val="24"/>
          <w:szCs w:val="24"/>
        </w:rPr>
        <w:t>That</w:t>
      </w:r>
      <w:r w:rsidR="00541CD6">
        <w:rPr>
          <w:rFonts w:ascii="Arial" w:hAnsi="Arial" w:cs="Arial"/>
          <w:sz w:val="24"/>
          <w:szCs w:val="24"/>
        </w:rPr>
        <w:t xml:space="preserve">, pursuant to 66 Pa. C.S. </w:t>
      </w:r>
      <w:r w:rsidR="00541CD6">
        <w:rPr>
          <w:sz w:val="24"/>
          <w:szCs w:val="24"/>
        </w:rPr>
        <w:t>§</w:t>
      </w:r>
      <w:r w:rsidR="00B44DFC">
        <w:rPr>
          <w:sz w:val="24"/>
          <w:szCs w:val="24"/>
        </w:rPr>
        <w:t>§</w:t>
      </w:r>
      <w:r w:rsidR="00541CD6">
        <w:rPr>
          <w:rFonts w:ascii="Arial" w:hAnsi="Arial" w:cs="Arial"/>
          <w:sz w:val="24"/>
          <w:szCs w:val="24"/>
        </w:rPr>
        <w:t xml:space="preserve"> </w:t>
      </w:r>
      <w:r w:rsidR="00B44DFC">
        <w:rPr>
          <w:rFonts w:ascii="Arial" w:hAnsi="Arial" w:cs="Arial"/>
          <w:sz w:val="24"/>
          <w:szCs w:val="24"/>
        </w:rPr>
        <w:t xml:space="preserve">501(a) and </w:t>
      </w:r>
      <w:r w:rsidR="00541CD6">
        <w:rPr>
          <w:rFonts w:ascii="Arial" w:hAnsi="Arial" w:cs="Arial"/>
          <w:sz w:val="24"/>
          <w:szCs w:val="24"/>
        </w:rPr>
        <w:t>1308(b),</w:t>
      </w:r>
      <w:r w:rsidR="00E60698" w:rsidRPr="00B2490C">
        <w:rPr>
          <w:rFonts w:ascii="Arial" w:hAnsi="Arial" w:cs="Arial"/>
          <w:sz w:val="24"/>
          <w:szCs w:val="24"/>
        </w:rPr>
        <w:t xml:space="preserve"> </w:t>
      </w:r>
      <w:r w:rsidR="00541CD6">
        <w:rPr>
          <w:rFonts w:ascii="Arial" w:hAnsi="Arial" w:cs="Arial"/>
          <w:sz w:val="24"/>
          <w:szCs w:val="24"/>
        </w:rPr>
        <w:t xml:space="preserve">the TOU rates proposed by PPL Electric shall be suspended for further investigation and that </w:t>
      </w:r>
      <w:r w:rsidR="00E60698" w:rsidRPr="00B2490C">
        <w:rPr>
          <w:rFonts w:ascii="Arial" w:hAnsi="Arial" w:cs="Arial"/>
          <w:sz w:val="24"/>
          <w:szCs w:val="24"/>
        </w:rPr>
        <w:t xml:space="preserve">PPL Electric shall continue to maintain in effect for service rendered on and after September 1, 2011, the </w:t>
      </w:r>
      <w:r w:rsidR="00D71A63" w:rsidRPr="00B2490C">
        <w:rPr>
          <w:rFonts w:ascii="Arial" w:hAnsi="Arial" w:cs="Arial"/>
          <w:sz w:val="24"/>
          <w:szCs w:val="24"/>
        </w:rPr>
        <w:t xml:space="preserve">currently effective </w:t>
      </w:r>
      <w:r w:rsidR="00E60698" w:rsidRPr="00B2490C">
        <w:rPr>
          <w:rFonts w:ascii="Arial" w:hAnsi="Arial" w:cs="Arial"/>
          <w:sz w:val="24"/>
          <w:szCs w:val="24"/>
        </w:rPr>
        <w:t>TOU service Residential Customer rates of $0.11651 per KWH for on-peak hours and $0.09928 per KWH for off-peak hours; and the TOU service Small C&amp;I Customer rates of $</w:t>
      </w:r>
      <w:r w:rsidR="002A1D36">
        <w:rPr>
          <w:rFonts w:ascii="Arial" w:hAnsi="Arial" w:cs="Arial"/>
          <w:sz w:val="24"/>
          <w:szCs w:val="24"/>
        </w:rPr>
        <w:t>0.</w:t>
      </w:r>
      <w:r w:rsidR="00E60698" w:rsidRPr="00B2490C">
        <w:rPr>
          <w:rFonts w:ascii="Arial" w:hAnsi="Arial" w:cs="Arial"/>
          <w:sz w:val="24"/>
          <w:szCs w:val="24"/>
        </w:rPr>
        <w:t>1538</w:t>
      </w:r>
      <w:r w:rsidR="002A1D36">
        <w:rPr>
          <w:rFonts w:ascii="Arial" w:hAnsi="Arial" w:cs="Arial"/>
          <w:sz w:val="24"/>
          <w:szCs w:val="24"/>
        </w:rPr>
        <w:t>9</w:t>
      </w:r>
      <w:r w:rsidR="00E60698" w:rsidRPr="00B2490C">
        <w:rPr>
          <w:rFonts w:ascii="Arial" w:hAnsi="Arial" w:cs="Arial"/>
          <w:sz w:val="24"/>
          <w:szCs w:val="24"/>
        </w:rPr>
        <w:t xml:space="preserve"> per KWH for on-peak service and $0.11588 per KWH for off-peak service.</w:t>
      </w:r>
    </w:p>
    <w:p w:rsidR="00B2490C" w:rsidRPr="00B2490C" w:rsidRDefault="00B2490C" w:rsidP="00AC1019">
      <w:pPr>
        <w:tabs>
          <w:tab w:val="left" w:pos="2160"/>
        </w:tabs>
        <w:spacing w:line="360" w:lineRule="auto"/>
        <w:ind w:firstLine="1440"/>
        <w:rPr>
          <w:rFonts w:ascii="Arial" w:hAnsi="Arial" w:cs="Arial"/>
          <w:sz w:val="24"/>
          <w:szCs w:val="24"/>
        </w:rPr>
      </w:pPr>
    </w:p>
    <w:p w:rsidR="00384B20" w:rsidRPr="00B2490C" w:rsidRDefault="00935555" w:rsidP="001B4E4A">
      <w:pPr>
        <w:tabs>
          <w:tab w:val="left" w:pos="2160"/>
        </w:tabs>
        <w:spacing w:line="360" w:lineRule="auto"/>
        <w:ind w:firstLine="1440"/>
        <w:rPr>
          <w:rFonts w:ascii="Arial" w:hAnsi="Arial" w:cs="Arial"/>
          <w:sz w:val="24"/>
          <w:szCs w:val="24"/>
        </w:rPr>
      </w:pPr>
      <w:r w:rsidRPr="00B2490C">
        <w:rPr>
          <w:rFonts w:ascii="Arial" w:hAnsi="Arial" w:cs="Arial"/>
          <w:sz w:val="24"/>
          <w:szCs w:val="24"/>
        </w:rPr>
        <w:t>2.</w:t>
      </w:r>
      <w:r w:rsidRPr="00B2490C">
        <w:rPr>
          <w:rFonts w:ascii="Arial" w:hAnsi="Arial" w:cs="Arial"/>
          <w:sz w:val="24"/>
          <w:szCs w:val="24"/>
        </w:rPr>
        <w:tab/>
      </w:r>
      <w:r w:rsidR="00E60698" w:rsidRPr="00B2490C">
        <w:rPr>
          <w:rFonts w:ascii="Arial" w:hAnsi="Arial" w:cs="Arial"/>
          <w:sz w:val="24"/>
          <w:szCs w:val="24"/>
        </w:rPr>
        <w:t>That the TOU service rates approved above shall remain in effect for a period of up to six months, unless the Commission approves new rates before then.</w:t>
      </w:r>
      <w:r w:rsidR="00FD7D5D" w:rsidRPr="00B2490C">
        <w:rPr>
          <w:rFonts w:ascii="Arial" w:hAnsi="Arial" w:cs="Arial"/>
          <w:sz w:val="24"/>
          <w:szCs w:val="24"/>
        </w:rPr>
        <w:t xml:space="preserve"> </w:t>
      </w:r>
    </w:p>
    <w:p w:rsidR="00142BC5" w:rsidRPr="00B2490C" w:rsidRDefault="008C2D12" w:rsidP="00AC1019">
      <w:pPr>
        <w:tabs>
          <w:tab w:val="left" w:pos="2160"/>
        </w:tabs>
        <w:spacing w:line="360" w:lineRule="auto"/>
        <w:ind w:firstLine="1440"/>
        <w:rPr>
          <w:rFonts w:ascii="Arial" w:hAnsi="Arial" w:cs="Arial"/>
          <w:sz w:val="24"/>
          <w:szCs w:val="24"/>
        </w:rPr>
      </w:pPr>
      <w:r w:rsidRPr="00B2490C">
        <w:rPr>
          <w:rFonts w:ascii="Arial" w:hAnsi="Arial" w:cs="Arial"/>
          <w:sz w:val="24"/>
          <w:szCs w:val="24"/>
        </w:rPr>
        <w:t>3</w:t>
      </w:r>
      <w:r w:rsidR="00142BC5" w:rsidRPr="00B2490C">
        <w:rPr>
          <w:rFonts w:ascii="Arial" w:hAnsi="Arial" w:cs="Arial"/>
          <w:sz w:val="24"/>
          <w:szCs w:val="24"/>
        </w:rPr>
        <w:t>.</w:t>
      </w:r>
      <w:r w:rsidR="00AC1019" w:rsidRPr="00B2490C">
        <w:rPr>
          <w:rFonts w:ascii="Arial" w:hAnsi="Arial" w:cs="Arial"/>
          <w:sz w:val="24"/>
          <w:szCs w:val="24"/>
        </w:rPr>
        <w:tab/>
      </w:r>
      <w:r w:rsidR="00FD7D5D" w:rsidRPr="00B2490C">
        <w:rPr>
          <w:rFonts w:ascii="Arial" w:hAnsi="Arial" w:cs="Arial"/>
          <w:sz w:val="24"/>
          <w:szCs w:val="24"/>
        </w:rPr>
        <w:t xml:space="preserve">That PPL Electric </w:t>
      </w:r>
      <w:r w:rsidR="00D71A63" w:rsidRPr="00B2490C">
        <w:rPr>
          <w:rFonts w:ascii="Arial" w:hAnsi="Arial" w:cs="Arial"/>
          <w:sz w:val="24"/>
          <w:szCs w:val="24"/>
        </w:rPr>
        <w:t xml:space="preserve">is </w:t>
      </w:r>
      <w:r w:rsidR="00FD7D5D" w:rsidRPr="00B2490C">
        <w:rPr>
          <w:rFonts w:ascii="Arial" w:hAnsi="Arial" w:cs="Arial"/>
          <w:sz w:val="24"/>
          <w:szCs w:val="24"/>
        </w:rPr>
        <w:t xml:space="preserve">directed to submit, within thirty (30) days of the entry of this Order, a plan proposing revisions to the pricing of the TOU rates in an effort to avoid or minimize this problem prospectively.  </w:t>
      </w:r>
    </w:p>
    <w:p w:rsidR="00142BC5" w:rsidRPr="00B2490C" w:rsidRDefault="00142BC5">
      <w:pPr>
        <w:spacing w:line="360" w:lineRule="auto"/>
        <w:rPr>
          <w:rFonts w:ascii="Arial" w:hAnsi="Arial" w:cs="Arial"/>
          <w:sz w:val="24"/>
          <w:szCs w:val="24"/>
        </w:rPr>
      </w:pPr>
    </w:p>
    <w:p w:rsidR="0012628C" w:rsidRDefault="008C2D12" w:rsidP="007C241C">
      <w:pPr>
        <w:tabs>
          <w:tab w:val="left" w:pos="2160"/>
        </w:tabs>
        <w:spacing w:line="360" w:lineRule="auto"/>
        <w:ind w:firstLine="1440"/>
        <w:rPr>
          <w:rFonts w:ascii="Arial" w:hAnsi="Arial" w:cs="Arial"/>
          <w:sz w:val="24"/>
          <w:szCs w:val="24"/>
        </w:rPr>
      </w:pPr>
      <w:r w:rsidRPr="00B2490C">
        <w:rPr>
          <w:rFonts w:ascii="Arial" w:hAnsi="Arial" w:cs="Arial"/>
          <w:sz w:val="24"/>
          <w:szCs w:val="24"/>
        </w:rPr>
        <w:t>4</w:t>
      </w:r>
      <w:r w:rsidR="00142BC5" w:rsidRPr="00B2490C">
        <w:rPr>
          <w:rFonts w:ascii="Arial" w:hAnsi="Arial" w:cs="Arial"/>
          <w:sz w:val="24"/>
          <w:szCs w:val="24"/>
        </w:rPr>
        <w:t>.</w:t>
      </w:r>
      <w:r w:rsidR="00AC1019" w:rsidRPr="00B2490C">
        <w:rPr>
          <w:rFonts w:ascii="Arial" w:hAnsi="Arial" w:cs="Arial"/>
          <w:sz w:val="24"/>
          <w:szCs w:val="24"/>
        </w:rPr>
        <w:tab/>
      </w:r>
      <w:r w:rsidR="00D71A63" w:rsidRPr="00B2490C">
        <w:rPr>
          <w:rFonts w:ascii="Arial" w:hAnsi="Arial" w:cs="Arial"/>
          <w:sz w:val="24"/>
          <w:szCs w:val="24"/>
        </w:rPr>
        <w:t xml:space="preserve">That the proposed Fixed Price </w:t>
      </w:r>
      <w:r w:rsidR="00DA1441" w:rsidRPr="00B2490C">
        <w:rPr>
          <w:rFonts w:ascii="Arial" w:hAnsi="Arial" w:cs="Arial"/>
          <w:sz w:val="24"/>
          <w:szCs w:val="24"/>
        </w:rPr>
        <w:t xml:space="preserve">Default </w:t>
      </w:r>
      <w:r w:rsidR="00D71A63" w:rsidRPr="00B2490C">
        <w:rPr>
          <w:rFonts w:ascii="Arial" w:hAnsi="Arial" w:cs="Arial"/>
          <w:sz w:val="24"/>
          <w:szCs w:val="24"/>
        </w:rPr>
        <w:t>Service rate for Residential Cust</w:t>
      </w:r>
      <w:r w:rsidR="00DA1441" w:rsidRPr="00B2490C">
        <w:rPr>
          <w:rFonts w:ascii="Arial" w:hAnsi="Arial" w:cs="Arial"/>
          <w:sz w:val="24"/>
          <w:szCs w:val="24"/>
        </w:rPr>
        <w:t xml:space="preserve">omers of $0.07683 per KWH and </w:t>
      </w:r>
      <w:r w:rsidR="007C241C" w:rsidRPr="00B2490C">
        <w:rPr>
          <w:rFonts w:ascii="Arial" w:hAnsi="Arial" w:cs="Arial"/>
          <w:sz w:val="24"/>
          <w:szCs w:val="24"/>
        </w:rPr>
        <w:t xml:space="preserve">the proposed Fixed Price Default Service rate </w:t>
      </w:r>
      <w:r w:rsidR="00DA1441" w:rsidRPr="00B2490C">
        <w:rPr>
          <w:rFonts w:ascii="Arial" w:hAnsi="Arial" w:cs="Arial"/>
          <w:sz w:val="24"/>
          <w:szCs w:val="24"/>
        </w:rPr>
        <w:t>for</w:t>
      </w:r>
      <w:r w:rsidR="007C241C" w:rsidRPr="00B2490C">
        <w:rPr>
          <w:rFonts w:ascii="Arial" w:hAnsi="Arial" w:cs="Arial"/>
          <w:sz w:val="24"/>
          <w:szCs w:val="24"/>
        </w:rPr>
        <w:t xml:space="preserve"> Small C&amp;I of $0.09319 per KWH are approved for service rendered on and after September 1, 2011.</w:t>
      </w:r>
    </w:p>
    <w:p w:rsidR="0012628C" w:rsidRDefault="0012628C">
      <w:pPr>
        <w:rPr>
          <w:rFonts w:ascii="Arial" w:hAnsi="Arial" w:cs="Arial"/>
          <w:sz w:val="24"/>
          <w:szCs w:val="24"/>
        </w:rPr>
      </w:pPr>
      <w:r>
        <w:rPr>
          <w:rFonts w:ascii="Arial" w:hAnsi="Arial" w:cs="Arial"/>
          <w:sz w:val="24"/>
          <w:szCs w:val="24"/>
        </w:rPr>
        <w:br w:type="page"/>
      </w:r>
    </w:p>
    <w:p w:rsidR="007C241C" w:rsidRPr="00B2490C" w:rsidRDefault="007C241C" w:rsidP="007C241C">
      <w:pPr>
        <w:tabs>
          <w:tab w:val="left" w:pos="2160"/>
        </w:tabs>
        <w:spacing w:line="360" w:lineRule="auto"/>
        <w:ind w:firstLine="1440"/>
        <w:rPr>
          <w:rFonts w:ascii="Arial" w:hAnsi="Arial" w:cs="Arial"/>
          <w:sz w:val="24"/>
          <w:szCs w:val="24"/>
        </w:rPr>
      </w:pPr>
    </w:p>
    <w:p w:rsidR="00142BC5" w:rsidRPr="00B2490C" w:rsidRDefault="008C2D12" w:rsidP="007F6F9C">
      <w:pPr>
        <w:tabs>
          <w:tab w:val="left" w:pos="1440"/>
          <w:tab w:val="left" w:pos="2160"/>
        </w:tabs>
        <w:spacing w:line="360" w:lineRule="auto"/>
        <w:ind w:firstLine="1440"/>
        <w:rPr>
          <w:rFonts w:ascii="Arial" w:hAnsi="Arial" w:cs="Arial"/>
          <w:sz w:val="24"/>
          <w:szCs w:val="24"/>
        </w:rPr>
      </w:pPr>
      <w:r w:rsidRPr="00B2490C">
        <w:rPr>
          <w:rFonts w:ascii="Arial" w:hAnsi="Arial" w:cs="Arial"/>
          <w:sz w:val="24"/>
          <w:szCs w:val="24"/>
        </w:rPr>
        <w:t>5</w:t>
      </w:r>
      <w:r w:rsidR="00142BC5" w:rsidRPr="00B2490C">
        <w:rPr>
          <w:rFonts w:ascii="Arial" w:hAnsi="Arial" w:cs="Arial"/>
          <w:sz w:val="24"/>
          <w:szCs w:val="24"/>
        </w:rPr>
        <w:t>.</w:t>
      </w:r>
      <w:r w:rsidR="007F6F9C" w:rsidRPr="00B2490C">
        <w:rPr>
          <w:rFonts w:ascii="Arial" w:hAnsi="Arial" w:cs="Arial"/>
          <w:sz w:val="24"/>
          <w:szCs w:val="24"/>
        </w:rPr>
        <w:tab/>
      </w:r>
      <w:r w:rsidR="007C241C" w:rsidRPr="00B2490C">
        <w:rPr>
          <w:rFonts w:ascii="Arial" w:hAnsi="Arial" w:cs="Arial"/>
          <w:sz w:val="24"/>
          <w:szCs w:val="24"/>
        </w:rPr>
        <w:t xml:space="preserve">That PPL Electric is directed to submit the appropriate Tariff Supplement to become effective September 1, 2011, reflecting the approved rates, within </w:t>
      </w:r>
      <w:r w:rsidR="00C04A2E">
        <w:rPr>
          <w:rFonts w:ascii="Arial" w:hAnsi="Arial" w:cs="Arial"/>
          <w:sz w:val="24"/>
          <w:szCs w:val="24"/>
        </w:rPr>
        <w:t>five</w:t>
      </w:r>
      <w:r w:rsidR="007C241C" w:rsidRPr="00B2490C">
        <w:rPr>
          <w:rFonts w:ascii="Arial" w:hAnsi="Arial" w:cs="Arial"/>
          <w:sz w:val="24"/>
          <w:szCs w:val="24"/>
        </w:rPr>
        <w:t xml:space="preserve"> (</w:t>
      </w:r>
      <w:r w:rsidR="00C04A2E">
        <w:rPr>
          <w:rFonts w:ascii="Arial" w:hAnsi="Arial" w:cs="Arial"/>
          <w:sz w:val="24"/>
          <w:szCs w:val="24"/>
        </w:rPr>
        <w:t>5</w:t>
      </w:r>
      <w:r w:rsidR="007C241C" w:rsidRPr="00B2490C">
        <w:rPr>
          <w:rFonts w:ascii="Arial" w:hAnsi="Arial" w:cs="Arial"/>
          <w:sz w:val="24"/>
          <w:szCs w:val="24"/>
        </w:rPr>
        <w:t>) days of the entry of this Order.</w:t>
      </w:r>
    </w:p>
    <w:p w:rsidR="00142BC5" w:rsidRPr="00B2490C" w:rsidRDefault="00142BC5" w:rsidP="00AC1019">
      <w:pPr>
        <w:rPr>
          <w:rFonts w:ascii="Arial" w:hAnsi="Arial" w:cs="Arial"/>
          <w:sz w:val="24"/>
          <w:szCs w:val="24"/>
        </w:rPr>
      </w:pPr>
    </w:p>
    <w:p w:rsidR="005447B8" w:rsidRPr="00B2490C" w:rsidRDefault="00645C8D" w:rsidP="00AC1019">
      <w:pPr>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2400300</wp:posOffset>
            </wp:positionH>
            <wp:positionV relativeFrom="paragraph">
              <wp:posOffset>97155</wp:posOffset>
            </wp:positionV>
            <wp:extent cx="2200275" cy="838200"/>
            <wp:effectExtent l="19050" t="0" r="9525"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142BC5" w:rsidRPr="00B2490C" w:rsidRDefault="00142BC5" w:rsidP="005447B8">
      <w:pPr>
        <w:tabs>
          <w:tab w:val="left" w:pos="4320"/>
        </w:tabs>
        <w:rPr>
          <w:rFonts w:ascii="Arial" w:hAnsi="Arial" w:cs="Arial"/>
          <w:sz w:val="24"/>
          <w:szCs w:val="24"/>
        </w:rPr>
      </w:pPr>
      <w:r w:rsidRPr="00B2490C">
        <w:rPr>
          <w:rFonts w:ascii="Arial" w:hAnsi="Arial" w:cs="Arial"/>
          <w:sz w:val="24"/>
          <w:szCs w:val="24"/>
        </w:rPr>
        <w:tab/>
      </w:r>
      <w:r w:rsidRPr="00B2490C">
        <w:rPr>
          <w:rFonts w:ascii="Arial" w:hAnsi="Arial" w:cs="Arial"/>
          <w:b/>
          <w:sz w:val="24"/>
          <w:szCs w:val="24"/>
        </w:rPr>
        <w:t>BY THE COMMISSION</w:t>
      </w:r>
      <w:r w:rsidR="004D2B0E" w:rsidRPr="00B2490C">
        <w:rPr>
          <w:rFonts w:ascii="Arial" w:hAnsi="Arial" w:cs="Arial"/>
          <w:b/>
          <w:sz w:val="24"/>
          <w:szCs w:val="24"/>
        </w:rPr>
        <w:t>,</w:t>
      </w:r>
    </w:p>
    <w:p w:rsidR="00142BC5" w:rsidRPr="00B2490C" w:rsidRDefault="00142BC5" w:rsidP="005447B8">
      <w:pPr>
        <w:tabs>
          <w:tab w:val="left" w:pos="4320"/>
        </w:tabs>
        <w:rPr>
          <w:rFonts w:ascii="Arial" w:hAnsi="Arial" w:cs="Arial"/>
          <w:sz w:val="24"/>
          <w:szCs w:val="24"/>
        </w:rPr>
      </w:pPr>
    </w:p>
    <w:p w:rsidR="0082505A" w:rsidRPr="00B2490C" w:rsidRDefault="0082505A" w:rsidP="005447B8">
      <w:pPr>
        <w:tabs>
          <w:tab w:val="left" w:pos="4320"/>
        </w:tabs>
        <w:rPr>
          <w:rFonts w:ascii="Arial" w:hAnsi="Arial" w:cs="Arial"/>
          <w:sz w:val="24"/>
          <w:szCs w:val="24"/>
        </w:rPr>
      </w:pPr>
    </w:p>
    <w:p w:rsidR="00142BC5" w:rsidRPr="00B2490C" w:rsidRDefault="00142BC5" w:rsidP="005447B8">
      <w:pPr>
        <w:tabs>
          <w:tab w:val="left" w:pos="4320"/>
        </w:tabs>
        <w:rPr>
          <w:rFonts w:ascii="Arial" w:hAnsi="Arial" w:cs="Arial"/>
          <w:sz w:val="24"/>
          <w:szCs w:val="24"/>
        </w:rPr>
      </w:pPr>
    </w:p>
    <w:p w:rsidR="00142BC5" w:rsidRPr="00B2490C" w:rsidRDefault="00142BC5" w:rsidP="005447B8">
      <w:pPr>
        <w:tabs>
          <w:tab w:val="left" w:pos="4320"/>
        </w:tabs>
        <w:rPr>
          <w:rFonts w:ascii="Arial" w:hAnsi="Arial" w:cs="Arial"/>
          <w:sz w:val="24"/>
          <w:szCs w:val="24"/>
        </w:rPr>
      </w:pPr>
      <w:r w:rsidRPr="00B2490C">
        <w:rPr>
          <w:rFonts w:ascii="Arial" w:hAnsi="Arial" w:cs="Arial"/>
          <w:sz w:val="24"/>
          <w:szCs w:val="24"/>
        </w:rPr>
        <w:tab/>
      </w:r>
      <w:r w:rsidR="00B2490C" w:rsidRPr="00B2490C">
        <w:rPr>
          <w:rFonts w:ascii="Arial" w:hAnsi="Arial" w:cs="Arial"/>
          <w:sz w:val="24"/>
          <w:szCs w:val="24"/>
        </w:rPr>
        <w:t>Rosemary Chiavetta</w:t>
      </w:r>
    </w:p>
    <w:p w:rsidR="00142BC5" w:rsidRPr="00B2490C" w:rsidRDefault="00142BC5" w:rsidP="005447B8">
      <w:pPr>
        <w:tabs>
          <w:tab w:val="left" w:pos="4320"/>
        </w:tabs>
        <w:rPr>
          <w:rFonts w:ascii="Arial" w:hAnsi="Arial" w:cs="Arial"/>
          <w:sz w:val="24"/>
          <w:szCs w:val="24"/>
        </w:rPr>
      </w:pPr>
      <w:r w:rsidRPr="00B2490C">
        <w:rPr>
          <w:rFonts w:ascii="Arial" w:hAnsi="Arial" w:cs="Arial"/>
          <w:sz w:val="24"/>
          <w:szCs w:val="24"/>
        </w:rPr>
        <w:tab/>
        <w:t>Secretary</w:t>
      </w:r>
    </w:p>
    <w:p w:rsidR="00142BC5" w:rsidRPr="00B2490C" w:rsidRDefault="00142BC5" w:rsidP="005447B8">
      <w:pPr>
        <w:tabs>
          <w:tab w:val="left" w:pos="4320"/>
        </w:tabs>
        <w:rPr>
          <w:rFonts w:ascii="Arial" w:hAnsi="Arial" w:cs="Arial"/>
          <w:sz w:val="24"/>
          <w:szCs w:val="24"/>
        </w:rPr>
      </w:pPr>
    </w:p>
    <w:p w:rsidR="00142BC5" w:rsidRPr="00B2490C" w:rsidRDefault="00142BC5" w:rsidP="005447B8">
      <w:pPr>
        <w:tabs>
          <w:tab w:val="left" w:pos="4320"/>
        </w:tabs>
        <w:rPr>
          <w:rFonts w:ascii="Arial" w:hAnsi="Arial" w:cs="Arial"/>
          <w:sz w:val="24"/>
          <w:szCs w:val="24"/>
        </w:rPr>
      </w:pPr>
      <w:r w:rsidRPr="00B2490C">
        <w:rPr>
          <w:rFonts w:ascii="Arial" w:hAnsi="Arial" w:cs="Arial"/>
          <w:sz w:val="24"/>
          <w:szCs w:val="24"/>
        </w:rPr>
        <w:t>(SEAL)</w:t>
      </w:r>
    </w:p>
    <w:p w:rsidR="005447B8" w:rsidRPr="00B2490C" w:rsidRDefault="005447B8" w:rsidP="005447B8">
      <w:pPr>
        <w:tabs>
          <w:tab w:val="left" w:pos="4320"/>
        </w:tabs>
        <w:rPr>
          <w:rFonts w:ascii="Arial" w:hAnsi="Arial" w:cs="Arial"/>
          <w:sz w:val="24"/>
          <w:szCs w:val="24"/>
        </w:rPr>
      </w:pPr>
    </w:p>
    <w:p w:rsidR="00142BC5" w:rsidRPr="00B2490C" w:rsidRDefault="00142BC5" w:rsidP="005447B8">
      <w:pPr>
        <w:tabs>
          <w:tab w:val="left" w:pos="4320"/>
        </w:tabs>
        <w:rPr>
          <w:rFonts w:ascii="Arial" w:hAnsi="Arial" w:cs="Arial"/>
          <w:sz w:val="24"/>
          <w:szCs w:val="24"/>
        </w:rPr>
      </w:pPr>
      <w:r w:rsidRPr="00B2490C">
        <w:rPr>
          <w:rFonts w:ascii="Arial" w:hAnsi="Arial" w:cs="Arial"/>
          <w:sz w:val="24"/>
          <w:szCs w:val="24"/>
        </w:rPr>
        <w:t xml:space="preserve">ORDER ADOPTED:  </w:t>
      </w:r>
      <w:r w:rsidR="00CF6A6C" w:rsidRPr="00B2490C">
        <w:rPr>
          <w:rFonts w:ascii="Arial" w:hAnsi="Arial" w:cs="Arial"/>
          <w:sz w:val="24"/>
          <w:szCs w:val="24"/>
        </w:rPr>
        <w:t>August 25, 2011</w:t>
      </w:r>
      <w:r w:rsidR="00EF5C01" w:rsidRPr="00B2490C">
        <w:rPr>
          <w:rFonts w:ascii="Arial" w:hAnsi="Arial" w:cs="Arial"/>
          <w:sz w:val="24"/>
          <w:szCs w:val="24"/>
        </w:rPr>
        <w:t xml:space="preserve"> </w:t>
      </w:r>
    </w:p>
    <w:p w:rsidR="00B2490C" w:rsidRPr="00B2490C" w:rsidRDefault="00B2490C" w:rsidP="005447B8">
      <w:pPr>
        <w:tabs>
          <w:tab w:val="left" w:pos="4320"/>
        </w:tabs>
        <w:rPr>
          <w:rFonts w:ascii="Arial" w:hAnsi="Arial" w:cs="Arial"/>
          <w:sz w:val="24"/>
          <w:szCs w:val="24"/>
        </w:rPr>
      </w:pPr>
    </w:p>
    <w:p w:rsidR="00B41C2C" w:rsidRPr="00B2490C" w:rsidRDefault="00142BC5" w:rsidP="005447B8">
      <w:pPr>
        <w:tabs>
          <w:tab w:val="left" w:pos="4320"/>
        </w:tabs>
        <w:rPr>
          <w:rFonts w:ascii="Arial" w:hAnsi="Arial" w:cs="Arial"/>
          <w:sz w:val="24"/>
          <w:szCs w:val="24"/>
        </w:rPr>
      </w:pPr>
      <w:r w:rsidRPr="00B2490C">
        <w:rPr>
          <w:rFonts w:ascii="Arial" w:hAnsi="Arial" w:cs="Arial"/>
          <w:sz w:val="24"/>
          <w:szCs w:val="24"/>
        </w:rPr>
        <w:t xml:space="preserve">ORDER ENTERED:  </w:t>
      </w:r>
      <w:r w:rsidR="00645C8D">
        <w:rPr>
          <w:rFonts w:ascii="Arial" w:hAnsi="Arial" w:cs="Arial"/>
          <w:sz w:val="24"/>
          <w:szCs w:val="24"/>
        </w:rPr>
        <w:t>AUGUST 25, 2011</w:t>
      </w:r>
    </w:p>
    <w:p w:rsidR="00506BA2" w:rsidRPr="00B2490C" w:rsidRDefault="00506BA2" w:rsidP="00AC1019">
      <w:pPr>
        <w:tabs>
          <w:tab w:val="left" w:pos="4320"/>
        </w:tabs>
        <w:spacing w:line="360" w:lineRule="auto"/>
        <w:rPr>
          <w:rFonts w:ascii="Arial" w:hAnsi="Arial" w:cs="Arial"/>
          <w:sz w:val="24"/>
          <w:szCs w:val="24"/>
        </w:rPr>
      </w:pPr>
    </w:p>
    <w:sectPr w:rsidR="00506BA2" w:rsidRPr="00B2490C" w:rsidSect="0012628C">
      <w:footerReference w:type="even" r:id="rId8"/>
      <w:footerReference w:type="default" r:id="rId9"/>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FCA" w:rsidRDefault="003E4FCA">
      <w:r>
        <w:separator/>
      </w:r>
    </w:p>
  </w:endnote>
  <w:endnote w:type="continuationSeparator" w:id="0">
    <w:p w:rsidR="003E4FCA" w:rsidRDefault="003E4F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7B8" w:rsidRDefault="00373163">
    <w:pPr>
      <w:pStyle w:val="Footer"/>
      <w:framePr w:wrap="around" w:vAnchor="text" w:hAnchor="margin" w:xAlign="center" w:y="1"/>
      <w:rPr>
        <w:rStyle w:val="PageNumber"/>
      </w:rPr>
    </w:pPr>
    <w:r>
      <w:rPr>
        <w:rStyle w:val="PageNumber"/>
      </w:rPr>
      <w:fldChar w:fldCharType="begin"/>
    </w:r>
    <w:r w:rsidR="005447B8">
      <w:rPr>
        <w:rStyle w:val="PageNumber"/>
      </w:rPr>
      <w:instrText xml:space="preserve">PAGE  </w:instrText>
    </w:r>
    <w:r>
      <w:rPr>
        <w:rStyle w:val="PageNumber"/>
      </w:rPr>
      <w:fldChar w:fldCharType="separate"/>
    </w:r>
    <w:r w:rsidR="005447B8">
      <w:rPr>
        <w:rStyle w:val="PageNumber"/>
        <w:noProof/>
      </w:rPr>
      <w:t>1</w:t>
    </w:r>
    <w:r>
      <w:rPr>
        <w:rStyle w:val="PageNumber"/>
      </w:rPr>
      <w:fldChar w:fldCharType="end"/>
    </w:r>
  </w:p>
  <w:p w:rsidR="005447B8" w:rsidRDefault="005447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7B8" w:rsidRDefault="00373163">
    <w:pPr>
      <w:pStyle w:val="Footer"/>
      <w:framePr w:wrap="around" w:vAnchor="text" w:hAnchor="margin" w:xAlign="center" w:y="1"/>
      <w:rPr>
        <w:rStyle w:val="PageNumber"/>
      </w:rPr>
    </w:pPr>
    <w:r>
      <w:rPr>
        <w:rStyle w:val="PageNumber"/>
      </w:rPr>
      <w:fldChar w:fldCharType="begin"/>
    </w:r>
    <w:r w:rsidR="005447B8">
      <w:rPr>
        <w:rStyle w:val="PageNumber"/>
      </w:rPr>
      <w:instrText xml:space="preserve">PAGE  </w:instrText>
    </w:r>
    <w:r>
      <w:rPr>
        <w:rStyle w:val="PageNumber"/>
      </w:rPr>
      <w:fldChar w:fldCharType="separate"/>
    </w:r>
    <w:r w:rsidR="00645C8D">
      <w:rPr>
        <w:rStyle w:val="PageNumber"/>
        <w:noProof/>
      </w:rPr>
      <w:t>5</w:t>
    </w:r>
    <w:r>
      <w:rPr>
        <w:rStyle w:val="PageNumber"/>
      </w:rPr>
      <w:fldChar w:fldCharType="end"/>
    </w:r>
  </w:p>
  <w:p w:rsidR="005447B8" w:rsidRDefault="005447B8">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FCA" w:rsidRDefault="003E4FCA">
      <w:r>
        <w:separator/>
      </w:r>
    </w:p>
  </w:footnote>
  <w:footnote w:type="continuationSeparator" w:id="0">
    <w:p w:rsidR="003E4FCA" w:rsidRDefault="003E4F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F19E1"/>
    <w:multiLevelType w:val="singleLevel"/>
    <w:tmpl w:val="0622917A"/>
    <w:lvl w:ilvl="0">
      <w:start w:val="1"/>
      <w:numFmt w:val="decimal"/>
      <w:lvlText w:val="%1."/>
      <w:lvlJc w:val="left"/>
      <w:pPr>
        <w:tabs>
          <w:tab w:val="num" w:pos="1800"/>
        </w:tabs>
        <w:ind w:left="1800" w:hanging="360"/>
      </w:pPr>
      <w:rPr>
        <w:rFonts w:hint="default"/>
      </w:rPr>
    </w:lvl>
  </w:abstractNum>
  <w:abstractNum w:abstractNumId="1">
    <w:nsid w:val="6B5568C1"/>
    <w:multiLevelType w:val="hybridMultilevel"/>
    <w:tmpl w:val="E522C8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42BC5"/>
    <w:rsid w:val="00001239"/>
    <w:rsid w:val="0000334C"/>
    <w:rsid w:val="000051CB"/>
    <w:rsid w:val="000103AF"/>
    <w:rsid w:val="0002055E"/>
    <w:rsid w:val="00023BE8"/>
    <w:rsid w:val="00031D5F"/>
    <w:rsid w:val="0005402D"/>
    <w:rsid w:val="000619B5"/>
    <w:rsid w:val="00064A09"/>
    <w:rsid w:val="00066D86"/>
    <w:rsid w:val="00067404"/>
    <w:rsid w:val="000761B7"/>
    <w:rsid w:val="0008061B"/>
    <w:rsid w:val="000810DF"/>
    <w:rsid w:val="00082CC2"/>
    <w:rsid w:val="000875C4"/>
    <w:rsid w:val="00091FA2"/>
    <w:rsid w:val="0009521E"/>
    <w:rsid w:val="00096BDF"/>
    <w:rsid w:val="000A1020"/>
    <w:rsid w:val="000A1873"/>
    <w:rsid w:val="000A612F"/>
    <w:rsid w:val="000B30DD"/>
    <w:rsid w:val="000B7824"/>
    <w:rsid w:val="000C0E11"/>
    <w:rsid w:val="000C2080"/>
    <w:rsid w:val="000C7DF9"/>
    <w:rsid w:val="000D45A8"/>
    <w:rsid w:val="000D58F3"/>
    <w:rsid w:val="000F5794"/>
    <w:rsid w:val="000F7EA3"/>
    <w:rsid w:val="001116B9"/>
    <w:rsid w:val="0012628C"/>
    <w:rsid w:val="0013168D"/>
    <w:rsid w:val="00137A57"/>
    <w:rsid w:val="00140F39"/>
    <w:rsid w:val="00142BC5"/>
    <w:rsid w:val="00146C82"/>
    <w:rsid w:val="00150BC8"/>
    <w:rsid w:val="001513A1"/>
    <w:rsid w:val="001554B4"/>
    <w:rsid w:val="00157464"/>
    <w:rsid w:val="001616B4"/>
    <w:rsid w:val="00171806"/>
    <w:rsid w:val="001916DC"/>
    <w:rsid w:val="00196D24"/>
    <w:rsid w:val="001B010E"/>
    <w:rsid w:val="001B1308"/>
    <w:rsid w:val="001B1DF7"/>
    <w:rsid w:val="001B33CE"/>
    <w:rsid w:val="001B4E4A"/>
    <w:rsid w:val="001C1215"/>
    <w:rsid w:val="001C374D"/>
    <w:rsid w:val="001D55C4"/>
    <w:rsid w:val="001E3F0D"/>
    <w:rsid w:val="001F31C1"/>
    <w:rsid w:val="001F6947"/>
    <w:rsid w:val="001F79D9"/>
    <w:rsid w:val="002102D8"/>
    <w:rsid w:val="00212260"/>
    <w:rsid w:val="002402FF"/>
    <w:rsid w:val="00246E6C"/>
    <w:rsid w:val="00253786"/>
    <w:rsid w:val="0026008D"/>
    <w:rsid w:val="002622B5"/>
    <w:rsid w:val="0026246B"/>
    <w:rsid w:val="00262699"/>
    <w:rsid w:val="00262E22"/>
    <w:rsid w:val="00263815"/>
    <w:rsid w:val="00270ACF"/>
    <w:rsid w:val="002728A2"/>
    <w:rsid w:val="00273F52"/>
    <w:rsid w:val="002748AC"/>
    <w:rsid w:val="0028797B"/>
    <w:rsid w:val="00292047"/>
    <w:rsid w:val="002950D9"/>
    <w:rsid w:val="002A1D36"/>
    <w:rsid w:val="002A3101"/>
    <w:rsid w:val="002C3A08"/>
    <w:rsid w:val="002D0ACB"/>
    <w:rsid w:val="002D5704"/>
    <w:rsid w:val="002E2AA0"/>
    <w:rsid w:val="002E3D1D"/>
    <w:rsid w:val="002F0029"/>
    <w:rsid w:val="002F4553"/>
    <w:rsid w:val="002F4E0B"/>
    <w:rsid w:val="00310A02"/>
    <w:rsid w:val="00323549"/>
    <w:rsid w:val="00323555"/>
    <w:rsid w:val="003306A5"/>
    <w:rsid w:val="003501F3"/>
    <w:rsid w:val="00365433"/>
    <w:rsid w:val="00372DE6"/>
    <w:rsid w:val="00373163"/>
    <w:rsid w:val="003825B2"/>
    <w:rsid w:val="00384B20"/>
    <w:rsid w:val="003B03A2"/>
    <w:rsid w:val="003B1455"/>
    <w:rsid w:val="003B15EF"/>
    <w:rsid w:val="003C1AF1"/>
    <w:rsid w:val="003E1E70"/>
    <w:rsid w:val="003E2801"/>
    <w:rsid w:val="003E4FCA"/>
    <w:rsid w:val="003E6BFA"/>
    <w:rsid w:val="003E780C"/>
    <w:rsid w:val="004045C8"/>
    <w:rsid w:val="0040753B"/>
    <w:rsid w:val="004120EC"/>
    <w:rsid w:val="004146DA"/>
    <w:rsid w:val="004233A6"/>
    <w:rsid w:val="00432399"/>
    <w:rsid w:val="0043557E"/>
    <w:rsid w:val="00457C3D"/>
    <w:rsid w:val="00460768"/>
    <w:rsid w:val="00463D7D"/>
    <w:rsid w:val="0046685D"/>
    <w:rsid w:val="00473E79"/>
    <w:rsid w:val="0048010F"/>
    <w:rsid w:val="004933B1"/>
    <w:rsid w:val="00494ABE"/>
    <w:rsid w:val="004B34CF"/>
    <w:rsid w:val="004B517A"/>
    <w:rsid w:val="004B590F"/>
    <w:rsid w:val="004D2B0E"/>
    <w:rsid w:val="004D5FB6"/>
    <w:rsid w:val="004E41B9"/>
    <w:rsid w:val="004E5E88"/>
    <w:rsid w:val="004F6545"/>
    <w:rsid w:val="005039CE"/>
    <w:rsid w:val="005058F2"/>
    <w:rsid w:val="00506BA2"/>
    <w:rsid w:val="00516D09"/>
    <w:rsid w:val="00531733"/>
    <w:rsid w:val="00541848"/>
    <w:rsid w:val="00541CD6"/>
    <w:rsid w:val="005420D9"/>
    <w:rsid w:val="005433A1"/>
    <w:rsid w:val="005447B8"/>
    <w:rsid w:val="00545488"/>
    <w:rsid w:val="00552A81"/>
    <w:rsid w:val="0056059A"/>
    <w:rsid w:val="00562FFD"/>
    <w:rsid w:val="00566C5B"/>
    <w:rsid w:val="0057107A"/>
    <w:rsid w:val="00582614"/>
    <w:rsid w:val="005930F9"/>
    <w:rsid w:val="005967AA"/>
    <w:rsid w:val="005A1035"/>
    <w:rsid w:val="005A6C6D"/>
    <w:rsid w:val="005C182A"/>
    <w:rsid w:val="005D2160"/>
    <w:rsid w:val="005D4BBC"/>
    <w:rsid w:val="005E18D9"/>
    <w:rsid w:val="005E2669"/>
    <w:rsid w:val="005E2862"/>
    <w:rsid w:val="005F1DC0"/>
    <w:rsid w:val="005F445A"/>
    <w:rsid w:val="005F52DA"/>
    <w:rsid w:val="00601475"/>
    <w:rsid w:val="00601803"/>
    <w:rsid w:val="00636FAE"/>
    <w:rsid w:val="00637A23"/>
    <w:rsid w:val="00637FCB"/>
    <w:rsid w:val="006443E3"/>
    <w:rsid w:val="00645C8D"/>
    <w:rsid w:val="0066082A"/>
    <w:rsid w:val="006625E5"/>
    <w:rsid w:val="0066610F"/>
    <w:rsid w:val="00671382"/>
    <w:rsid w:val="006765E0"/>
    <w:rsid w:val="006776F9"/>
    <w:rsid w:val="006808EF"/>
    <w:rsid w:val="00683F38"/>
    <w:rsid w:val="006A7DCB"/>
    <w:rsid w:val="006D1D28"/>
    <w:rsid w:val="006F594E"/>
    <w:rsid w:val="00705F68"/>
    <w:rsid w:val="00706706"/>
    <w:rsid w:val="00707C99"/>
    <w:rsid w:val="007378E4"/>
    <w:rsid w:val="00747E7B"/>
    <w:rsid w:val="00754042"/>
    <w:rsid w:val="007557BE"/>
    <w:rsid w:val="00757406"/>
    <w:rsid w:val="00762812"/>
    <w:rsid w:val="007661D0"/>
    <w:rsid w:val="00775DEA"/>
    <w:rsid w:val="007A13DB"/>
    <w:rsid w:val="007A4D04"/>
    <w:rsid w:val="007A6725"/>
    <w:rsid w:val="007A70D6"/>
    <w:rsid w:val="007B16CB"/>
    <w:rsid w:val="007B3DA6"/>
    <w:rsid w:val="007B4C17"/>
    <w:rsid w:val="007B5F5A"/>
    <w:rsid w:val="007B6D05"/>
    <w:rsid w:val="007C0D0F"/>
    <w:rsid w:val="007C1D59"/>
    <w:rsid w:val="007C241C"/>
    <w:rsid w:val="007D05C8"/>
    <w:rsid w:val="007D4C22"/>
    <w:rsid w:val="007E0E4C"/>
    <w:rsid w:val="007E4598"/>
    <w:rsid w:val="007F2623"/>
    <w:rsid w:val="007F6AD6"/>
    <w:rsid w:val="007F6F9C"/>
    <w:rsid w:val="008022D6"/>
    <w:rsid w:val="00811C5F"/>
    <w:rsid w:val="008207A9"/>
    <w:rsid w:val="0082505A"/>
    <w:rsid w:val="00832273"/>
    <w:rsid w:val="00832B9A"/>
    <w:rsid w:val="008401CC"/>
    <w:rsid w:val="00842A22"/>
    <w:rsid w:val="00854CA1"/>
    <w:rsid w:val="008610B6"/>
    <w:rsid w:val="00861BFF"/>
    <w:rsid w:val="00867C6A"/>
    <w:rsid w:val="00873112"/>
    <w:rsid w:val="008754FE"/>
    <w:rsid w:val="00894F25"/>
    <w:rsid w:val="0089639F"/>
    <w:rsid w:val="008A304A"/>
    <w:rsid w:val="008B296E"/>
    <w:rsid w:val="008C2D12"/>
    <w:rsid w:val="008C5A5B"/>
    <w:rsid w:val="008D3A46"/>
    <w:rsid w:val="008F072B"/>
    <w:rsid w:val="00905B0C"/>
    <w:rsid w:val="00906105"/>
    <w:rsid w:val="00906D1E"/>
    <w:rsid w:val="00912159"/>
    <w:rsid w:val="00916839"/>
    <w:rsid w:val="00920872"/>
    <w:rsid w:val="00930DA1"/>
    <w:rsid w:val="00933CFE"/>
    <w:rsid w:val="00935555"/>
    <w:rsid w:val="009424F1"/>
    <w:rsid w:val="00944E5E"/>
    <w:rsid w:val="0095004A"/>
    <w:rsid w:val="0095220B"/>
    <w:rsid w:val="00953E9D"/>
    <w:rsid w:val="009578B6"/>
    <w:rsid w:val="009624F2"/>
    <w:rsid w:val="00964543"/>
    <w:rsid w:val="009809BC"/>
    <w:rsid w:val="00993097"/>
    <w:rsid w:val="00997309"/>
    <w:rsid w:val="009A0982"/>
    <w:rsid w:val="009D0A88"/>
    <w:rsid w:val="009D0C29"/>
    <w:rsid w:val="009D1FE5"/>
    <w:rsid w:val="009D29DF"/>
    <w:rsid w:val="009E7B54"/>
    <w:rsid w:val="009F01AD"/>
    <w:rsid w:val="00A02B87"/>
    <w:rsid w:val="00A057DF"/>
    <w:rsid w:val="00A078DA"/>
    <w:rsid w:val="00A107B7"/>
    <w:rsid w:val="00A2382D"/>
    <w:rsid w:val="00A33965"/>
    <w:rsid w:val="00A34E25"/>
    <w:rsid w:val="00A502BD"/>
    <w:rsid w:val="00A55104"/>
    <w:rsid w:val="00A555A6"/>
    <w:rsid w:val="00A73DD0"/>
    <w:rsid w:val="00A75FF5"/>
    <w:rsid w:val="00A8013C"/>
    <w:rsid w:val="00A82616"/>
    <w:rsid w:val="00A86E74"/>
    <w:rsid w:val="00AA31DE"/>
    <w:rsid w:val="00AA486A"/>
    <w:rsid w:val="00AB0B44"/>
    <w:rsid w:val="00AB30CA"/>
    <w:rsid w:val="00AC1019"/>
    <w:rsid w:val="00AD3C2D"/>
    <w:rsid w:val="00AD48E7"/>
    <w:rsid w:val="00AD7621"/>
    <w:rsid w:val="00AE6DF5"/>
    <w:rsid w:val="00B05306"/>
    <w:rsid w:val="00B10ABF"/>
    <w:rsid w:val="00B10C5D"/>
    <w:rsid w:val="00B12034"/>
    <w:rsid w:val="00B2490C"/>
    <w:rsid w:val="00B31564"/>
    <w:rsid w:val="00B41C2C"/>
    <w:rsid w:val="00B44DFC"/>
    <w:rsid w:val="00B6202B"/>
    <w:rsid w:val="00B65F20"/>
    <w:rsid w:val="00B70087"/>
    <w:rsid w:val="00B80F79"/>
    <w:rsid w:val="00B83CF0"/>
    <w:rsid w:val="00B8474E"/>
    <w:rsid w:val="00B87579"/>
    <w:rsid w:val="00B912C6"/>
    <w:rsid w:val="00BB6F69"/>
    <w:rsid w:val="00BC5E01"/>
    <w:rsid w:val="00BC7B16"/>
    <w:rsid w:val="00BC7EEE"/>
    <w:rsid w:val="00BD4CA4"/>
    <w:rsid w:val="00BE13AE"/>
    <w:rsid w:val="00BE4E5E"/>
    <w:rsid w:val="00BE5938"/>
    <w:rsid w:val="00BF2DC8"/>
    <w:rsid w:val="00BF4934"/>
    <w:rsid w:val="00BF4D4D"/>
    <w:rsid w:val="00C02835"/>
    <w:rsid w:val="00C044E7"/>
    <w:rsid w:val="00C04A2E"/>
    <w:rsid w:val="00C0763E"/>
    <w:rsid w:val="00C1543D"/>
    <w:rsid w:val="00C37BD9"/>
    <w:rsid w:val="00C40D8B"/>
    <w:rsid w:val="00C42A6E"/>
    <w:rsid w:val="00C52F5F"/>
    <w:rsid w:val="00C55AE7"/>
    <w:rsid w:val="00C62CE8"/>
    <w:rsid w:val="00C64EDB"/>
    <w:rsid w:val="00C67675"/>
    <w:rsid w:val="00C8035C"/>
    <w:rsid w:val="00C812C8"/>
    <w:rsid w:val="00CA101A"/>
    <w:rsid w:val="00CA1F95"/>
    <w:rsid w:val="00CA6D22"/>
    <w:rsid w:val="00CC3B69"/>
    <w:rsid w:val="00CD1D82"/>
    <w:rsid w:val="00CD4C03"/>
    <w:rsid w:val="00CF3BDF"/>
    <w:rsid w:val="00CF551D"/>
    <w:rsid w:val="00CF6A6C"/>
    <w:rsid w:val="00D012D1"/>
    <w:rsid w:val="00D02572"/>
    <w:rsid w:val="00D031AF"/>
    <w:rsid w:val="00D049C6"/>
    <w:rsid w:val="00D074D6"/>
    <w:rsid w:val="00D127D3"/>
    <w:rsid w:val="00D12B1D"/>
    <w:rsid w:val="00D15BBF"/>
    <w:rsid w:val="00D16ADA"/>
    <w:rsid w:val="00D2033E"/>
    <w:rsid w:val="00D2696D"/>
    <w:rsid w:val="00D301A0"/>
    <w:rsid w:val="00D35FDA"/>
    <w:rsid w:val="00D36289"/>
    <w:rsid w:val="00D4427D"/>
    <w:rsid w:val="00D55BF6"/>
    <w:rsid w:val="00D56B61"/>
    <w:rsid w:val="00D6633F"/>
    <w:rsid w:val="00D71A63"/>
    <w:rsid w:val="00D7620B"/>
    <w:rsid w:val="00D84308"/>
    <w:rsid w:val="00D85268"/>
    <w:rsid w:val="00D909D7"/>
    <w:rsid w:val="00DA1441"/>
    <w:rsid w:val="00DA1A68"/>
    <w:rsid w:val="00DA5417"/>
    <w:rsid w:val="00DA70FC"/>
    <w:rsid w:val="00DA7DEC"/>
    <w:rsid w:val="00DB7EAF"/>
    <w:rsid w:val="00DD125B"/>
    <w:rsid w:val="00DD3EC5"/>
    <w:rsid w:val="00DF43BB"/>
    <w:rsid w:val="00E01A29"/>
    <w:rsid w:val="00E064E3"/>
    <w:rsid w:val="00E14C1C"/>
    <w:rsid w:val="00E3416D"/>
    <w:rsid w:val="00E57A0A"/>
    <w:rsid w:val="00E60698"/>
    <w:rsid w:val="00E70CB3"/>
    <w:rsid w:val="00E715B7"/>
    <w:rsid w:val="00E72530"/>
    <w:rsid w:val="00E861DB"/>
    <w:rsid w:val="00EA20FB"/>
    <w:rsid w:val="00EA3F29"/>
    <w:rsid w:val="00EB2438"/>
    <w:rsid w:val="00EB741E"/>
    <w:rsid w:val="00EC3F40"/>
    <w:rsid w:val="00ED1F52"/>
    <w:rsid w:val="00EF17CD"/>
    <w:rsid w:val="00EF57A6"/>
    <w:rsid w:val="00EF5C01"/>
    <w:rsid w:val="00F00089"/>
    <w:rsid w:val="00F1489D"/>
    <w:rsid w:val="00F14DA7"/>
    <w:rsid w:val="00F32FF7"/>
    <w:rsid w:val="00F40B0B"/>
    <w:rsid w:val="00F44007"/>
    <w:rsid w:val="00F445BF"/>
    <w:rsid w:val="00F47908"/>
    <w:rsid w:val="00F54C01"/>
    <w:rsid w:val="00F56D5D"/>
    <w:rsid w:val="00F578E6"/>
    <w:rsid w:val="00F57C93"/>
    <w:rsid w:val="00F6198D"/>
    <w:rsid w:val="00F750D3"/>
    <w:rsid w:val="00F75E45"/>
    <w:rsid w:val="00F84CC9"/>
    <w:rsid w:val="00F926ED"/>
    <w:rsid w:val="00FA1E1D"/>
    <w:rsid w:val="00FA27A7"/>
    <w:rsid w:val="00FA4989"/>
    <w:rsid w:val="00FB6D12"/>
    <w:rsid w:val="00FC6877"/>
    <w:rsid w:val="00FD0A5F"/>
    <w:rsid w:val="00FD206F"/>
    <w:rsid w:val="00FD274A"/>
    <w:rsid w:val="00FD37DC"/>
    <w:rsid w:val="00FD7D5D"/>
    <w:rsid w:val="00FE3739"/>
    <w:rsid w:val="00FF2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020"/>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1020"/>
    <w:pPr>
      <w:tabs>
        <w:tab w:val="center" w:pos="4320"/>
        <w:tab w:val="right" w:pos="8640"/>
      </w:tabs>
    </w:pPr>
  </w:style>
  <w:style w:type="paragraph" w:styleId="Footer">
    <w:name w:val="footer"/>
    <w:basedOn w:val="Normal"/>
    <w:rsid w:val="000A1020"/>
    <w:pPr>
      <w:tabs>
        <w:tab w:val="center" w:pos="4320"/>
        <w:tab w:val="right" w:pos="8640"/>
      </w:tabs>
    </w:pPr>
  </w:style>
  <w:style w:type="character" w:styleId="PageNumber">
    <w:name w:val="page number"/>
    <w:basedOn w:val="DefaultParagraphFont"/>
    <w:rsid w:val="000A1020"/>
  </w:style>
  <w:style w:type="paragraph" w:styleId="FootnoteText">
    <w:name w:val="footnote text"/>
    <w:basedOn w:val="Normal"/>
    <w:semiHidden/>
    <w:rsid w:val="000A1020"/>
    <w:rPr>
      <w:sz w:val="20"/>
    </w:rPr>
  </w:style>
  <w:style w:type="character" w:styleId="FootnoteReference">
    <w:name w:val="footnote reference"/>
    <w:basedOn w:val="DefaultParagraphFont"/>
    <w:semiHidden/>
    <w:rsid w:val="000A1020"/>
    <w:rPr>
      <w:vertAlign w:val="superscript"/>
    </w:rPr>
  </w:style>
  <w:style w:type="paragraph" w:styleId="BalloonText">
    <w:name w:val="Balloon Text"/>
    <w:basedOn w:val="Normal"/>
    <w:semiHidden/>
    <w:rsid w:val="0008061B"/>
    <w:rPr>
      <w:rFonts w:ascii="Tahoma" w:hAnsi="Tahoma" w:cs="Tahoma"/>
      <w:sz w:val="16"/>
      <w:szCs w:val="16"/>
    </w:rPr>
  </w:style>
  <w:style w:type="paragraph" w:styleId="ListParagraph">
    <w:name w:val="List Paragraph"/>
    <w:basedOn w:val="Normal"/>
    <w:uiPriority w:val="34"/>
    <w:qFormat/>
    <w:rsid w:val="00B249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subject/>
  <dc:creator>DEICHMILLERH</dc:creator>
  <cp:keywords/>
  <cp:lastModifiedBy>Administrator</cp:lastModifiedBy>
  <cp:revision>6</cp:revision>
  <cp:lastPrinted>2011-08-25T15:09:00Z</cp:lastPrinted>
  <dcterms:created xsi:type="dcterms:W3CDTF">2011-08-24T14:57:00Z</dcterms:created>
  <dcterms:modified xsi:type="dcterms:W3CDTF">2011-08-25T15:09:00Z</dcterms:modified>
</cp:coreProperties>
</file>