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5B4667" w:rsidP="006F7DF2">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6F7DF2">
              <w:rPr>
                <w:color w:val="auto"/>
                <w:sz w:val="26"/>
                <w:szCs w:val="26"/>
              </w:rPr>
              <w:t>August 25</w:t>
            </w:r>
            <w:r>
              <w:rPr>
                <w:color w:val="auto"/>
                <w:sz w:val="26"/>
                <w:szCs w:val="26"/>
              </w:rPr>
              <w:t>, 2011</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5B4667" w:rsidP="005B4667">
            <w:pPr>
              <w:ind w:left="1080"/>
              <w:rPr>
                <w:color w:val="auto"/>
                <w:sz w:val="26"/>
                <w:szCs w:val="26"/>
              </w:rPr>
            </w:pPr>
            <w:r w:rsidRPr="00267FA7">
              <w:rPr>
                <w:color w:val="auto"/>
                <w:sz w:val="26"/>
                <w:szCs w:val="26"/>
              </w:rPr>
              <w:t>Wayne E. Gardne</w:t>
            </w:r>
            <w:r>
              <w:rPr>
                <w:color w:val="auto"/>
                <w:sz w:val="26"/>
                <w:szCs w:val="26"/>
              </w:rPr>
              <w:t>r</w:t>
            </w:r>
          </w:p>
          <w:p w:rsidR="00102D4C" w:rsidRDefault="005B4667" w:rsidP="005B4667">
            <w:pPr>
              <w:ind w:left="1080"/>
              <w:rPr>
                <w:color w:val="auto"/>
                <w:sz w:val="26"/>
                <w:szCs w:val="26"/>
              </w:rPr>
            </w:pPr>
            <w:r w:rsidRPr="00267FA7">
              <w:rPr>
                <w:color w:val="auto"/>
                <w:sz w:val="26"/>
                <w:szCs w:val="26"/>
              </w:rPr>
              <w:t>James H. Cawley</w:t>
            </w:r>
          </w:p>
          <w:p w:rsidR="006F7DF2" w:rsidRPr="005B4667" w:rsidRDefault="006F7DF2" w:rsidP="005B4667">
            <w:pPr>
              <w:ind w:left="1080"/>
              <w:rPr>
                <w:color w:val="auto"/>
                <w:sz w:val="26"/>
                <w:szCs w:val="26"/>
              </w:rPr>
            </w:pPr>
            <w:r>
              <w:rPr>
                <w:color w:val="auto"/>
                <w:sz w:val="26"/>
                <w:szCs w:val="26"/>
              </w:rPr>
              <w:t>Pamela A. Witmer</w:t>
            </w:r>
          </w:p>
        </w:tc>
      </w:tr>
      <w:tr w:rsidR="0070511A" w:rsidRPr="00DB2A91">
        <w:tc>
          <w:tcPr>
            <w:tcW w:w="9468" w:type="dxa"/>
            <w:gridSpan w:val="5"/>
          </w:tcPr>
          <w:p w:rsidR="0070511A" w:rsidRPr="00DB2A91" w:rsidRDefault="0070511A" w:rsidP="002E22C8">
            <w:pPr>
              <w:pStyle w:val="p5"/>
              <w:rPr>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6A3F31" w:rsidP="002408F3">
            <w:pPr>
              <w:rPr>
                <w:color w:val="auto"/>
                <w:sz w:val="26"/>
                <w:szCs w:val="26"/>
              </w:rPr>
            </w:pPr>
            <w:r>
              <w:rPr>
                <w:color w:val="auto"/>
                <w:sz w:val="26"/>
                <w:szCs w:val="26"/>
              </w:rPr>
              <w:t>Amendment</w:t>
            </w:r>
            <w:r w:rsidR="0070511A" w:rsidRPr="00DB2A91">
              <w:rPr>
                <w:color w:val="auto"/>
                <w:sz w:val="26"/>
                <w:szCs w:val="26"/>
              </w:rPr>
              <w:t xml:space="preserve"> of</w:t>
            </w:r>
            <w:r>
              <w:rPr>
                <w:color w:val="auto"/>
                <w:sz w:val="26"/>
                <w:szCs w:val="26"/>
              </w:rPr>
              <w:t xml:space="preserve"> Electric Generation Supplier License of</w:t>
            </w:r>
            <w:r w:rsidR="0070511A" w:rsidRPr="00DB2A91">
              <w:rPr>
                <w:color w:val="auto"/>
                <w:sz w:val="26"/>
                <w:szCs w:val="26"/>
              </w:rPr>
              <w:t xml:space="preserve"> </w:t>
            </w:r>
            <w:r w:rsidR="00B41A8F" w:rsidRPr="00B41A8F">
              <w:rPr>
                <w:rFonts w:eastAsia="Calibri"/>
                <w:color w:val="000000"/>
                <w:sz w:val="26"/>
                <w:szCs w:val="26"/>
              </w:rPr>
              <w:t>GDF SUEZ Energy Resources NA, Inc.</w:t>
            </w:r>
            <w:r w:rsidR="00B41A8F">
              <w:rPr>
                <w:rFonts w:ascii="Calibri" w:eastAsia="Calibri" w:hAnsi="Calibri"/>
                <w:color w:val="000000"/>
                <w:szCs w:val="24"/>
              </w:rPr>
              <w:t xml:space="preserve"> </w:t>
            </w:r>
            <w:r w:rsidR="00E65687" w:rsidRPr="00267FA7">
              <w:rPr>
                <w:color w:val="auto"/>
                <w:sz w:val="26"/>
                <w:szCs w:val="26"/>
              </w:rPr>
              <w:t>for Approval to Offer, Render, Furnish or Supply Electricity or Electric Generation Services</w:t>
            </w:r>
            <w:r w:rsidR="00C61612">
              <w:rPr>
                <w:color w:val="auto"/>
                <w:sz w:val="26"/>
                <w:szCs w:val="26"/>
              </w:rPr>
              <w:t xml:space="preserve"> in Mixed Meter Scenarios</w:t>
            </w:r>
            <w:r w:rsidR="00E65687" w:rsidRPr="00BC62C0">
              <w:rPr>
                <w:color w:val="auto"/>
                <w:sz w:val="26"/>
                <w:szCs w:val="26"/>
              </w:rPr>
              <w:t>.</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DB2A91" w:rsidRDefault="00E65687" w:rsidP="004C7198">
            <w:pPr>
              <w:ind w:firstLine="1332"/>
              <w:rPr>
                <w:color w:val="auto"/>
                <w:sz w:val="26"/>
                <w:szCs w:val="26"/>
              </w:rPr>
            </w:pPr>
            <w:r>
              <w:rPr>
                <w:color w:val="auto"/>
              </w:rPr>
              <w:t>A-</w:t>
            </w:r>
            <w:r w:rsidR="00C61612">
              <w:rPr>
                <w:color w:val="auto"/>
              </w:rPr>
              <w:t>110156</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rsidP="0099119C">
      <w:pPr>
        <w:spacing w:line="360" w:lineRule="auto"/>
        <w:rPr>
          <w:b/>
          <w:color w:val="auto"/>
          <w:sz w:val="26"/>
          <w:szCs w:val="26"/>
        </w:rPr>
      </w:pPr>
    </w:p>
    <w:p w:rsidR="00C61612" w:rsidRPr="00A82A55" w:rsidRDefault="00A04EDD" w:rsidP="00D84C57">
      <w:pPr>
        <w:spacing w:line="360" w:lineRule="auto"/>
        <w:rPr>
          <w:color w:val="auto"/>
          <w:sz w:val="26"/>
          <w:szCs w:val="26"/>
        </w:rPr>
      </w:pPr>
      <w:r w:rsidRPr="00A82A55">
        <w:rPr>
          <w:color w:val="auto"/>
          <w:spacing w:val="-3"/>
          <w:kern w:val="1"/>
          <w:sz w:val="26"/>
          <w:szCs w:val="26"/>
        </w:rPr>
        <w:tab/>
      </w:r>
      <w:r w:rsidRPr="00A82A55">
        <w:rPr>
          <w:color w:val="auto"/>
          <w:spacing w:val="-3"/>
          <w:kern w:val="1"/>
          <w:sz w:val="26"/>
          <w:szCs w:val="26"/>
        </w:rPr>
        <w:tab/>
      </w:r>
      <w:r w:rsidR="00C61612" w:rsidRPr="00A82A55">
        <w:rPr>
          <w:rFonts w:eastAsia="Calibri"/>
          <w:color w:val="auto"/>
          <w:sz w:val="26"/>
          <w:szCs w:val="26"/>
        </w:rPr>
        <w:t xml:space="preserve">On February 26, 2002, Tractebel Energy Services, Inc. (“TESI”) filed an application seeking to become a licensed electric generation supplier in the Commonwealth of Pennsylvania. </w:t>
      </w:r>
      <w:r w:rsidR="00200D6E">
        <w:rPr>
          <w:rFonts w:eastAsia="Calibri"/>
          <w:color w:val="auto"/>
          <w:sz w:val="26"/>
          <w:szCs w:val="26"/>
        </w:rPr>
        <w:t xml:space="preserve"> </w:t>
      </w:r>
      <w:r w:rsidR="00C61612" w:rsidRPr="00A82A55">
        <w:rPr>
          <w:rFonts w:eastAsia="Calibri"/>
          <w:color w:val="auto"/>
          <w:sz w:val="26"/>
          <w:szCs w:val="26"/>
        </w:rPr>
        <w:t>The application was filed pursuant to the Commission’s regulations at 52 Pa. Code §54.31—54.43, which became effective on August 8, 1998</w:t>
      </w:r>
      <w:r w:rsidR="00200D6E">
        <w:rPr>
          <w:rFonts w:eastAsia="Calibri"/>
          <w:color w:val="auto"/>
          <w:sz w:val="26"/>
          <w:szCs w:val="26"/>
        </w:rPr>
        <w:t>,</w:t>
      </w:r>
      <w:r w:rsidR="00C61612" w:rsidRPr="00A82A55">
        <w:rPr>
          <w:rFonts w:eastAsia="Calibri"/>
          <w:color w:val="auto"/>
          <w:sz w:val="26"/>
          <w:szCs w:val="26"/>
        </w:rPr>
        <w:t xml:space="preserve"> and which were established under Section 2809 of the Public Utility Code, 66 Pa. C.S. §2809.</w:t>
      </w:r>
    </w:p>
    <w:p w:rsidR="00C61612" w:rsidRPr="00A82A55" w:rsidRDefault="00C61612" w:rsidP="00D84C57">
      <w:pPr>
        <w:spacing w:line="360" w:lineRule="auto"/>
        <w:rPr>
          <w:sz w:val="26"/>
          <w:szCs w:val="26"/>
        </w:rPr>
      </w:pPr>
    </w:p>
    <w:p w:rsidR="00C61612" w:rsidRPr="00A82A55" w:rsidRDefault="00C61612" w:rsidP="00D84C57">
      <w:pPr>
        <w:spacing w:after="240" w:line="360" w:lineRule="auto"/>
        <w:ind w:firstLine="1440"/>
        <w:rPr>
          <w:rFonts w:eastAsia="Calibri"/>
          <w:color w:val="000000"/>
          <w:sz w:val="26"/>
          <w:szCs w:val="26"/>
        </w:rPr>
      </w:pPr>
      <w:r w:rsidRPr="00A82A55">
        <w:rPr>
          <w:rFonts w:eastAsia="Calibri"/>
          <w:color w:val="000000"/>
          <w:sz w:val="26"/>
          <w:szCs w:val="26"/>
        </w:rPr>
        <w:t>On July 18, 2002, the Commission</w:t>
      </w:r>
      <w:r w:rsidR="004E0FF3">
        <w:rPr>
          <w:rFonts w:eastAsia="Calibri"/>
          <w:color w:val="000000"/>
          <w:sz w:val="26"/>
          <w:szCs w:val="26"/>
        </w:rPr>
        <w:t xml:space="preserve"> issued a license at Docket             No. </w:t>
      </w:r>
      <w:r w:rsidRPr="00A82A55">
        <w:rPr>
          <w:rFonts w:eastAsia="Calibri"/>
          <w:color w:val="000000"/>
          <w:sz w:val="26"/>
          <w:szCs w:val="26"/>
        </w:rPr>
        <w:t xml:space="preserve">A-110156, authorizing Tractebel Energy Services, Inc. (TES) the right to begin to offer, render, furnish, or supply electric generation supplier services to large commercial, </w:t>
      </w:r>
      <w:r w:rsidRPr="00A82A55">
        <w:rPr>
          <w:rFonts w:eastAsia="Calibri"/>
          <w:color w:val="000000"/>
          <w:sz w:val="26"/>
          <w:szCs w:val="26"/>
        </w:rPr>
        <w:lastRenderedPageBreak/>
        <w:t xml:space="preserve">industrial and governmental customers classes, </w:t>
      </w:r>
      <w:r w:rsidR="00887164">
        <w:rPr>
          <w:rFonts w:eastAsia="Calibri"/>
          <w:color w:val="000000"/>
          <w:sz w:val="26"/>
          <w:szCs w:val="26"/>
        </w:rPr>
        <w:t xml:space="preserve">in the electric distribution company service territories of Duquesne Light, Metropolitan Edison Company, Pennsylvania Electric Company, PECO Electric, PPL Electric, and West Penn Power </w:t>
      </w:r>
      <w:r w:rsidRPr="00A82A55">
        <w:rPr>
          <w:rFonts w:eastAsia="Calibri"/>
          <w:color w:val="000000"/>
          <w:sz w:val="26"/>
          <w:szCs w:val="26"/>
        </w:rPr>
        <w:t xml:space="preserve">within the Commonwealth of Pennsylvania.  </w:t>
      </w:r>
    </w:p>
    <w:p w:rsidR="00C61612" w:rsidRPr="00A82A55" w:rsidRDefault="00C61612" w:rsidP="00D84C57">
      <w:pPr>
        <w:spacing w:after="240" w:line="360" w:lineRule="auto"/>
        <w:ind w:firstLine="720"/>
        <w:rPr>
          <w:rFonts w:eastAsia="Calibri"/>
          <w:color w:val="000000"/>
          <w:sz w:val="26"/>
          <w:szCs w:val="26"/>
        </w:rPr>
      </w:pPr>
      <w:r w:rsidRPr="00A82A55">
        <w:rPr>
          <w:rFonts w:eastAsia="Calibri"/>
          <w:color w:val="000000"/>
          <w:sz w:val="26"/>
          <w:szCs w:val="26"/>
        </w:rPr>
        <w:tab/>
        <w:t>On May 2, 2005, the Commission approved, by Secretarial Letter, the change of the name on its license for the provision of electric generation supplier services from TES to SUEZ Energy Resources NA, Inc. (SUEZ).</w:t>
      </w:r>
    </w:p>
    <w:p w:rsidR="005512F5" w:rsidRPr="0099119C" w:rsidRDefault="00A82A55" w:rsidP="00D84C57">
      <w:pPr>
        <w:spacing w:line="360" w:lineRule="auto"/>
        <w:ind w:firstLine="1440"/>
        <w:rPr>
          <w:rFonts w:ascii="Calibri" w:eastAsia="Calibri" w:hAnsi="Calibri"/>
          <w:color w:val="000000"/>
        </w:rPr>
      </w:pPr>
      <w:r w:rsidRPr="0099119C">
        <w:rPr>
          <w:rFonts w:eastAsia="Calibri"/>
          <w:color w:val="000000"/>
          <w:sz w:val="26"/>
          <w:szCs w:val="26"/>
        </w:rPr>
        <w:t xml:space="preserve">On </w:t>
      </w:r>
      <w:r w:rsidR="0099119C" w:rsidRPr="0099119C">
        <w:rPr>
          <w:rFonts w:eastAsia="Calibri"/>
          <w:color w:val="000000"/>
          <w:sz w:val="26"/>
          <w:szCs w:val="26"/>
        </w:rPr>
        <w:t>September 18, 2009</w:t>
      </w:r>
      <w:r w:rsidR="0099119C">
        <w:rPr>
          <w:rFonts w:ascii="Calibri" w:eastAsia="Calibri" w:hAnsi="Calibri"/>
          <w:color w:val="000000"/>
        </w:rPr>
        <w:t xml:space="preserve">, </w:t>
      </w:r>
      <w:r w:rsidRPr="00A82A55">
        <w:rPr>
          <w:rFonts w:eastAsia="Calibri"/>
          <w:color w:val="000000"/>
          <w:sz w:val="26"/>
          <w:szCs w:val="26"/>
        </w:rPr>
        <w:t>the Commission approved, by Secretarial Letter, the change of the name on its license for the provision of electric generation supplier services from</w:t>
      </w:r>
      <w:r w:rsidR="0099119C" w:rsidRPr="0099119C">
        <w:rPr>
          <w:rFonts w:eastAsia="Calibri"/>
          <w:color w:val="000000"/>
          <w:sz w:val="26"/>
          <w:szCs w:val="26"/>
        </w:rPr>
        <w:t xml:space="preserve"> </w:t>
      </w:r>
      <w:r w:rsidR="0099119C" w:rsidRPr="00A82A55">
        <w:rPr>
          <w:rFonts w:eastAsia="Calibri"/>
          <w:color w:val="000000"/>
          <w:sz w:val="26"/>
          <w:szCs w:val="26"/>
        </w:rPr>
        <w:t>SUEZ</w:t>
      </w:r>
      <w:r w:rsidRPr="00A82A55">
        <w:rPr>
          <w:rFonts w:eastAsia="Calibri"/>
          <w:color w:val="000000"/>
          <w:sz w:val="26"/>
          <w:szCs w:val="26"/>
        </w:rPr>
        <w:t xml:space="preserve"> to </w:t>
      </w:r>
      <w:r w:rsidR="0099119C" w:rsidRPr="00A82A55">
        <w:rPr>
          <w:rFonts w:eastAsia="Calibri"/>
          <w:color w:val="000000"/>
          <w:sz w:val="26"/>
          <w:szCs w:val="26"/>
        </w:rPr>
        <w:t>GDF SUEZ Energy Resources NA, Inc. (</w:t>
      </w:r>
      <w:r w:rsidR="003476C6">
        <w:rPr>
          <w:rFonts w:eastAsia="Calibri"/>
          <w:color w:val="000000"/>
          <w:sz w:val="26"/>
          <w:szCs w:val="26"/>
        </w:rPr>
        <w:t>GDF</w:t>
      </w:r>
      <w:r w:rsidR="0099119C" w:rsidRPr="00A82A55">
        <w:rPr>
          <w:rFonts w:eastAsia="Calibri"/>
          <w:color w:val="000000"/>
          <w:sz w:val="26"/>
          <w:szCs w:val="26"/>
        </w:rPr>
        <w:t>)</w:t>
      </w:r>
      <w:r w:rsidR="00F3437F">
        <w:rPr>
          <w:rFonts w:eastAsia="Calibri"/>
          <w:color w:val="000000"/>
          <w:sz w:val="26"/>
          <w:szCs w:val="26"/>
        </w:rPr>
        <w:t>.</w:t>
      </w:r>
      <w:r w:rsidR="00C61612" w:rsidRPr="00A82A55">
        <w:rPr>
          <w:rFonts w:eastAsia="Calibri"/>
          <w:color w:val="000000"/>
          <w:sz w:val="26"/>
          <w:szCs w:val="26"/>
        </w:rPr>
        <w:tab/>
      </w:r>
    </w:p>
    <w:p w:rsidR="005512F5" w:rsidRDefault="005512F5" w:rsidP="00D84C57">
      <w:pPr>
        <w:tabs>
          <w:tab w:val="left" w:pos="0"/>
        </w:tabs>
        <w:suppressAutoHyphens/>
        <w:spacing w:line="360" w:lineRule="auto"/>
        <w:rPr>
          <w:color w:val="auto"/>
          <w:spacing w:val="-3"/>
          <w:kern w:val="1"/>
          <w:sz w:val="26"/>
          <w:szCs w:val="26"/>
        </w:rPr>
      </w:pPr>
    </w:p>
    <w:p w:rsidR="009822D3" w:rsidRDefault="001C2E45" w:rsidP="00902BF2">
      <w:pPr>
        <w:tabs>
          <w:tab w:val="left" w:pos="-1440"/>
          <w:tab w:val="left" w:pos="-720"/>
        </w:tabs>
        <w:suppressAutoHyphens/>
        <w:spacing w:line="360" w:lineRule="auto"/>
        <w:rPr>
          <w:color w:val="auto"/>
          <w:sz w:val="26"/>
          <w:szCs w:val="26"/>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4373FC">
        <w:rPr>
          <w:color w:val="auto"/>
          <w:kern w:val="1"/>
          <w:sz w:val="26"/>
          <w:szCs w:val="26"/>
        </w:rPr>
        <w:t>April 28</w:t>
      </w:r>
      <w:r w:rsidR="00FE4F1F">
        <w:rPr>
          <w:color w:val="auto"/>
          <w:kern w:val="1"/>
          <w:sz w:val="26"/>
          <w:szCs w:val="26"/>
        </w:rPr>
        <w:t>, 2011</w:t>
      </w:r>
      <w:r w:rsidRPr="00DB2A91">
        <w:rPr>
          <w:color w:val="auto"/>
          <w:kern w:val="1"/>
          <w:sz w:val="26"/>
          <w:szCs w:val="26"/>
        </w:rPr>
        <w:t xml:space="preserve">, </w:t>
      </w:r>
      <w:r w:rsidR="004373FC" w:rsidRPr="00A82A55">
        <w:rPr>
          <w:rFonts w:eastAsia="Calibri"/>
          <w:color w:val="000000"/>
          <w:sz w:val="26"/>
          <w:szCs w:val="26"/>
        </w:rPr>
        <w:t>GDF</w:t>
      </w:r>
      <w:r w:rsidR="005727ED">
        <w:rPr>
          <w:color w:val="auto"/>
          <w:spacing w:val="-3"/>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w:t>
      </w:r>
      <w:r w:rsidR="00F3437F">
        <w:rPr>
          <w:color w:val="auto"/>
          <w:kern w:val="1"/>
          <w:sz w:val="26"/>
          <w:szCs w:val="26"/>
        </w:rPr>
        <w:t xml:space="preserve"> to</w:t>
      </w:r>
      <w:r w:rsidR="00016FD2">
        <w:rPr>
          <w:color w:val="auto"/>
          <w:kern w:val="1"/>
          <w:sz w:val="26"/>
          <w:szCs w:val="26"/>
        </w:rPr>
        <w:t xml:space="preserve"> include</w:t>
      </w:r>
      <w:r w:rsidR="005A58DC">
        <w:rPr>
          <w:color w:val="auto"/>
          <w:kern w:val="1"/>
          <w:sz w:val="26"/>
          <w:szCs w:val="26"/>
        </w:rPr>
        <w:t xml:space="preserve"> </w:t>
      </w:r>
      <w:r w:rsidR="00902BF2">
        <w:rPr>
          <w:color w:val="auto"/>
          <w:kern w:val="1"/>
          <w:sz w:val="26"/>
          <w:szCs w:val="26"/>
        </w:rPr>
        <w:t xml:space="preserve">the additional classes of </w:t>
      </w:r>
      <w:r w:rsidR="005A58DC">
        <w:rPr>
          <w:color w:val="auto"/>
          <w:kern w:val="1"/>
          <w:sz w:val="26"/>
          <w:szCs w:val="26"/>
        </w:rPr>
        <w:t>residential and small commercia</w:t>
      </w:r>
      <w:r w:rsidR="00902BF2">
        <w:rPr>
          <w:color w:val="auto"/>
          <w:kern w:val="1"/>
          <w:sz w:val="26"/>
          <w:szCs w:val="26"/>
        </w:rPr>
        <w:t xml:space="preserve">l (25kW and under) customers under the “mixed meter scenario”, pursuant to the Commission’s Secretarial Letter dated March 11, 2011 (Mixed Meter Letter) at Docket No. M-2009-2082042.  </w:t>
      </w:r>
    </w:p>
    <w:p w:rsidR="009822D3" w:rsidRDefault="009822D3" w:rsidP="00D84C57">
      <w:pPr>
        <w:tabs>
          <w:tab w:val="left" w:pos="-1440"/>
          <w:tab w:val="left" w:pos="-720"/>
        </w:tabs>
        <w:suppressAutoHyphens/>
        <w:spacing w:line="360" w:lineRule="auto"/>
        <w:rPr>
          <w:color w:val="auto"/>
          <w:sz w:val="26"/>
          <w:szCs w:val="26"/>
        </w:rPr>
      </w:pPr>
    </w:p>
    <w:p w:rsidR="00902BF2" w:rsidRDefault="00902BF2" w:rsidP="00D84C57">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t>In the Mixed Meter Letter, the Commission provided guidance on electric generation licensing “Requirements</w:t>
      </w:r>
      <w:r w:rsidR="00C57631">
        <w:rPr>
          <w:color w:val="auto"/>
          <w:sz w:val="26"/>
          <w:szCs w:val="26"/>
        </w:rPr>
        <w:t xml:space="preserve"> Applicable in Mixed Meter Scenarios,” where mixed meter refers to a situation where an EGS has contracted with a large commercial, industrial, or governmental customer, and the service provided to residential or small commercial customers through separate meters is part of or incidental to that contract or account.</w:t>
      </w:r>
    </w:p>
    <w:p w:rsidR="00C57631" w:rsidRDefault="00C57631" w:rsidP="00D84C57">
      <w:pPr>
        <w:tabs>
          <w:tab w:val="left" w:pos="-1440"/>
          <w:tab w:val="left" w:pos="-720"/>
        </w:tabs>
        <w:suppressAutoHyphens/>
        <w:spacing w:line="360" w:lineRule="auto"/>
        <w:rPr>
          <w:color w:val="auto"/>
          <w:sz w:val="26"/>
          <w:szCs w:val="26"/>
        </w:rPr>
      </w:pPr>
    </w:p>
    <w:p w:rsidR="00D1637E" w:rsidRDefault="009822D3" w:rsidP="00D84C57">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r>
      <w:r w:rsidR="0045183F">
        <w:rPr>
          <w:color w:val="auto"/>
          <w:sz w:val="26"/>
          <w:szCs w:val="26"/>
        </w:rPr>
        <w:t xml:space="preserve">Since </w:t>
      </w:r>
      <w:r w:rsidR="00571726" w:rsidRPr="00A82A55">
        <w:rPr>
          <w:rFonts w:eastAsia="Calibri"/>
          <w:color w:val="000000"/>
          <w:sz w:val="26"/>
          <w:szCs w:val="26"/>
        </w:rPr>
        <w:t>GDF</w:t>
      </w:r>
      <w:r w:rsidR="0045183F">
        <w:rPr>
          <w:color w:val="auto"/>
          <w:sz w:val="26"/>
          <w:szCs w:val="26"/>
        </w:rPr>
        <w:t xml:space="preserve"> has no present intention to separately serve any residential or small </w:t>
      </w:r>
      <w:r w:rsidR="00571726">
        <w:rPr>
          <w:color w:val="auto"/>
          <w:sz w:val="26"/>
          <w:szCs w:val="26"/>
        </w:rPr>
        <w:t>commercial (</w:t>
      </w:r>
      <w:r w:rsidR="00571726">
        <w:rPr>
          <w:color w:val="auto"/>
          <w:kern w:val="1"/>
          <w:sz w:val="26"/>
          <w:szCs w:val="26"/>
        </w:rPr>
        <w:t xml:space="preserve">25kW and under) </w:t>
      </w:r>
      <w:r w:rsidR="0045183F">
        <w:rPr>
          <w:color w:val="auto"/>
          <w:sz w:val="26"/>
          <w:szCs w:val="26"/>
        </w:rPr>
        <w:t>customers</w:t>
      </w:r>
      <w:r w:rsidR="007638D3">
        <w:rPr>
          <w:color w:val="auto"/>
          <w:sz w:val="26"/>
          <w:szCs w:val="26"/>
        </w:rPr>
        <w:t>,</w:t>
      </w:r>
      <w:r w:rsidR="0045183F">
        <w:rPr>
          <w:color w:val="auto"/>
          <w:sz w:val="26"/>
          <w:szCs w:val="26"/>
        </w:rPr>
        <w:t xml:space="preserve"> and seeks authorization to serve these customer classes only in the event that a residential or small commercial</w:t>
      </w:r>
      <w:r w:rsidR="00571726">
        <w:rPr>
          <w:color w:val="auto"/>
          <w:sz w:val="26"/>
          <w:szCs w:val="26"/>
        </w:rPr>
        <w:t xml:space="preserve"> </w:t>
      </w:r>
      <w:r w:rsidR="00571726">
        <w:rPr>
          <w:color w:val="auto"/>
          <w:kern w:val="1"/>
          <w:sz w:val="26"/>
          <w:szCs w:val="26"/>
        </w:rPr>
        <w:t xml:space="preserve">(25kW and under) </w:t>
      </w:r>
      <w:r w:rsidR="00571726">
        <w:rPr>
          <w:color w:val="auto"/>
          <w:sz w:val="26"/>
          <w:szCs w:val="26"/>
        </w:rPr>
        <w:t>customer</w:t>
      </w:r>
      <w:r w:rsidR="0045183F">
        <w:rPr>
          <w:color w:val="auto"/>
          <w:sz w:val="26"/>
          <w:szCs w:val="26"/>
        </w:rPr>
        <w:t xml:space="preserve"> is incidentally served in a mixed meter scenario, </w:t>
      </w:r>
      <w:r w:rsidR="00571726" w:rsidRPr="00A82A55">
        <w:rPr>
          <w:rFonts w:eastAsia="Calibri"/>
          <w:color w:val="000000"/>
          <w:sz w:val="26"/>
          <w:szCs w:val="26"/>
        </w:rPr>
        <w:t>GDF</w:t>
      </w:r>
      <w:r w:rsidR="0045183F">
        <w:rPr>
          <w:color w:val="auto"/>
          <w:sz w:val="26"/>
          <w:szCs w:val="26"/>
        </w:rPr>
        <w:t xml:space="preserve"> need not submit a </w:t>
      </w:r>
      <w:r w:rsidR="0045183F">
        <w:rPr>
          <w:color w:val="auto"/>
          <w:sz w:val="26"/>
          <w:szCs w:val="26"/>
        </w:rPr>
        <w:lastRenderedPageBreak/>
        <w:t>disclosure statement at this time.</w:t>
      </w:r>
      <w:r w:rsidR="00DF351C">
        <w:rPr>
          <w:color w:val="auto"/>
          <w:sz w:val="26"/>
          <w:szCs w:val="26"/>
        </w:rPr>
        <w:t xml:space="preserve"> </w:t>
      </w:r>
      <w:r w:rsidR="0045183F">
        <w:rPr>
          <w:color w:val="auto"/>
          <w:sz w:val="26"/>
          <w:szCs w:val="26"/>
        </w:rPr>
        <w:t xml:space="preserve"> However, if </w:t>
      </w:r>
      <w:r w:rsidR="00571726" w:rsidRPr="00A82A55">
        <w:rPr>
          <w:rFonts w:eastAsia="Calibri"/>
          <w:color w:val="000000"/>
          <w:sz w:val="26"/>
          <w:szCs w:val="26"/>
        </w:rPr>
        <w:t>GDF</w:t>
      </w:r>
      <w:r w:rsidR="0045183F">
        <w:rPr>
          <w:color w:val="auto"/>
          <w:sz w:val="26"/>
          <w:szCs w:val="26"/>
        </w:rPr>
        <w:t xml:space="preserve"> </w:t>
      </w:r>
      <w:r w:rsidR="000456B6">
        <w:rPr>
          <w:color w:val="auto"/>
          <w:sz w:val="26"/>
          <w:szCs w:val="26"/>
        </w:rPr>
        <w:t xml:space="preserve">would begin to interact directly with such customers in the future, </w:t>
      </w:r>
      <w:r w:rsidR="00571726" w:rsidRPr="00A82A55">
        <w:rPr>
          <w:rFonts w:eastAsia="Calibri"/>
          <w:color w:val="000000"/>
          <w:sz w:val="26"/>
          <w:szCs w:val="26"/>
        </w:rPr>
        <w:t>GDF</w:t>
      </w:r>
      <w:r w:rsidR="000456B6">
        <w:rPr>
          <w:color w:val="auto"/>
          <w:sz w:val="26"/>
          <w:szCs w:val="26"/>
        </w:rPr>
        <w:t xml:space="preserve"> is directed to submit a disclosure statement as required by 52 Pa. Code </w:t>
      </w:r>
      <w:r w:rsidR="000456B6" w:rsidRPr="001A71CE">
        <w:rPr>
          <w:color w:val="auto"/>
          <w:sz w:val="26"/>
          <w:szCs w:val="26"/>
        </w:rPr>
        <w:t>§</w:t>
      </w:r>
      <w:r w:rsidR="000456B6">
        <w:rPr>
          <w:color w:val="auto"/>
          <w:sz w:val="26"/>
          <w:szCs w:val="26"/>
        </w:rPr>
        <w:t xml:space="preserve"> 54.5.</w:t>
      </w:r>
    </w:p>
    <w:p w:rsidR="00B065FE" w:rsidRPr="00DB2A91" w:rsidRDefault="00B065FE" w:rsidP="00D84C57">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D84C57">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090596" w:rsidRDefault="00B065FE" w:rsidP="00786D21">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675774" w:rsidRPr="00B41A8F">
        <w:rPr>
          <w:rFonts w:eastAsia="Calibri"/>
          <w:color w:val="000000"/>
          <w:sz w:val="26"/>
          <w:szCs w:val="26"/>
        </w:rPr>
        <w:t>GDF SUEZ Energy Resources NA, Inc.</w:t>
      </w:r>
      <w:r w:rsidR="00675774">
        <w:rPr>
          <w:rFonts w:eastAsia="Calibri"/>
          <w:color w:val="000000"/>
          <w:sz w:val="26"/>
          <w:szCs w:val="26"/>
        </w:rPr>
        <w:t xml:space="preserve"> </w:t>
      </w:r>
      <w:r w:rsidRPr="00DB2A91">
        <w:rPr>
          <w:color w:val="auto"/>
          <w:spacing w:val="-3"/>
          <w:kern w:val="1"/>
          <w:sz w:val="26"/>
          <w:szCs w:val="26"/>
        </w:rPr>
        <w:t>is hereby approved, consistent with this Order.</w:t>
      </w:r>
    </w:p>
    <w:p w:rsidR="0064366F" w:rsidRDefault="0064366F" w:rsidP="00786D21">
      <w:pPr>
        <w:tabs>
          <w:tab w:val="left" w:pos="0"/>
        </w:tabs>
        <w:suppressAutoHyphens/>
        <w:spacing w:line="360" w:lineRule="auto"/>
        <w:ind w:firstLine="1440"/>
        <w:rPr>
          <w:color w:val="auto"/>
          <w:spacing w:val="-3"/>
          <w:kern w:val="1"/>
          <w:sz w:val="26"/>
          <w:szCs w:val="26"/>
        </w:rPr>
      </w:pPr>
    </w:p>
    <w:p w:rsidR="0064366F" w:rsidRDefault="0064366F"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2.</w:t>
      </w:r>
      <w:r>
        <w:rPr>
          <w:color w:val="auto"/>
          <w:spacing w:val="-3"/>
          <w:kern w:val="1"/>
          <w:sz w:val="26"/>
          <w:szCs w:val="26"/>
        </w:rPr>
        <w:tab/>
        <w:t xml:space="preserve">That a license authorizing </w:t>
      </w:r>
      <w:r w:rsidRPr="00B41A8F">
        <w:rPr>
          <w:rFonts w:eastAsia="Calibri"/>
          <w:color w:val="000000"/>
          <w:sz w:val="26"/>
          <w:szCs w:val="26"/>
        </w:rPr>
        <w:t>GDF SUEZ Energy Resources NA, Inc.</w:t>
      </w:r>
      <w:r w:rsidR="00FA4754">
        <w:rPr>
          <w:rFonts w:eastAsia="Calibri"/>
          <w:color w:val="000000"/>
          <w:sz w:val="26"/>
          <w:szCs w:val="26"/>
        </w:rPr>
        <w:t xml:space="preserve"> to begin to offer, render, furnish, or supply electric generation supplier services </w:t>
      </w:r>
      <w:r w:rsidR="001F1A43">
        <w:rPr>
          <w:rFonts w:eastAsia="Calibri"/>
          <w:color w:val="000000"/>
          <w:sz w:val="26"/>
          <w:szCs w:val="26"/>
        </w:rPr>
        <w:t xml:space="preserve">as a supplier to </w:t>
      </w:r>
      <w:r w:rsidR="00263D05" w:rsidRPr="00A82A55">
        <w:rPr>
          <w:rFonts w:eastAsia="Calibri"/>
          <w:color w:val="000000"/>
          <w:sz w:val="26"/>
          <w:szCs w:val="26"/>
        </w:rPr>
        <w:t>large commercial</w:t>
      </w:r>
      <w:r w:rsidR="002C5F78">
        <w:rPr>
          <w:rFonts w:eastAsia="Calibri"/>
          <w:color w:val="000000"/>
          <w:sz w:val="26"/>
          <w:szCs w:val="26"/>
        </w:rPr>
        <w:t xml:space="preserve"> (over 25 KW demand)</w:t>
      </w:r>
      <w:r w:rsidR="00263D05" w:rsidRPr="00A82A55">
        <w:rPr>
          <w:rFonts w:eastAsia="Calibri"/>
          <w:color w:val="000000"/>
          <w:sz w:val="26"/>
          <w:szCs w:val="26"/>
        </w:rPr>
        <w:t>, indus</w:t>
      </w:r>
      <w:r w:rsidR="00052509">
        <w:rPr>
          <w:rFonts w:eastAsia="Calibri"/>
          <w:color w:val="000000"/>
          <w:sz w:val="26"/>
          <w:szCs w:val="26"/>
        </w:rPr>
        <w:t>trial and governmental customer</w:t>
      </w:r>
      <w:r w:rsidR="00263D05" w:rsidRPr="00A82A55">
        <w:rPr>
          <w:rFonts w:eastAsia="Calibri"/>
          <w:color w:val="000000"/>
          <w:sz w:val="26"/>
          <w:szCs w:val="26"/>
        </w:rPr>
        <w:t xml:space="preserve"> classes, </w:t>
      </w:r>
      <w:r w:rsidR="002C5F78">
        <w:rPr>
          <w:rFonts w:eastAsia="Calibri"/>
          <w:color w:val="000000"/>
          <w:sz w:val="26"/>
          <w:szCs w:val="26"/>
        </w:rPr>
        <w:t>and residential and small commercial (limited to mixed meters)</w:t>
      </w:r>
      <w:r w:rsidR="004817C9">
        <w:rPr>
          <w:rFonts w:eastAsia="Calibri"/>
          <w:color w:val="000000"/>
          <w:sz w:val="26"/>
          <w:szCs w:val="26"/>
        </w:rPr>
        <w:t xml:space="preserve"> customers</w:t>
      </w:r>
      <w:r w:rsidR="001244B3">
        <w:rPr>
          <w:rFonts w:eastAsia="Calibri"/>
          <w:color w:val="000000"/>
          <w:sz w:val="26"/>
          <w:szCs w:val="26"/>
        </w:rPr>
        <w:t>, pursuant to the Commission’s Secretarial Letter dat</w:t>
      </w:r>
      <w:r w:rsidR="004E0FF3">
        <w:rPr>
          <w:rFonts w:eastAsia="Calibri"/>
          <w:color w:val="000000"/>
          <w:sz w:val="26"/>
          <w:szCs w:val="26"/>
        </w:rPr>
        <w:t>ed March 25, 2011 at Docket    No. </w:t>
      </w:r>
      <w:r w:rsidR="001244B3">
        <w:rPr>
          <w:rFonts w:eastAsia="Calibri"/>
          <w:color w:val="000000"/>
          <w:sz w:val="26"/>
          <w:szCs w:val="26"/>
        </w:rPr>
        <w:t>M-2009-2082042,</w:t>
      </w:r>
      <w:r w:rsidR="002C5F78">
        <w:rPr>
          <w:rFonts w:eastAsia="Calibri"/>
          <w:color w:val="000000"/>
          <w:sz w:val="26"/>
          <w:szCs w:val="26"/>
        </w:rPr>
        <w:t xml:space="preserve"> </w:t>
      </w:r>
      <w:r w:rsidR="00263D05">
        <w:rPr>
          <w:rFonts w:eastAsia="Calibri"/>
          <w:color w:val="000000"/>
          <w:sz w:val="26"/>
          <w:szCs w:val="26"/>
        </w:rPr>
        <w:t xml:space="preserve">in the electric distribution company service territories of Duquesne Light, Metropolitan Edison Company, Pennsylvania Electric Company, PECO Electric, PPL Electric, and West Penn Power </w:t>
      </w:r>
      <w:r w:rsidR="00263D05" w:rsidRPr="00A82A55">
        <w:rPr>
          <w:rFonts w:eastAsia="Calibri"/>
          <w:color w:val="000000"/>
          <w:sz w:val="26"/>
          <w:szCs w:val="26"/>
        </w:rPr>
        <w:t>within the Commonwealth of Pennsylvania.</w:t>
      </w:r>
    </w:p>
    <w:p w:rsidR="007A17BC" w:rsidRDefault="007A17BC">
      <w:pPr>
        <w:rPr>
          <w:color w:val="auto"/>
          <w:spacing w:val="-3"/>
          <w:kern w:val="1"/>
          <w:sz w:val="26"/>
          <w:szCs w:val="26"/>
        </w:rPr>
      </w:pPr>
      <w:r>
        <w:rPr>
          <w:color w:val="auto"/>
          <w:spacing w:val="-3"/>
          <w:kern w:val="1"/>
          <w:sz w:val="26"/>
          <w:szCs w:val="26"/>
        </w:rPr>
        <w:br w:type="page"/>
      </w:r>
    </w:p>
    <w:p w:rsidR="00CA6477" w:rsidRDefault="00A614B3"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3</w:t>
      </w:r>
      <w:r w:rsidR="00CA6477">
        <w:rPr>
          <w:color w:val="auto"/>
          <w:spacing w:val="-3"/>
          <w:kern w:val="1"/>
          <w:sz w:val="26"/>
          <w:szCs w:val="26"/>
        </w:rPr>
        <w:t>.</w:t>
      </w:r>
      <w:r w:rsidR="00CA6477">
        <w:rPr>
          <w:color w:val="auto"/>
          <w:spacing w:val="-3"/>
          <w:kern w:val="1"/>
          <w:sz w:val="26"/>
          <w:szCs w:val="26"/>
        </w:rPr>
        <w:tab/>
        <w:t xml:space="preserve">That this proceeding at Docket No. </w:t>
      </w:r>
      <w:r w:rsidR="00D84C57">
        <w:rPr>
          <w:color w:val="auto"/>
        </w:rPr>
        <w:t>A-110156</w:t>
      </w:r>
      <w:r w:rsidR="00F9465E">
        <w:rPr>
          <w:color w:val="auto"/>
        </w:rPr>
        <w:t xml:space="preserve"> </w:t>
      </w:r>
      <w:r w:rsidR="00CA6477">
        <w:rPr>
          <w:color w:val="auto"/>
          <w:spacing w:val="-3"/>
          <w:kern w:val="1"/>
          <w:sz w:val="26"/>
          <w:szCs w:val="26"/>
        </w:rPr>
        <w:t>be closed.</w:t>
      </w:r>
    </w:p>
    <w:p w:rsidR="006C658B" w:rsidRPr="00DB2A91" w:rsidRDefault="00602298" w:rsidP="00786D21">
      <w:pPr>
        <w:tabs>
          <w:tab w:val="left" w:pos="0"/>
        </w:tabs>
        <w:suppressAutoHyphens/>
        <w:spacing w:line="360" w:lineRule="auto"/>
        <w:ind w:firstLine="1440"/>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2533650</wp:posOffset>
            </wp:positionH>
            <wp:positionV relativeFrom="paragraph">
              <wp:posOffset>258445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65FE" w:rsidRPr="00DB2A91" w:rsidRDefault="00B065FE" w:rsidP="00A544A4">
      <w:pPr>
        <w:tabs>
          <w:tab w:val="left" w:pos="4320"/>
        </w:tabs>
        <w:rPr>
          <w:b/>
          <w:color w:val="auto"/>
          <w:sz w:val="26"/>
          <w:szCs w:val="26"/>
        </w:rPr>
      </w:pPr>
      <w:r w:rsidRPr="00DB2A91">
        <w:rPr>
          <w:color w:val="auto"/>
          <w:sz w:val="26"/>
          <w:szCs w:val="26"/>
        </w:rPr>
        <w:tab/>
      </w:r>
      <w:r w:rsidRPr="00DB2A91">
        <w:rPr>
          <w:b/>
          <w:color w:val="auto"/>
          <w:sz w:val="26"/>
          <w:szCs w:val="26"/>
        </w:rPr>
        <w:t>BY THE COMMISSION,</w:t>
      </w:r>
    </w:p>
    <w:p w:rsidR="00EF4784" w:rsidRDefault="00EF4784" w:rsidP="00A544A4">
      <w:pPr>
        <w:tabs>
          <w:tab w:val="left" w:pos="4320"/>
        </w:tabs>
        <w:rPr>
          <w:b/>
          <w:color w:val="auto"/>
          <w:sz w:val="26"/>
          <w:szCs w:val="26"/>
        </w:rPr>
      </w:pPr>
    </w:p>
    <w:p w:rsidR="00F92254" w:rsidRPr="00DB2A91" w:rsidRDefault="00F9225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Default="00B065FE" w:rsidP="00A544A4">
      <w:pPr>
        <w:tabs>
          <w:tab w:val="left" w:pos="4320"/>
        </w:tabs>
        <w:rPr>
          <w:color w:val="auto"/>
          <w:sz w:val="26"/>
          <w:szCs w:val="26"/>
        </w:rPr>
      </w:pPr>
      <w:r w:rsidRPr="00DB2A91">
        <w:rPr>
          <w:color w:val="auto"/>
          <w:sz w:val="26"/>
          <w:szCs w:val="26"/>
        </w:rPr>
        <w:tab/>
        <w:t>Secretary</w:t>
      </w:r>
    </w:p>
    <w:p w:rsidR="00A2532C" w:rsidRDefault="00A2532C" w:rsidP="00A544A4">
      <w:pPr>
        <w:tabs>
          <w:tab w:val="left" w:pos="4320"/>
        </w:tabs>
        <w:rPr>
          <w:color w:val="auto"/>
          <w:sz w:val="26"/>
          <w:szCs w:val="26"/>
        </w:rPr>
      </w:pPr>
    </w:p>
    <w:p w:rsidR="00A2532C" w:rsidRDefault="00A2532C" w:rsidP="00A544A4">
      <w:pPr>
        <w:tabs>
          <w:tab w:val="left" w:pos="4320"/>
        </w:tabs>
        <w:rPr>
          <w:color w:val="auto"/>
          <w:sz w:val="26"/>
          <w:szCs w:val="26"/>
        </w:rPr>
      </w:pPr>
    </w:p>
    <w:p w:rsidR="00A544A4"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B065FE"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6F7DF2">
        <w:rPr>
          <w:color w:val="auto"/>
          <w:sz w:val="26"/>
          <w:szCs w:val="26"/>
        </w:rPr>
        <w:t>August 25</w:t>
      </w:r>
      <w:r w:rsidR="00F9465E">
        <w:rPr>
          <w:color w:val="auto"/>
          <w:sz w:val="26"/>
          <w:szCs w:val="26"/>
        </w:rPr>
        <w:t>, 2011</w:t>
      </w:r>
    </w:p>
    <w:p w:rsidR="008F7075" w:rsidRPr="00DB2A91" w:rsidRDefault="008F7075" w:rsidP="00A544A4">
      <w:pPr>
        <w:tabs>
          <w:tab w:val="left" w:pos="4320"/>
        </w:tabs>
        <w:rPr>
          <w:color w:val="auto"/>
          <w:sz w:val="26"/>
          <w:szCs w:val="26"/>
        </w:rPr>
      </w:pPr>
    </w:p>
    <w:p w:rsidR="00A544A4" w:rsidRPr="00DB2A91" w:rsidRDefault="00B065FE" w:rsidP="006E7339">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602298">
        <w:rPr>
          <w:color w:val="auto"/>
          <w:sz w:val="26"/>
          <w:szCs w:val="26"/>
        </w:rPr>
        <w:t>AUGUST 26, 2011</w:t>
      </w:r>
    </w:p>
    <w:sectPr w:rsidR="00A544A4" w:rsidRPr="00DB2A91" w:rsidSect="004E0FF3">
      <w:footerReference w:type="even" r:id="rId9"/>
      <w:footerReference w:type="default" r:id="rId10"/>
      <w:pgSz w:w="12240" w:h="15840" w:code="1"/>
      <w:pgMar w:top="1440" w:right="1440" w:bottom="1440" w:left="1440"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57B" w:rsidRDefault="00BA257B">
      <w:r>
        <w:separator/>
      </w:r>
    </w:p>
  </w:endnote>
  <w:endnote w:type="continuationSeparator" w:id="0">
    <w:p w:rsidR="00BA257B" w:rsidRDefault="00BA2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3F" w:rsidRDefault="00964B01" w:rsidP="009B1C5C">
    <w:pPr>
      <w:pStyle w:val="Footer"/>
      <w:framePr w:wrap="around" w:vAnchor="text" w:hAnchor="margin" w:xAlign="center" w:y="1"/>
      <w:rPr>
        <w:rStyle w:val="PageNumber"/>
      </w:rPr>
    </w:pPr>
    <w:r>
      <w:rPr>
        <w:rStyle w:val="PageNumber"/>
      </w:rPr>
      <w:fldChar w:fldCharType="begin"/>
    </w:r>
    <w:r w:rsidR="0045183F">
      <w:rPr>
        <w:rStyle w:val="PageNumber"/>
      </w:rPr>
      <w:instrText xml:space="preserve">PAGE  </w:instrText>
    </w:r>
    <w:r>
      <w:rPr>
        <w:rStyle w:val="PageNumber"/>
      </w:rPr>
      <w:fldChar w:fldCharType="end"/>
    </w:r>
  </w:p>
  <w:p w:rsidR="0045183F" w:rsidRDefault="00451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3F" w:rsidRPr="002E452F" w:rsidRDefault="00964B01" w:rsidP="009B1C5C">
    <w:pPr>
      <w:pStyle w:val="Footer"/>
      <w:framePr w:wrap="around" w:vAnchor="text" w:hAnchor="margin" w:xAlign="center" w:y="1"/>
      <w:rPr>
        <w:rStyle w:val="PageNumber"/>
        <w:color w:val="auto"/>
      </w:rPr>
    </w:pPr>
    <w:r w:rsidRPr="002E452F">
      <w:rPr>
        <w:rStyle w:val="PageNumber"/>
        <w:color w:val="auto"/>
      </w:rPr>
      <w:fldChar w:fldCharType="begin"/>
    </w:r>
    <w:r w:rsidR="0045183F" w:rsidRPr="002E452F">
      <w:rPr>
        <w:rStyle w:val="PageNumber"/>
        <w:color w:val="auto"/>
      </w:rPr>
      <w:instrText xml:space="preserve">PAGE  </w:instrText>
    </w:r>
    <w:r w:rsidRPr="002E452F">
      <w:rPr>
        <w:rStyle w:val="PageNumber"/>
        <w:color w:val="auto"/>
      </w:rPr>
      <w:fldChar w:fldCharType="separate"/>
    </w:r>
    <w:r w:rsidR="00602298">
      <w:rPr>
        <w:rStyle w:val="PageNumber"/>
        <w:noProof/>
        <w:color w:val="auto"/>
      </w:rPr>
      <w:t>4</w:t>
    </w:r>
    <w:r w:rsidRPr="002E452F">
      <w:rPr>
        <w:rStyle w:val="PageNumber"/>
        <w:color w:val="auto"/>
      </w:rPr>
      <w:fldChar w:fldCharType="end"/>
    </w:r>
  </w:p>
  <w:p w:rsidR="0045183F" w:rsidRPr="002E452F" w:rsidRDefault="0045183F">
    <w:pPr>
      <w:pStyle w:val="Foo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57B" w:rsidRDefault="00BA257B">
      <w:r>
        <w:separator/>
      </w:r>
    </w:p>
  </w:footnote>
  <w:footnote w:type="continuationSeparator" w:id="0">
    <w:p w:rsidR="00BA257B" w:rsidRDefault="00BA2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07295"/>
    <w:rsid w:val="000120B5"/>
    <w:rsid w:val="00016AF8"/>
    <w:rsid w:val="00016FD2"/>
    <w:rsid w:val="0002072F"/>
    <w:rsid w:val="00032AC2"/>
    <w:rsid w:val="00037C28"/>
    <w:rsid w:val="000456B6"/>
    <w:rsid w:val="00052509"/>
    <w:rsid w:val="000535E4"/>
    <w:rsid w:val="00056AE6"/>
    <w:rsid w:val="00056D0B"/>
    <w:rsid w:val="00060D1D"/>
    <w:rsid w:val="00067C60"/>
    <w:rsid w:val="000764FF"/>
    <w:rsid w:val="00083518"/>
    <w:rsid w:val="00090596"/>
    <w:rsid w:val="000A6198"/>
    <w:rsid w:val="000B132A"/>
    <w:rsid w:val="000D67E4"/>
    <w:rsid w:val="000F1E93"/>
    <w:rsid w:val="000F48D9"/>
    <w:rsid w:val="000F4EF1"/>
    <w:rsid w:val="00102D1E"/>
    <w:rsid w:val="00102D4C"/>
    <w:rsid w:val="00116544"/>
    <w:rsid w:val="00117DBF"/>
    <w:rsid w:val="001244B3"/>
    <w:rsid w:val="0013259F"/>
    <w:rsid w:val="00140BE7"/>
    <w:rsid w:val="00140CC7"/>
    <w:rsid w:val="00145521"/>
    <w:rsid w:val="00150EA3"/>
    <w:rsid w:val="001530B4"/>
    <w:rsid w:val="00172E30"/>
    <w:rsid w:val="00196385"/>
    <w:rsid w:val="001A71CE"/>
    <w:rsid w:val="001B2CB4"/>
    <w:rsid w:val="001B7BD2"/>
    <w:rsid w:val="001C2E45"/>
    <w:rsid w:val="001C5BB3"/>
    <w:rsid w:val="001E1D67"/>
    <w:rsid w:val="001E5277"/>
    <w:rsid w:val="001F1A43"/>
    <w:rsid w:val="00200D6E"/>
    <w:rsid w:val="0020567E"/>
    <w:rsid w:val="0021203A"/>
    <w:rsid w:val="002359B6"/>
    <w:rsid w:val="002408F3"/>
    <w:rsid w:val="0024155F"/>
    <w:rsid w:val="00241E8B"/>
    <w:rsid w:val="00247A6C"/>
    <w:rsid w:val="00263578"/>
    <w:rsid w:val="00263D05"/>
    <w:rsid w:val="002857F7"/>
    <w:rsid w:val="002C3BC4"/>
    <w:rsid w:val="002C5F78"/>
    <w:rsid w:val="002C7616"/>
    <w:rsid w:val="002D04BE"/>
    <w:rsid w:val="002D5369"/>
    <w:rsid w:val="002E22C8"/>
    <w:rsid w:val="002E452F"/>
    <w:rsid w:val="002E48CB"/>
    <w:rsid w:val="002E69D1"/>
    <w:rsid w:val="002F645D"/>
    <w:rsid w:val="003039C7"/>
    <w:rsid w:val="00303B97"/>
    <w:rsid w:val="00323B9D"/>
    <w:rsid w:val="003355A2"/>
    <w:rsid w:val="003441D9"/>
    <w:rsid w:val="003476C6"/>
    <w:rsid w:val="003530BE"/>
    <w:rsid w:val="0036392C"/>
    <w:rsid w:val="0036663C"/>
    <w:rsid w:val="00370D77"/>
    <w:rsid w:val="00371D69"/>
    <w:rsid w:val="00372086"/>
    <w:rsid w:val="00373CB2"/>
    <w:rsid w:val="00376AAE"/>
    <w:rsid w:val="00381CCB"/>
    <w:rsid w:val="00392A69"/>
    <w:rsid w:val="00394A9B"/>
    <w:rsid w:val="0039547F"/>
    <w:rsid w:val="00395840"/>
    <w:rsid w:val="003A09EB"/>
    <w:rsid w:val="003A3210"/>
    <w:rsid w:val="003A692F"/>
    <w:rsid w:val="003A7BD0"/>
    <w:rsid w:val="003B5006"/>
    <w:rsid w:val="003B6DE3"/>
    <w:rsid w:val="003C5AA7"/>
    <w:rsid w:val="003D1739"/>
    <w:rsid w:val="003D766D"/>
    <w:rsid w:val="003E3290"/>
    <w:rsid w:val="003F5DAC"/>
    <w:rsid w:val="00402F43"/>
    <w:rsid w:val="00411EC4"/>
    <w:rsid w:val="004128A8"/>
    <w:rsid w:val="0042113A"/>
    <w:rsid w:val="00421492"/>
    <w:rsid w:val="00427FAE"/>
    <w:rsid w:val="00430246"/>
    <w:rsid w:val="004373FC"/>
    <w:rsid w:val="0044319F"/>
    <w:rsid w:val="0045183F"/>
    <w:rsid w:val="00457D31"/>
    <w:rsid w:val="004610B9"/>
    <w:rsid w:val="004727B3"/>
    <w:rsid w:val="004817C9"/>
    <w:rsid w:val="00486C39"/>
    <w:rsid w:val="00497E52"/>
    <w:rsid w:val="004B5C76"/>
    <w:rsid w:val="004C499B"/>
    <w:rsid w:val="004C7198"/>
    <w:rsid w:val="004E0FF3"/>
    <w:rsid w:val="004E2E63"/>
    <w:rsid w:val="004E4AE7"/>
    <w:rsid w:val="004E6A52"/>
    <w:rsid w:val="0050604C"/>
    <w:rsid w:val="00512E37"/>
    <w:rsid w:val="00536D3A"/>
    <w:rsid w:val="0054264D"/>
    <w:rsid w:val="0055073A"/>
    <w:rsid w:val="005512F5"/>
    <w:rsid w:val="005531FE"/>
    <w:rsid w:val="00571726"/>
    <w:rsid w:val="005727ED"/>
    <w:rsid w:val="00590909"/>
    <w:rsid w:val="005A04F8"/>
    <w:rsid w:val="005A39F9"/>
    <w:rsid w:val="005A58DC"/>
    <w:rsid w:val="005B082A"/>
    <w:rsid w:val="005B2D84"/>
    <w:rsid w:val="005B4667"/>
    <w:rsid w:val="005B621E"/>
    <w:rsid w:val="005B68C8"/>
    <w:rsid w:val="005D79AD"/>
    <w:rsid w:val="005E3F5D"/>
    <w:rsid w:val="005F0A2F"/>
    <w:rsid w:val="005F74C2"/>
    <w:rsid w:val="005F7F34"/>
    <w:rsid w:val="00600673"/>
    <w:rsid w:val="00602298"/>
    <w:rsid w:val="0060677A"/>
    <w:rsid w:val="00614374"/>
    <w:rsid w:val="00634598"/>
    <w:rsid w:val="006363BA"/>
    <w:rsid w:val="0064366F"/>
    <w:rsid w:val="006546C1"/>
    <w:rsid w:val="006602B5"/>
    <w:rsid w:val="006645C9"/>
    <w:rsid w:val="00671BF6"/>
    <w:rsid w:val="0067462D"/>
    <w:rsid w:val="00675774"/>
    <w:rsid w:val="0068420F"/>
    <w:rsid w:val="00692267"/>
    <w:rsid w:val="006A204D"/>
    <w:rsid w:val="006A2BC5"/>
    <w:rsid w:val="006A3F31"/>
    <w:rsid w:val="006A433E"/>
    <w:rsid w:val="006A7F73"/>
    <w:rsid w:val="006C658B"/>
    <w:rsid w:val="006C6E7F"/>
    <w:rsid w:val="006E7339"/>
    <w:rsid w:val="006F18CA"/>
    <w:rsid w:val="006F3ACD"/>
    <w:rsid w:val="006F6737"/>
    <w:rsid w:val="006F7287"/>
    <w:rsid w:val="006F7DF2"/>
    <w:rsid w:val="0070511A"/>
    <w:rsid w:val="007139F0"/>
    <w:rsid w:val="007242AE"/>
    <w:rsid w:val="007349CE"/>
    <w:rsid w:val="00750759"/>
    <w:rsid w:val="007638D3"/>
    <w:rsid w:val="007722DE"/>
    <w:rsid w:val="00786D21"/>
    <w:rsid w:val="007906EC"/>
    <w:rsid w:val="0079110F"/>
    <w:rsid w:val="007A17BC"/>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6A58"/>
    <w:rsid w:val="0082319A"/>
    <w:rsid w:val="008415E2"/>
    <w:rsid w:val="00844F48"/>
    <w:rsid w:val="008504E3"/>
    <w:rsid w:val="00861628"/>
    <w:rsid w:val="00864E31"/>
    <w:rsid w:val="00865721"/>
    <w:rsid w:val="00875306"/>
    <w:rsid w:val="00887164"/>
    <w:rsid w:val="0089380D"/>
    <w:rsid w:val="008C66C4"/>
    <w:rsid w:val="008D0D95"/>
    <w:rsid w:val="008E3EC1"/>
    <w:rsid w:val="008F0A9D"/>
    <w:rsid w:val="008F7075"/>
    <w:rsid w:val="00902BF2"/>
    <w:rsid w:val="009041C7"/>
    <w:rsid w:val="0091614C"/>
    <w:rsid w:val="00941E2A"/>
    <w:rsid w:val="0095742D"/>
    <w:rsid w:val="00964B01"/>
    <w:rsid w:val="009742F3"/>
    <w:rsid w:val="009822D3"/>
    <w:rsid w:val="0099062E"/>
    <w:rsid w:val="0099119C"/>
    <w:rsid w:val="00992527"/>
    <w:rsid w:val="0099376D"/>
    <w:rsid w:val="009B1C5C"/>
    <w:rsid w:val="009B4A63"/>
    <w:rsid w:val="009C3C7C"/>
    <w:rsid w:val="009C70CC"/>
    <w:rsid w:val="009D44D4"/>
    <w:rsid w:val="009D4583"/>
    <w:rsid w:val="009E38F2"/>
    <w:rsid w:val="009E7D4F"/>
    <w:rsid w:val="009F71E0"/>
    <w:rsid w:val="00A04453"/>
    <w:rsid w:val="00A04EDD"/>
    <w:rsid w:val="00A100FC"/>
    <w:rsid w:val="00A2532C"/>
    <w:rsid w:val="00A404E7"/>
    <w:rsid w:val="00A42AC2"/>
    <w:rsid w:val="00A45685"/>
    <w:rsid w:val="00A47B7E"/>
    <w:rsid w:val="00A52C69"/>
    <w:rsid w:val="00A53F87"/>
    <w:rsid w:val="00A544A4"/>
    <w:rsid w:val="00A614B3"/>
    <w:rsid w:val="00A82A55"/>
    <w:rsid w:val="00A9073D"/>
    <w:rsid w:val="00A9079C"/>
    <w:rsid w:val="00A96625"/>
    <w:rsid w:val="00A96F3F"/>
    <w:rsid w:val="00AA6902"/>
    <w:rsid w:val="00AB14A4"/>
    <w:rsid w:val="00AB3D44"/>
    <w:rsid w:val="00AB63C2"/>
    <w:rsid w:val="00AC25A9"/>
    <w:rsid w:val="00AC2642"/>
    <w:rsid w:val="00AC37DE"/>
    <w:rsid w:val="00AC47B1"/>
    <w:rsid w:val="00AC661B"/>
    <w:rsid w:val="00AE1085"/>
    <w:rsid w:val="00AF0CD1"/>
    <w:rsid w:val="00AF7B81"/>
    <w:rsid w:val="00B01676"/>
    <w:rsid w:val="00B055AE"/>
    <w:rsid w:val="00B05CA2"/>
    <w:rsid w:val="00B065FE"/>
    <w:rsid w:val="00B06A91"/>
    <w:rsid w:val="00B2568B"/>
    <w:rsid w:val="00B3224C"/>
    <w:rsid w:val="00B41A8F"/>
    <w:rsid w:val="00B528D3"/>
    <w:rsid w:val="00B5655A"/>
    <w:rsid w:val="00B622AA"/>
    <w:rsid w:val="00B62F03"/>
    <w:rsid w:val="00B636CB"/>
    <w:rsid w:val="00BA1FDC"/>
    <w:rsid w:val="00BA257B"/>
    <w:rsid w:val="00BA7E22"/>
    <w:rsid w:val="00BD2336"/>
    <w:rsid w:val="00C05AA5"/>
    <w:rsid w:val="00C05EBB"/>
    <w:rsid w:val="00C104A3"/>
    <w:rsid w:val="00C14F1D"/>
    <w:rsid w:val="00C21B0E"/>
    <w:rsid w:val="00C2257A"/>
    <w:rsid w:val="00C47F83"/>
    <w:rsid w:val="00C57631"/>
    <w:rsid w:val="00C61612"/>
    <w:rsid w:val="00C6258D"/>
    <w:rsid w:val="00C651AF"/>
    <w:rsid w:val="00C72542"/>
    <w:rsid w:val="00C76E99"/>
    <w:rsid w:val="00C83F8B"/>
    <w:rsid w:val="00C957A7"/>
    <w:rsid w:val="00CA075E"/>
    <w:rsid w:val="00CA54FD"/>
    <w:rsid w:val="00CA6477"/>
    <w:rsid w:val="00CB4930"/>
    <w:rsid w:val="00CB6A7E"/>
    <w:rsid w:val="00CD03C5"/>
    <w:rsid w:val="00CD0D95"/>
    <w:rsid w:val="00CD3487"/>
    <w:rsid w:val="00CE3643"/>
    <w:rsid w:val="00CF5945"/>
    <w:rsid w:val="00D03128"/>
    <w:rsid w:val="00D1637E"/>
    <w:rsid w:val="00D24952"/>
    <w:rsid w:val="00D3301F"/>
    <w:rsid w:val="00D37628"/>
    <w:rsid w:val="00D405F0"/>
    <w:rsid w:val="00D427CC"/>
    <w:rsid w:val="00D42C3C"/>
    <w:rsid w:val="00D5178F"/>
    <w:rsid w:val="00D529F5"/>
    <w:rsid w:val="00D535F1"/>
    <w:rsid w:val="00D5737B"/>
    <w:rsid w:val="00D6313D"/>
    <w:rsid w:val="00D65120"/>
    <w:rsid w:val="00D71E88"/>
    <w:rsid w:val="00D75923"/>
    <w:rsid w:val="00D84C57"/>
    <w:rsid w:val="00D91CD6"/>
    <w:rsid w:val="00DA6D90"/>
    <w:rsid w:val="00DB2A91"/>
    <w:rsid w:val="00DB52A6"/>
    <w:rsid w:val="00DB6E46"/>
    <w:rsid w:val="00DB741F"/>
    <w:rsid w:val="00DC1349"/>
    <w:rsid w:val="00DE22C0"/>
    <w:rsid w:val="00DF351C"/>
    <w:rsid w:val="00DF3A50"/>
    <w:rsid w:val="00DF6614"/>
    <w:rsid w:val="00E01A2C"/>
    <w:rsid w:val="00E02ECE"/>
    <w:rsid w:val="00E10026"/>
    <w:rsid w:val="00E13852"/>
    <w:rsid w:val="00E14464"/>
    <w:rsid w:val="00E17D5D"/>
    <w:rsid w:val="00E4033F"/>
    <w:rsid w:val="00E54E13"/>
    <w:rsid w:val="00E5698F"/>
    <w:rsid w:val="00E65687"/>
    <w:rsid w:val="00E75099"/>
    <w:rsid w:val="00E75706"/>
    <w:rsid w:val="00E914D9"/>
    <w:rsid w:val="00E92BC7"/>
    <w:rsid w:val="00E93202"/>
    <w:rsid w:val="00EA3719"/>
    <w:rsid w:val="00EA4177"/>
    <w:rsid w:val="00EB6FE4"/>
    <w:rsid w:val="00EB6FEF"/>
    <w:rsid w:val="00EC2241"/>
    <w:rsid w:val="00EC56EC"/>
    <w:rsid w:val="00ED3634"/>
    <w:rsid w:val="00ED59C4"/>
    <w:rsid w:val="00EF05D6"/>
    <w:rsid w:val="00EF42A9"/>
    <w:rsid w:val="00EF4784"/>
    <w:rsid w:val="00F10870"/>
    <w:rsid w:val="00F148A6"/>
    <w:rsid w:val="00F25C2D"/>
    <w:rsid w:val="00F26582"/>
    <w:rsid w:val="00F3437F"/>
    <w:rsid w:val="00F37418"/>
    <w:rsid w:val="00F42D9E"/>
    <w:rsid w:val="00F450E1"/>
    <w:rsid w:val="00F50481"/>
    <w:rsid w:val="00F510F4"/>
    <w:rsid w:val="00F536C3"/>
    <w:rsid w:val="00F92254"/>
    <w:rsid w:val="00F9465E"/>
    <w:rsid w:val="00F9514D"/>
    <w:rsid w:val="00F954FD"/>
    <w:rsid w:val="00FA4754"/>
    <w:rsid w:val="00FB581B"/>
    <w:rsid w:val="00FC029F"/>
    <w:rsid w:val="00FC0722"/>
    <w:rsid w:val="00FC1746"/>
    <w:rsid w:val="00FC4464"/>
    <w:rsid w:val="00FC51BD"/>
    <w:rsid w:val="00FC6D88"/>
    <w:rsid w:val="00FE4F1F"/>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0456B6"/>
    <w:rPr>
      <w:sz w:val="20"/>
    </w:rPr>
  </w:style>
  <w:style w:type="character" w:customStyle="1" w:styleId="FootnoteTextChar">
    <w:name w:val="Footnote Text Char"/>
    <w:basedOn w:val="DefaultParagraphFont"/>
    <w:link w:val="FootnoteText"/>
    <w:rsid w:val="000456B6"/>
    <w:rPr>
      <w:color w:val="0000FF"/>
    </w:rPr>
  </w:style>
  <w:style w:type="character" w:styleId="FootnoteReference">
    <w:name w:val="footnote reference"/>
    <w:basedOn w:val="DefaultParagraphFont"/>
    <w:rsid w:val="000456B6"/>
    <w:rPr>
      <w:vertAlign w:val="superscript"/>
    </w:rPr>
  </w:style>
  <w:style w:type="paragraph" w:styleId="EndnoteText">
    <w:name w:val="endnote text"/>
    <w:basedOn w:val="Normal"/>
    <w:link w:val="EndnoteTextChar"/>
    <w:rsid w:val="005F0A2F"/>
    <w:rPr>
      <w:sz w:val="20"/>
    </w:rPr>
  </w:style>
  <w:style w:type="character" w:customStyle="1" w:styleId="EndnoteTextChar">
    <w:name w:val="Endnote Text Char"/>
    <w:basedOn w:val="DefaultParagraphFont"/>
    <w:link w:val="EndnoteText"/>
    <w:rsid w:val="005F0A2F"/>
    <w:rPr>
      <w:color w:val="0000FF"/>
    </w:rPr>
  </w:style>
  <w:style w:type="character" w:styleId="EndnoteReference">
    <w:name w:val="endnote reference"/>
    <w:basedOn w:val="DefaultParagraphFont"/>
    <w:rsid w:val="005F0A2F"/>
    <w:rPr>
      <w:vertAlign w:val="superscript"/>
    </w:rPr>
  </w:style>
  <w:style w:type="paragraph" w:styleId="ListParagraph">
    <w:name w:val="List Paragraph"/>
    <w:basedOn w:val="Normal"/>
    <w:uiPriority w:val="34"/>
    <w:qFormat/>
    <w:rsid w:val="00A2532C"/>
    <w:pPr>
      <w:ind w:left="720"/>
      <w:contextualSpacing/>
    </w:p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0F83-6C0E-434E-B70D-C4E611BA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16</cp:revision>
  <cp:lastPrinted>2011-08-26T11:11:00Z</cp:lastPrinted>
  <dcterms:created xsi:type="dcterms:W3CDTF">2011-06-13T18:52:00Z</dcterms:created>
  <dcterms:modified xsi:type="dcterms:W3CDTF">2011-08-26T11:11:00Z</dcterms:modified>
</cp:coreProperties>
</file>