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748" w:rsidRPr="00816748" w:rsidRDefault="00816748" w:rsidP="00816748">
      <w:pPr>
        <w:jc w:val="center"/>
        <w:rPr>
          <w:b/>
        </w:rPr>
      </w:pPr>
      <w:r w:rsidRPr="00816748">
        <w:rPr>
          <w:b/>
        </w:rPr>
        <w:t>BEFORE THE</w:t>
      </w:r>
    </w:p>
    <w:p w:rsidR="00816748" w:rsidRPr="00816748" w:rsidRDefault="00816748" w:rsidP="00816748">
      <w:pPr>
        <w:jc w:val="center"/>
        <w:rPr>
          <w:b/>
        </w:rPr>
      </w:pPr>
      <w:r w:rsidRPr="00816748">
        <w:rPr>
          <w:b/>
        </w:rPr>
        <w:t>PENNSYLVANIA PUBLIC UTILITY COMMISSION</w:t>
      </w:r>
    </w:p>
    <w:p w:rsidR="00816748" w:rsidRPr="00816748" w:rsidRDefault="00816748" w:rsidP="00816748"/>
    <w:p w:rsidR="00816748" w:rsidRPr="00816748" w:rsidRDefault="00816748" w:rsidP="00816748"/>
    <w:p w:rsidR="00ED45A8" w:rsidRDefault="00ED45A8" w:rsidP="00816748"/>
    <w:p w:rsidR="00816748" w:rsidRPr="00816748" w:rsidRDefault="00816748" w:rsidP="00816748">
      <w:r w:rsidRPr="00816748">
        <w:t>Petition of Duquesne Light Company</w:t>
      </w:r>
      <w:r w:rsidRPr="00816748">
        <w:tab/>
        <w:t xml:space="preserve"> </w:t>
      </w:r>
      <w:r w:rsidRPr="00816748">
        <w:tab/>
      </w:r>
      <w:r w:rsidRPr="00816748">
        <w:tab/>
        <w:t>:</w:t>
      </w:r>
      <w:r w:rsidRPr="00816748">
        <w:tab/>
      </w:r>
      <w:r w:rsidRPr="00816748">
        <w:tab/>
      </w:r>
    </w:p>
    <w:p w:rsidR="00816748" w:rsidRPr="00816748" w:rsidRDefault="00816748" w:rsidP="00816748">
      <w:proofErr w:type="gramStart"/>
      <w:r w:rsidRPr="00816748">
        <w:t>for</w:t>
      </w:r>
      <w:proofErr w:type="gramEnd"/>
      <w:r w:rsidRPr="00816748">
        <w:t xml:space="preserve"> Approv</w:t>
      </w:r>
      <w:r w:rsidR="008652BC">
        <w:t>al of its Energy Efficiency</w:t>
      </w:r>
      <w:r w:rsidR="008652BC">
        <w:tab/>
      </w:r>
      <w:r w:rsidR="008652BC">
        <w:tab/>
        <w:t>:</w:t>
      </w:r>
      <w:r w:rsidRPr="00816748">
        <w:tab/>
      </w:r>
      <w:r w:rsidRPr="00816748">
        <w:tab/>
      </w:r>
    </w:p>
    <w:p w:rsidR="00816748" w:rsidRPr="00816748" w:rsidRDefault="00816748" w:rsidP="00816748">
      <w:proofErr w:type="gramStart"/>
      <w:r w:rsidRPr="00816748">
        <w:t>and</w:t>
      </w:r>
      <w:proofErr w:type="gramEnd"/>
      <w:r w:rsidRPr="00816748">
        <w:t xml:space="preserve"> Conservation and Demand Response Plan</w:t>
      </w:r>
      <w:r w:rsidRPr="00816748">
        <w:tab/>
        <w:t>:</w:t>
      </w:r>
      <w:r w:rsidR="008652BC">
        <w:tab/>
      </w:r>
      <w:r w:rsidR="008652BC">
        <w:tab/>
      </w:r>
      <w:r w:rsidR="003D55B4">
        <w:tab/>
      </w:r>
      <w:r w:rsidR="008652BC" w:rsidRPr="00816748">
        <w:t>M-2009-2093217</w:t>
      </w:r>
    </w:p>
    <w:p w:rsidR="00816748" w:rsidRPr="00816748" w:rsidRDefault="00816748" w:rsidP="00816748">
      <w:pPr>
        <w:rPr>
          <w:b/>
        </w:rPr>
      </w:pPr>
      <w:r w:rsidRPr="00816748">
        <w:rPr>
          <w:b/>
        </w:rPr>
        <w:t>(Petition for Approval of Modifications to</w:t>
      </w:r>
      <w:r w:rsidRPr="00816748">
        <w:rPr>
          <w:b/>
        </w:rPr>
        <w:tab/>
        <w:t xml:space="preserve"> </w:t>
      </w:r>
      <w:r w:rsidRPr="00816748">
        <w:rPr>
          <w:b/>
        </w:rPr>
        <w:tab/>
      </w:r>
      <w:r w:rsidRPr="00816748">
        <w:t>:</w:t>
      </w:r>
    </w:p>
    <w:p w:rsidR="00816748" w:rsidRPr="00816748" w:rsidRDefault="00816748" w:rsidP="00816748">
      <w:proofErr w:type="gramStart"/>
      <w:r w:rsidRPr="00816748">
        <w:rPr>
          <w:b/>
        </w:rPr>
        <w:t>its</w:t>
      </w:r>
      <w:proofErr w:type="gramEnd"/>
      <w:r w:rsidRPr="00816748">
        <w:rPr>
          <w:b/>
        </w:rPr>
        <w:t xml:space="preserve"> Demand Response Programs)</w:t>
      </w:r>
      <w:r w:rsidRPr="00816748">
        <w:tab/>
      </w:r>
      <w:r w:rsidRPr="00816748">
        <w:tab/>
      </w:r>
      <w:r w:rsidRPr="00816748">
        <w:tab/>
        <w:t>:</w:t>
      </w:r>
    </w:p>
    <w:p w:rsidR="00816748" w:rsidRPr="00816748" w:rsidRDefault="00816748" w:rsidP="00816748"/>
    <w:p w:rsidR="00816748" w:rsidRPr="00816748" w:rsidRDefault="00816748" w:rsidP="00816748"/>
    <w:p w:rsidR="001A517C" w:rsidRDefault="001A517C"/>
    <w:p w:rsidR="00816748" w:rsidRDefault="00816748" w:rsidP="00816748">
      <w:pPr>
        <w:jc w:val="center"/>
      </w:pPr>
      <w:r>
        <w:rPr>
          <w:b/>
          <w:u w:val="single"/>
        </w:rPr>
        <w:t>RECOMMENDED DECISION</w:t>
      </w:r>
    </w:p>
    <w:p w:rsidR="00ED45A8" w:rsidRDefault="00ED45A8" w:rsidP="00816748">
      <w:pPr>
        <w:jc w:val="center"/>
      </w:pPr>
    </w:p>
    <w:p w:rsidR="00ED45A8" w:rsidRDefault="00ED45A8" w:rsidP="00816748">
      <w:pPr>
        <w:jc w:val="center"/>
      </w:pPr>
    </w:p>
    <w:p w:rsidR="00816748" w:rsidRDefault="00816748" w:rsidP="00816748">
      <w:pPr>
        <w:jc w:val="center"/>
      </w:pPr>
      <w:r>
        <w:t>Before</w:t>
      </w:r>
    </w:p>
    <w:p w:rsidR="00816748" w:rsidRDefault="00816748" w:rsidP="00816748">
      <w:pPr>
        <w:jc w:val="center"/>
      </w:pPr>
      <w:r>
        <w:t>John H. Corbett, Jr.</w:t>
      </w:r>
    </w:p>
    <w:p w:rsidR="00816748" w:rsidRDefault="00816748" w:rsidP="00816748">
      <w:pPr>
        <w:jc w:val="center"/>
      </w:pPr>
      <w:r>
        <w:t>Administrative Law Judge</w:t>
      </w:r>
    </w:p>
    <w:p w:rsidR="00FD2416" w:rsidRDefault="00FD2416" w:rsidP="00816748">
      <w:pPr>
        <w:jc w:val="center"/>
      </w:pPr>
    </w:p>
    <w:p w:rsidR="00FD2416" w:rsidRDefault="00FD2416" w:rsidP="00816748">
      <w:pPr>
        <w:jc w:val="center"/>
      </w:pPr>
    </w:p>
    <w:p w:rsidR="00FD2416" w:rsidRDefault="00FD2416" w:rsidP="00FD2416">
      <w:pPr>
        <w:sectPr w:rsidR="00FD2416" w:rsidSect="009058EE">
          <w:footerReference w:type="default" r:id="rId8"/>
          <w:pgSz w:w="12240" w:h="15840" w:code="1"/>
          <w:pgMar w:top="1440" w:right="1440" w:bottom="1440" w:left="1440" w:header="720" w:footer="720" w:gutter="0"/>
          <w:cols w:space="720"/>
          <w:titlePg/>
          <w:docGrid w:linePitch="360"/>
        </w:sectPr>
      </w:pPr>
    </w:p>
    <w:p w:rsidR="00FD2416" w:rsidRPr="009C0B03" w:rsidRDefault="00FD2416" w:rsidP="00FD2416">
      <w:pPr>
        <w:tabs>
          <w:tab w:val="left" w:pos="720"/>
          <w:tab w:val="left" w:pos="1440"/>
          <w:tab w:val="left" w:pos="2160"/>
          <w:tab w:val="center" w:pos="4680"/>
        </w:tabs>
        <w:spacing w:line="360" w:lineRule="auto"/>
        <w:jc w:val="center"/>
        <w:rPr>
          <w:b/>
          <w:u w:val="single"/>
        </w:rPr>
      </w:pPr>
      <w:r w:rsidRPr="009C0B03">
        <w:rPr>
          <w:b/>
          <w:u w:val="single"/>
        </w:rPr>
        <w:lastRenderedPageBreak/>
        <w:t>TABLE OF CONTENTS</w:t>
      </w:r>
    </w:p>
    <w:p w:rsidR="00FD2416" w:rsidRPr="009C0B03" w:rsidRDefault="00FD2416" w:rsidP="00FD2416">
      <w:pPr>
        <w:tabs>
          <w:tab w:val="left" w:pos="720"/>
          <w:tab w:val="left" w:pos="1440"/>
          <w:tab w:val="left" w:pos="2160"/>
        </w:tabs>
        <w:spacing w:line="360" w:lineRule="auto"/>
      </w:pPr>
    </w:p>
    <w:p w:rsidR="00FD2416" w:rsidRPr="009C0B03" w:rsidRDefault="00FD2416" w:rsidP="00FD2416">
      <w:pPr>
        <w:tabs>
          <w:tab w:val="left" w:pos="720"/>
          <w:tab w:val="left" w:pos="1440"/>
          <w:tab w:val="left" w:pos="2160"/>
          <w:tab w:val="right" w:leader="dot" w:pos="9360"/>
        </w:tabs>
        <w:spacing w:line="360" w:lineRule="auto"/>
      </w:pPr>
      <w:r w:rsidRPr="009C0B03">
        <w:t>I.</w:t>
      </w:r>
      <w:r w:rsidRPr="009C0B03">
        <w:tab/>
      </w:r>
      <w:r w:rsidR="00A05D48">
        <w:rPr>
          <w:caps/>
        </w:rPr>
        <w:t>HISTORY OF THE PROCEEDING</w:t>
      </w:r>
      <w:r w:rsidRPr="009C0B03">
        <w:tab/>
      </w:r>
      <w:r w:rsidR="00A05D48">
        <w:t>1</w:t>
      </w:r>
    </w:p>
    <w:p w:rsidR="00FD2416" w:rsidRDefault="00FD2416" w:rsidP="00EF7456">
      <w:pPr>
        <w:tabs>
          <w:tab w:val="left" w:pos="720"/>
          <w:tab w:val="left" w:pos="1440"/>
          <w:tab w:val="left" w:pos="2160"/>
          <w:tab w:val="right" w:leader="dot" w:pos="9360"/>
        </w:tabs>
        <w:spacing w:line="360" w:lineRule="auto"/>
      </w:pPr>
      <w:r w:rsidRPr="009C0B03">
        <w:t>II.</w:t>
      </w:r>
      <w:r w:rsidRPr="009C0B03">
        <w:tab/>
      </w:r>
      <w:r w:rsidR="00EF7456">
        <w:t>TERMS OF THE SETTLEMENT</w:t>
      </w:r>
      <w:r w:rsidRPr="009C0B03">
        <w:tab/>
      </w:r>
      <w:r w:rsidR="00E13259">
        <w:t>3</w:t>
      </w:r>
    </w:p>
    <w:p w:rsidR="00EF7456" w:rsidRDefault="00EF7456" w:rsidP="004E43F0">
      <w:pPr>
        <w:tabs>
          <w:tab w:val="left" w:pos="720"/>
          <w:tab w:val="left" w:pos="1440"/>
          <w:tab w:val="right" w:leader="dot" w:pos="9360"/>
        </w:tabs>
        <w:spacing w:line="360" w:lineRule="auto"/>
      </w:pPr>
      <w:r>
        <w:t>III.</w:t>
      </w:r>
      <w:r>
        <w:tab/>
        <w:t>DISCUSSION</w:t>
      </w:r>
      <w:r>
        <w:tab/>
      </w:r>
      <w:r w:rsidR="00E13259">
        <w:t>8</w:t>
      </w:r>
    </w:p>
    <w:p w:rsidR="00FD2416" w:rsidRPr="009C0B03" w:rsidRDefault="00FD2416" w:rsidP="00FD2416">
      <w:pPr>
        <w:tabs>
          <w:tab w:val="left" w:pos="720"/>
          <w:tab w:val="left" w:pos="1440"/>
          <w:tab w:val="right" w:leader="dot" w:pos="9360"/>
        </w:tabs>
        <w:spacing w:line="360" w:lineRule="auto"/>
      </w:pPr>
      <w:r w:rsidRPr="009C0B03">
        <w:tab/>
        <w:t>A.</w:t>
      </w:r>
      <w:r w:rsidRPr="009C0B03">
        <w:tab/>
      </w:r>
      <w:r w:rsidR="00EF7456">
        <w:t>Duquesne Light’s Position</w:t>
      </w:r>
      <w:r w:rsidRPr="009C0B03">
        <w:tab/>
      </w:r>
      <w:r w:rsidR="00E13259">
        <w:t>9</w:t>
      </w:r>
    </w:p>
    <w:p w:rsidR="00FD2416" w:rsidRDefault="00FD2416" w:rsidP="00FD2416">
      <w:pPr>
        <w:tabs>
          <w:tab w:val="left" w:pos="720"/>
          <w:tab w:val="left" w:pos="1440"/>
          <w:tab w:val="left" w:pos="2160"/>
          <w:tab w:val="right" w:leader="dot" w:pos="9360"/>
        </w:tabs>
        <w:spacing w:line="360" w:lineRule="auto"/>
      </w:pPr>
      <w:r w:rsidRPr="009C0B03">
        <w:tab/>
      </w:r>
      <w:r w:rsidRPr="009C0B03">
        <w:tab/>
        <w:t>1.</w:t>
      </w:r>
      <w:r w:rsidRPr="009C0B03">
        <w:tab/>
      </w:r>
      <w:r w:rsidR="00EF7456">
        <w:t>Residential and Small/Midsized C&amp;I Demand Response Program</w:t>
      </w:r>
      <w:r w:rsidRPr="009C0B03">
        <w:tab/>
      </w:r>
      <w:r w:rsidR="00E13259">
        <w:t>9</w:t>
      </w:r>
    </w:p>
    <w:p w:rsidR="004E43F0" w:rsidRDefault="004E43F0" w:rsidP="00FD2416">
      <w:pPr>
        <w:tabs>
          <w:tab w:val="left" w:pos="720"/>
          <w:tab w:val="left" w:pos="1440"/>
          <w:tab w:val="left" w:pos="2160"/>
          <w:tab w:val="right" w:leader="dot" w:pos="9360"/>
        </w:tabs>
        <w:spacing w:line="360" w:lineRule="auto"/>
      </w:pPr>
      <w:r>
        <w:tab/>
      </w:r>
      <w:r>
        <w:tab/>
        <w:t>2.</w:t>
      </w:r>
      <w:r>
        <w:tab/>
        <w:t xml:space="preserve">Large C&amp;I </w:t>
      </w:r>
      <w:proofErr w:type="spellStart"/>
      <w:r>
        <w:t>Curtailable</w:t>
      </w:r>
      <w:proofErr w:type="spellEnd"/>
      <w:r>
        <w:t xml:space="preserve"> Load Program</w:t>
      </w:r>
      <w:r>
        <w:tab/>
        <w:t>1</w:t>
      </w:r>
      <w:r w:rsidR="00E13259">
        <w:t>2</w:t>
      </w:r>
    </w:p>
    <w:p w:rsidR="00FD2416" w:rsidRDefault="00FD2416" w:rsidP="00FD2416">
      <w:pPr>
        <w:tabs>
          <w:tab w:val="left" w:pos="720"/>
          <w:tab w:val="left" w:pos="1440"/>
          <w:tab w:val="left" w:pos="2160"/>
          <w:tab w:val="right" w:leader="dot" w:pos="9360"/>
        </w:tabs>
        <w:spacing w:line="360" w:lineRule="auto"/>
      </w:pPr>
      <w:r w:rsidRPr="009C0B03">
        <w:tab/>
        <w:t>B.</w:t>
      </w:r>
      <w:r w:rsidRPr="009C0B03">
        <w:tab/>
      </w:r>
      <w:r w:rsidR="004E43F0">
        <w:t>OCA’s Position</w:t>
      </w:r>
      <w:r w:rsidRPr="009C0B03">
        <w:tab/>
        <w:t>1</w:t>
      </w:r>
      <w:r w:rsidR="008D52BA">
        <w:t>5</w:t>
      </w:r>
    </w:p>
    <w:p w:rsidR="004E43F0" w:rsidRDefault="004E43F0" w:rsidP="00FD2416">
      <w:pPr>
        <w:tabs>
          <w:tab w:val="left" w:pos="720"/>
          <w:tab w:val="left" w:pos="1440"/>
          <w:tab w:val="left" w:pos="2160"/>
          <w:tab w:val="right" w:leader="dot" w:pos="9360"/>
        </w:tabs>
        <w:spacing w:line="360" w:lineRule="auto"/>
      </w:pPr>
      <w:r>
        <w:tab/>
      </w:r>
      <w:r>
        <w:tab/>
        <w:t>1.</w:t>
      </w:r>
      <w:r>
        <w:tab/>
        <w:t>Background</w:t>
      </w:r>
      <w:r>
        <w:tab/>
        <w:t>1</w:t>
      </w:r>
      <w:r w:rsidR="008D52BA">
        <w:t>5</w:t>
      </w:r>
    </w:p>
    <w:p w:rsidR="004E43F0" w:rsidRDefault="004E43F0" w:rsidP="00FD2416">
      <w:pPr>
        <w:tabs>
          <w:tab w:val="left" w:pos="720"/>
          <w:tab w:val="left" w:pos="1440"/>
          <w:tab w:val="left" w:pos="2160"/>
          <w:tab w:val="right" w:leader="dot" w:pos="9360"/>
        </w:tabs>
        <w:spacing w:line="360" w:lineRule="auto"/>
      </w:pPr>
      <w:r>
        <w:tab/>
      </w:r>
      <w:r>
        <w:tab/>
        <w:t>2.</w:t>
      </w:r>
      <w:r>
        <w:tab/>
        <w:t>The Settlement</w:t>
      </w:r>
      <w:r>
        <w:tab/>
        <w:t>1</w:t>
      </w:r>
      <w:r w:rsidR="008D52BA">
        <w:t>7</w:t>
      </w:r>
    </w:p>
    <w:p w:rsidR="004E43F0" w:rsidRDefault="004E43F0" w:rsidP="00FD2416">
      <w:pPr>
        <w:tabs>
          <w:tab w:val="left" w:pos="720"/>
          <w:tab w:val="left" w:pos="1440"/>
          <w:tab w:val="left" w:pos="2160"/>
          <w:tab w:val="right" w:leader="dot" w:pos="9360"/>
        </w:tabs>
        <w:spacing w:line="360" w:lineRule="auto"/>
      </w:pPr>
      <w:r>
        <w:tab/>
      </w:r>
      <w:r>
        <w:tab/>
        <w:t>3.</w:t>
      </w:r>
      <w:r>
        <w:tab/>
        <w:t>The Interest of Residential Customers</w:t>
      </w:r>
      <w:r>
        <w:tab/>
        <w:t>1</w:t>
      </w:r>
      <w:r w:rsidR="00E13259">
        <w:t>8</w:t>
      </w:r>
    </w:p>
    <w:p w:rsidR="004E43F0" w:rsidRDefault="004E43F0" w:rsidP="00FD2416">
      <w:pPr>
        <w:tabs>
          <w:tab w:val="left" w:pos="720"/>
          <w:tab w:val="left" w:pos="1440"/>
          <w:tab w:val="left" w:pos="2160"/>
          <w:tab w:val="right" w:leader="dot" w:pos="9360"/>
        </w:tabs>
        <w:spacing w:line="360" w:lineRule="auto"/>
      </w:pPr>
      <w:r>
        <w:tab/>
        <w:t>C.</w:t>
      </w:r>
      <w:r>
        <w:tab/>
        <w:t>DII’s Position</w:t>
      </w:r>
      <w:r>
        <w:tab/>
      </w:r>
      <w:r w:rsidR="00E13259">
        <w:t>19</w:t>
      </w:r>
    </w:p>
    <w:p w:rsidR="004E43F0" w:rsidRDefault="004E43F0" w:rsidP="00FD2416">
      <w:pPr>
        <w:tabs>
          <w:tab w:val="left" w:pos="720"/>
          <w:tab w:val="left" w:pos="1440"/>
          <w:tab w:val="left" w:pos="2160"/>
          <w:tab w:val="right" w:leader="dot" w:pos="9360"/>
        </w:tabs>
        <w:spacing w:line="360" w:lineRule="auto"/>
      </w:pPr>
      <w:r>
        <w:tab/>
        <w:t>D.</w:t>
      </w:r>
      <w:r>
        <w:tab/>
      </w:r>
      <w:proofErr w:type="spellStart"/>
      <w:r>
        <w:t>Comverge’s</w:t>
      </w:r>
      <w:proofErr w:type="spellEnd"/>
      <w:r>
        <w:t xml:space="preserve"> Position</w:t>
      </w:r>
      <w:r>
        <w:tab/>
        <w:t>2</w:t>
      </w:r>
      <w:r w:rsidR="00E13259">
        <w:t>1</w:t>
      </w:r>
    </w:p>
    <w:p w:rsidR="004E43F0" w:rsidRDefault="004E43F0" w:rsidP="00FD2416">
      <w:pPr>
        <w:tabs>
          <w:tab w:val="left" w:pos="720"/>
          <w:tab w:val="left" w:pos="1440"/>
          <w:tab w:val="left" w:pos="2160"/>
          <w:tab w:val="right" w:leader="dot" w:pos="9360"/>
        </w:tabs>
        <w:spacing w:line="360" w:lineRule="auto"/>
      </w:pPr>
      <w:r>
        <w:tab/>
        <w:t>E.</w:t>
      </w:r>
      <w:r>
        <w:tab/>
        <w:t>Recommendation</w:t>
      </w:r>
      <w:r>
        <w:tab/>
        <w:t>2</w:t>
      </w:r>
      <w:r w:rsidR="00E13259">
        <w:t>2</w:t>
      </w:r>
    </w:p>
    <w:p w:rsidR="004E43F0" w:rsidRDefault="004E43F0" w:rsidP="00FD2416">
      <w:pPr>
        <w:tabs>
          <w:tab w:val="left" w:pos="720"/>
          <w:tab w:val="left" w:pos="1440"/>
          <w:tab w:val="left" w:pos="2160"/>
          <w:tab w:val="right" w:leader="dot" w:pos="9360"/>
        </w:tabs>
        <w:spacing w:line="360" w:lineRule="auto"/>
      </w:pPr>
      <w:r>
        <w:t>IV.</w:t>
      </w:r>
      <w:r>
        <w:tab/>
        <w:t>CONCLUSIONS OF LAW</w:t>
      </w:r>
      <w:r>
        <w:tab/>
        <w:t>2</w:t>
      </w:r>
      <w:r w:rsidR="00E13259">
        <w:t>2</w:t>
      </w:r>
    </w:p>
    <w:p w:rsidR="004E43F0" w:rsidRDefault="004E43F0" w:rsidP="00FD2416">
      <w:pPr>
        <w:tabs>
          <w:tab w:val="left" w:pos="720"/>
          <w:tab w:val="left" w:pos="1440"/>
          <w:tab w:val="left" w:pos="2160"/>
          <w:tab w:val="right" w:leader="dot" w:pos="9360"/>
        </w:tabs>
        <w:spacing w:line="360" w:lineRule="auto"/>
      </w:pPr>
      <w:r>
        <w:t>V.</w:t>
      </w:r>
      <w:r>
        <w:tab/>
        <w:t>RECOMMENDED ORDER</w:t>
      </w:r>
      <w:r>
        <w:tab/>
        <w:t>2</w:t>
      </w:r>
      <w:r w:rsidR="008D52BA">
        <w:t>3</w:t>
      </w:r>
    </w:p>
    <w:p w:rsidR="004E43F0" w:rsidRDefault="004E43F0" w:rsidP="00FD2416">
      <w:pPr>
        <w:tabs>
          <w:tab w:val="left" w:pos="720"/>
          <w:tab w:val="left" w:pos="1440"/>
          <w:tab w:val="left" w:pos="2160"/>
          <w:tab w:val="right" w:leader="dot" w:pos="9360"/>
        </w:tabs>
        <w:spacing w:line="360" w:lineRule="auto"/>
      </w:pPr>
    </w:p>
    <w:p w:rsidR="004E43F0" w:rsidRPr="009C0B03" w:rsidRDefault="004E43F0" w:rsidP="00FD2416">
      <w:pPr>
        <w:tabs>
          <w:tab w:val="left" w:pos="720"/>
          <w:tab w:val="left" w:pos="1440"/>
          <w:tab w:val="left" w:pos="2160"/>
          <w:tab w:val="right" w:leader="dot" w:pos="9360"/>
        </w:tabs>
        <w:spacing w:line="360" w:lineRule="auto"/>
      </w:pPr>
    </w:p>
    <w:p w:rsidR="00FD2416" w:rsidRDefault="00FD2416" w:rsidP="00FD2416"/>
    <w:p w:rsidR="00570324" w:rsidRDefault="00570324">
      <w:pPr>
        <w:sectPr w:rsidR="00570324" w:rsidSect="009058EE">
          <w:footerReference w:type="first" r:id="rId9"/>
          <w:pgSz w:w="12240" w:h="15840" w:code="1"/>
          <w:pgMar w:top="1440" w:right="1440" w:bottom="1440" w:left="1440" w:header="720" w:footer="720" w:gutter="0"/>
          <w:pgNumType w:fmt="lowerRoman" w:start="1"/>
          <w:cols w:space="720"/>
          <w:titlePg/>
          <w:docGrid w:linePitch="360"/>
        </w:sectPr>
      </w:pPr>
    </w:p>
    <w:p w:rsidR="00816748" w:rsidRDefault="00912C0C" w:rsidP="00D22110">
      <w:pPr>
        <w:spacing w:line="360" w:lineRule="auto"/>
        <w:jc w:val="center"/>
      </w:pPr>
      <w:r>
        <w:lastRenderedPageBreak/>
        <w:t>I.</w:t>
      </w:r>
      <w:r>
        <w:tab/>
      </w:r>
      <w:r>
        <w:rPr>
          <w:u w:val="single"/>
        </w:rPr>
        <w:t>HISTORY OF THE PROCEEDING</w:t>
      </w:r>
    </w:p>
    <w:p w:rsidR="00912C0C" w:rsidRDefault="00912C0C" w:rsidP="00D22110">
      <w:pPr>
        <w:spacing w:line="360" w:lineRule="auto"/>
      </w:pPr>
    </w:p>
    <w:p w:rsidR="00912C0C" w:rsidRDefault="00A65653" w:rsidP="00D22110">
      <w:pPr>
        <w:spacing w:line="360" w:lineRule="auto"/>
      </w:pPr>
      <w:r>
        <w:tab/>
      </w:r>
      <w:r>
        <w:tab/>
      </w:r>
      <w:r w:rsidRPr="00A65653">
        <w:t xml:space="preserve">On June 30, 2009, Duquesne Light </w:t>
      </w:r>
      <w:r>
        <w:t>Company (“</w:t>
      </w:r>
      <w:r w:rsidRPr="00A65653">
        <w:t>Duquesne Light</w:t>
      </w:r>
      <w:r>
        <w:t>”</w:t>
      </w:r>
      <w:r w:rsidR="009F0931">
        <w:t xml:space="preserve"> or the “Company”</w:t>
      </w:r>
      <w:r>
        <w:t>)</w:t>
      </w:r>
      <w:r w:rsidR="00395105">
        <w:rPr>
          <w:rStyle w:val="FootnoteReference"/>
        </w:rPr>
        <w:footnoteReference w:id="1"/>
      </w:r>
      <w:r>
        <w:t xml:space="preserve"> </w:t>
      </w:r>
      <w:r w:rsidRPr="00A65653">
        <w:t xml:space="preserve">filed its Energy Efficiency and Conservation Plan (“EE&amp;C Plan”) with the </w:t>
      </w:r>
      <w:r>
        <w:t>Pennsylvania Public Utility Commission (“</w:t>
      </w:r>
      <w:r w:rsidRPr="00A65653">
        <w:t>Commission</w:t>
      </w:r>
      <w:r>
        <w:t>”)</w:t>
      </w:r>
      <w:r w:rsidRPr="00A65653">
        <w:t>, pursuant to Act 129 and various related Commission orders</w:t>
      </w:r>
      <w:r>
        <w:t>,</w:t>
      </w:r>
      <w:r w:rsidRPr="00A65653">
        <w:t xml:space="preserve"> at Docket No. </w:t>
      </w:r>
      <w:proofErr w:type="gramStart"/>
      <w:r w:rsidRPr="00A65653">
        <w:t>M-2009-2093217.</w:t>
      </w:r>
      <w:proofErr w:type="gramEnd"/>
      <w:r w:rsidRPr="00A65653">
        <w:t xml:space="preserve">  The Commission approved Duquesne Light’s EE&amp;C Plan, with mod</w:t>
      </w:r>
      <w:r w:rsidR="005A3334">
        <w:t>ifications, on October 27, 2009</w:t>
      </w:r>
      <w:r w:rsidRPr="00A65653">
        <w:t xml:space="preserve"> in </w:t>
      </w:r>
      <w:r w:rsidRPr="00395105">
        <w:rPr>
          <w:u w:val="single"/>
        </w:rPr>
        <w:t>Petition of Duquesne Light Company for Approval of its Energy Efficiency and Conservation and Demand Response Plan</w:t>
      </w:r>
      <w:r w:rsidRPr="00A65653">
        <w:t>, Docket No. M-2009-2093217 (Order Entered October 27, 2009) (“</w:t>
      </w:r>
      <w:r w:rsidRPr="00395105">
        <w:rPr>
          <w:u w:val="single"/>
        </w:rPr>
        <w:t>EE&amp;C Order</w:t>
      </w:r>
      <w:r w:rsidRPr="00A65653">
        <w:t>”).</w:t>
      </w:r>
      <w:r w:rsidR="00E219B9">
        <w:rPr>
          <w:rStyle w:val="FootnoteReference"/>
        </w:rPr>
        <w:footnoteReference w:id="2"/>
      </w:r>
      <w:r w:rsidR="009F0931">
        <w:t xml:space="preserve">  </w:t>
      </w:r>
      <w:r w:rsidR="009F0931" w:rsidRPr="009F0931">
        <w:t>In approving Duquesne Light’s EE&amp;C Plan, the Commission established a process for the Company to follow to request modifications to its approved EE&amp;C Plan.</w:t>
      </w:r>
      <w:r w:rsidR="009F0931">
        <w:rPr>
          <w:rStyle w:val="FootnoteReference"/>
        </w:rPr>
        <w:footnoteReference w:id="3"/>
      </w:r>
    </w:p>
    <w:p w:rsidR="008B54F4" w:rsidRDefault="008B54F4" w:rsidP="00D22110">
      <w:pPr>
        <w:spacing w:line="360" w:lineRule="auto"/>
      </w:pPr>
    </w:p>
    <w:p w:rsidR="008B54F4" w:rsidRDefault="008B54F4" w:rsidP="00D22110">
      <w:pPr>
        <w:spacing w:line="360" w:lineRule="auto"/>
      </w:pPr>
      <w:r>
        <w:tab/>
      </w:r>
      <w:r>
        <w:tab/>
      </w:r>
      <w:r w:rsidR="002D6565" w:rsidRPr="002D6565">
        <w:t xml:space="preserve">On May 9, 2011, Duquesne Light filed a Petition for Approval of Changes to its </w:t>
      </w:r>
      <w:r w:rsidR="009C104E">
        <w:t>E</w:t>
      </w:r>
      <w:r w:rsidR="002D6565" w:rsidRPr="002D6565">
        <w:t>nergy Efficiency and Conservation and Demand Response Plan (“Petition”), requesting certain modifications to its currently effective EE&amp;C Plan which require Commission approval.</w:t>
      </w:r>
      <w:r w:rsidR="009C104E">
        <w:t xml:space="preserve">  </w:t>
      </w:r>
      <w:r w:rsidR="009C104E" w:rsidRPr="009C104E">
        <w:t xml:space="preserve">On May 19, 2011, the </w:t>
      </w:r>
      <w:r w:rsidR="009C104E">
        <w:t>Office of Consumer Advocate (“</w:t>
      </w:r>
      <w:r w:rsidR="009C104E" w:rsidRPr="009C104E">
        <w:t>OCA</w:t>
      </w:r>
      <w:r w:rsidR="009C104E">
        <w:t>”)</w:t>
      </w:r>
      <w:r w:rsidR="009C104E" w:rsidRPr="009C104E">
        <w:t xml:space="preserve"> </w:t>
      </w:r>
      <w:r w:rsidR="0073694C">
        <w:t xml:space="preserve">and Duquesne Industrial Intervenors (“DII”) </w:t>
      </w:r>
      <w:r w:rsidR="00026709">
        <w:t xml:space="preserve">filed separate </w:t>
      </w:r>
      <w:r w:rsidR="0073694C">
        <w:t>answer</w:t>
      </w:r>
      <w:r w:rsidR="00026709">
        <w:t>s to</w:t>
      </w:r>
      <w:r w:rsidR="0073694C">
        <w:t xml:space="preserve"> </w:t>
      </w:r>
      <w:r w:rsidR="0073694C" w:rsidRPr="009C104E">
        <w:t>Duquesne Light’s Petition</w:t>
      </w:r>
      <w:r w:rsidR="0073694C">
        <w:t>.</w:t>
      </w:r>
      <w:r w:rsidR="00026709">
        <w:t xml:space="preserve">  </w:t>
      </w:r>
      <w:r w:rsidR="002E50B7" w:rsidRPr="002E50B7">
        <w:t>Duquesne Light respon</w:t>
      </w:r>
      <w:r w:rsidR="00C06BDF">
        <w:t>ded</w:t>
      </w:r>
      <w:r w:rsidR="002E50B7" w:rsidRPr="002E50B7">
        <w:t xml:space="preserve"> to the</w:t>
      </w:r>
      <w:r w:rsidR="00C06BDF">
        <w:t>se</w:t>
      </w:r>
      <w:r w:rsidR="002E50B7" w:rsidRPr="002E50B7">
        <w:t xml:space="preserve"> answers</w:t>
      </w:r>
      <w:r w:rsidR="00C06BDF" w:rsidRPr="00C06BDF">
        <w:t xml:space="preserve"> </w:t>
      </w:r>
      <w:r w:rsidR="00C06BDF">
        <w:t>o</w:t>
      </w:r>
      <w:r w:rsidR="00C06BDF" w:rsidRPr="002E50B7">
        <w:t>n May 25, 2011</w:t>
      </w:r>
      <w:r w:rsidR="002E50B7" w:rsidRPr="002E50B7">
        <w:t xml:space="preserve">.  </w:t>
      </w:r>
      <w:r w:rsidR="00C06BDF">
        <w:t>On the same date</w:t>
      </w:r>
      <w:r w:rsidR="002E50B7" w:rsidRPr="002E50B7">
        <w:t xml:space="preserve">, </w:t>
      </w:r>
      <w:proofErr w:type="spellStart"/>
      <w:r w:rsidR="002E50B7" w:rsidRPr="002E50B7">
        <w:t>Comverge</w:t>
      </w:r>
      <w:proofErr w:type="spellEnd"/>
      <w:r w:rsidR="002E50B7" w:rsidRPr="002E50B7">
        <w:t xml:space="preserve">, Inc. </w:t>
      </w:r>
      <w:r w:rsidR="00EF4AB1">
        <w:t>(“</w:t>
      </w:r>
      <w:proofErr w:type="spellStart"/>
      <w:r w:rsidR="00EF4AB1">
        <w:t>Comverge</w:t>
      </w:r>
      <w:proofErr w:type="spellEnd"/>
      <w:r w:rsidR="00EF4AB1">
        <w:t xml:space="preserve">”) </w:t>
      </w:r>
      <w:r w:rsidR="002E50B7" w:rsidRPr="002E50B7">
        <w:t xml:space="preserve">filed a </w:t>
      </w:r>
      <w:r w:rsidR="00C06BDF">
        <w:t xml:space="preserve">Petition to </w:t>
      </w:r>
      <w:r w:rsidR="002E50B7" w:rsidRPr="002E50B7">
        <w:t>Interven</w:t>
      </w:r>
      <w:r w:rsidR="00C06BDF">
        <w:t>e</w:t>
      </w:r>
      <w:r w:rsidR="002E50B7" w:rsidRPr="002E50B7">
        <w:t>.</w:t>
      </w:r>
      <w:r w:rsidR="00333093">
        <w:t xml:space="preserve">  </w:t>
      </w:r>
      <w:r w:rsidR="00333093" w:rsidRPr="00333093">
        <w:t xml:space="preserve">Duquesne Light </w:t>
      </w:r>
      <w:r w:rsidR="00333093">
        <w:t>a</w:t>
      </w:r>
      <w:r w:rsidR="00333093" w:rsidRPr="00333093">
        <w:t>nswer</w:t>
      </w:r>
      <w:r w:rsidR="00333093">
        <w:t>ed</w:t>
      </w:r>
      <w:r w:rsidR="00333093" w:rsidRPr="00333093">
        <w:t xml:space="preserve"> </w:t>
      </w:r>
      <w:proofErr w:type="spellStart"/>
      <w:r w:rsidR="00333093" w:rsidRPr="00333093">
        <w:t>Comverge’s</w:t>
      </w:r>
      <w:proofErr w:type="spellEnd"/>
      <w:r w:rsidR="00333093" w:rsidRPr="00333093">
        <w:t xml:space="preserve"> intervention </w:t>
      </w:r>
      <w:r w:rsidR="008B1B1E">
        <w:t xml:space="preserve">request </w:t>
      </w:r>
      <w:r w:rsidR="00333093" w:rsidRPr="00333093">
        <w:t>on June 3, 2011.</w:t>
      </w:r>
    </w:p>
    <w:p w:rsidR="00333093" w:rsidRDefault="00333093" w:rsidP="00D22110">
      <w:pPr>
        <w:spacing w:line="360" w:lineRule="auto"/>
      </w:pPr>
    </w:p>
    <w:p w:rsidR="00333093" w:rsidRDefault="00333093" w:rsidP="00D22110">
      <w:pPr>
        <w:spacing w:line="360" w:lineRule="auto"/>
      </w:pPr>
      <w:r>
        <w:lastRenderedPageBreak/>
        <w:tab/>
      </w:r>
      <w:r>
        <w:tab/>
      </w:r>
      <w:r w:rsidR="008B1B1E" w:rsidRPr="008B1B1E">
        <w:t xml:space="preserve">By Order entered on June 30, 2011, the Commission referred Duquesne Light’s Petition to the Office of Administrative Law Judge for expedited evidentiary hearings.  The Commission also granted </w:t>
      </w:r>
      <w:proofErr w:type="spellStart"/>
      <w:r w:rsidR="008B1B1E" w:rsidRPr="008B1B1E">
        <w:t>Comverge’s</w:t>
      </w:r>
      <w:proofErr w:type="spellEnd"/>
      <w:r w:rsidR="008B1B1E" w:rsidRPr="008B1B1E">
        <w:t xml:space="preserve"> Petition to Intervene.</w:t>
      </w:r>
    </w:p>
    <w:p w:rsidR="00B020CF" w:rsidRDefault="00B020CF" w:rsidP="00D22110">
      <w:pPr>
        <w:spacing w:line="360" w:lineRule="auto"/>
      </w:pPr>
    </w:p>
    <w:p w:rsidR="00B020CF" w:rsidRDefault="00B020CF" w:rsidP="00D22110">
      <w:pPr>
        <w:spacing w:line="360" w:lineRule="auto"/>
      </w:pPr>
      <w:r>
        <w:tab/>
      </w:r>
      <w:r>
        <w:tab/>
        <w:t xml:space="preserve">I received this case assignment on </w:t>
      </w:r>
      <w:r w:rsidR="006C2E08">
        <w:t xml:space="preserve">July 20, 2011.  </w:t>
      </w:r>
      <w:r w:rsidR="009C68FE">
        <w:t>A p</w:t>
      </w:r>
      <w:r w:rsidR="009C68FE" w:rsidRPr="009C68FE">
        <w:t xml:space="preserve">rehearing </w:t>
      </w:r>
      <w:r w:rsidR="009C68FE">
        <w:t>c</w:t>
      </w:r>
      <w:r w:rsidR="009C68FE" w:rsidRPr="009C68FE">
        <w:t>onference was held on July 28, 2011.  At</w:t>
      </w:r>
      <w:r w:rsidR="009C68FE">
        <w:t>tending</w:t>
      </w:r>
      <w:r w:rsidR="009C68FE" w:rsidRPr="009C68FE">
        <w:t xml:space="preserve"> the </w:t>
      </w:r>
      <w:r w:rsidR="009C68FE">
        <w:t>p</w:t>
      </w:r>
      <w:r w:rsidR="009C68FE" w:rsidRPr="009C68FE">
        <w:t xml:space="preserve">rehearing </w:t>
      </w:r>
      <w:r w:rsidR="009C68FE">
        <w:t xml:space="preserve">conference </w:t>
      </w:r>
      <w:proofErr w:type="gramStart"/>
      <w:r w:rsidR="009C68FE">
        <w:t>were</w:t>
      </w:r>
      <w:proofErr w:type="gramEnd"/>
      <w:r w:rsidR="009C68FE">
        <w:t xml:space="preserve"> counsel for Duquesne Light, OCA, </w:t>
      </w:r>
      <w:r w:rsidR="0029182B">
        <w:t xml:space="preserve">Office of </w:t>
      </w:r>
      <w:r w:rsidR="009C68FE">
        <w:t xml:space="preserve">Small Business Advocate (“OSBA”), DII and </w:t>
      </w:r>
      <w:proofErr w:type="spellStart"/>
      <w:r w:rsidR="009C68FE">
        <w:t>Comverge</w:t>
      </w:r>
      <w:proofErr w:type="spellEnd"/>
      <w:r w:rsidR="009C68FE">
        <w:t xml:space="preserve">.  </w:t>
      </w:r>
      <w:r w:rsidR="0029182B">
        <w:t xml:space="preserve">The parties, </w:t>
      </w:r>
      <w:r w:rsidR="0029182B">
        <w:rPr>
          <w:i/>
        </w:rPr>
        <w:t>inter alia</w:t>
      </w:r>
      <w:r w:rsidR="0029182B">
        <w:t xml:space="preserve">, agreed upon a litigation schedule, which was subsequently </w:t>
      </w:r>
      <w:r w:rsidR="0053799C">
        <w:t>memorialized in a Third Prehearing Order that was issued on the same day.</w:t>
      </w:r>
    </w:p>
    <w:p w:rsidR="00135CE8" w:rsidRDefault="00135CE8" w:rsidP="00D22110">
      <w:pPr>
        <w:spacing w:line="360" w:lineRule="auto"/>
      </w:pPr>
    </w:p>
    <w:p w:rsidR="00135CE8" w:rsidRDefault="0027273C" w:rsidP="00D22110">
      <w:pPr>
        <w:spacing w:line="360" w:lineRule="auto"/>
      </w:pPr>
      <w:r>
        <w:tab/>
      </w:r>
      <w:r>
        <w:tab/>
        <w:t>These same parties</w:t>
      </w:r>
      <w:r w:rsidR="001B703A">
        <w:t xml:space="preserve"> </w:t>
      </w:r>
      <w:r w:rsidR="001B703A" w:rsidRPr="001B703A">
        <w:t xml:space="preserve">were involved in a number of discussions over the course of this modification proceeding.  As a result of those discussions, Duquesne Light, OCA, DII, and </w:t>
      </w:r>
      <w:proofErr w:type="spellStart"/>
      <w:r w:rsidR="001B703A" w:rsidRPr="001B703A">
        <w:t>Comverge</w:t>
      </w:r>
      <w:proofErr w:type="spellEnd"/>
      <w:r w:rsidR="001B703A" w:rsidRPr="001B703A">
        <w:t xml:space="preserve"> reached a settlement of all issues in this proceeding prior to the date scheduled for </w:t>
      </w:r>
      <w:r w:rsidR="00F253C8">
        <w:t xml:space="preserve">an </w:t>
      </w:r>
      <w:r w:rsidR="001B703A" w:rsidRPr="001B703A">
        <w:t>evidentiary hearing.</w:t>
      </w:r>
      <w:r w:rsidR="00F253C8">
        <w:t xml:space="preserve">  On August 26, 2011, </w:t>
      </w:r>
      <w:r w:rsidR="008127DE" w:rsidRPr="001B703A">
        <w:t xml:space="preserve">Duquesne Light, OCA, DII, and </w:t>
      </w:r>
      <w:proofErr w:type="spellStart"/>
      <w:r w:rsidR="008127DE" w:rsidRPr="001B703A">
        <w:t>Comverge</w:t>
      </w:r>
      <w:proofErr w:type="spellEnd"/>
      <w:r w:rsidR="008127DE">
        <w:t xml:space="preserve"> (“Joint Petitioners”) filed a Joint Petition for Settlement (the “Settlement”)</w:t>
      </w:r>
      <w:r w:rsidR="0072204D">
        <w:t xml:space="preserve"> with supporting statements from each of the Joint Petitioners</w:t>
      </w:r>
      <w:r w:rsidR="008127DE">
        <w:t>.</w:t>
      </w:r>
      <w:r w:rsidR="00262909">
        <w:rPr>
          <w:rStyle w:val="FootnoteReference"/>
        </w:rPr>
        <w:footnoteReference w:id="4"/>
      </w:r>
      <w:r w:rsidR="00262909">
        <w:t xml:space="preserve">  This Settlement was served on all parties, including those entities who were parties to the original </w:t>
      </w:r>
      <w:r w:rsidR="00E63B4A" w:rsidRPr="009F0931">
        <w:t>EE&amp;C Plan</w:t>
      </w:r>
      <w:r w:rsidR="00E63B4A">
        <w:t xml:space="preserve"> </w:t>
      </w:r>
      <w:proofErr w:type="gramStart"/>
      <w:r w:rsidR="00262909">
        <w:t>proceeding</w:t>
      </w:r>
      <w:proofErr w:type="gramEnd"/>
      <w:r w:rsidR="00262909">
        <w:t>.</w:t>
      </w:r>
      <w:r w:rsidR="00CC486B">
        <w:t xml:space="preserve"> </w:t>
      </w:r>
      <w:r w:rsidR="008D6C5A">
        <w:t xml:space="preserve"> </w:t>
      </w:r>
      <w:r w:rsidR="00CC486B">
        <w:t xml:space="preserve">An Interim Order was issued on August </w:t>
      </w:r>
      <w:r w:rsidR="00BB4C43">
        <w:t>29, 2011</w:t>
      </w:r>
      <w:r w:rsidR="00C558CF">
        <w:t xml:space="preserve"> giving all parties until September 9, 2011 to file objections to the Settlement.  No objections have been received.</w:t>
      </w:r>
    </w:p>
    <w:p w:rsidR="00D94FA1" w:rsidRDefault="00D94FA1" w:rsidP="00D22110">
      <w:pPr>
        <w:spacing w:line="360" w:lineRule="auto"/>
      </w:pPr>
    </w:p>
    <w:p w:rsidR="00D94FA1" w:rsidRDefault="00D94FA1" w:rsidP="00D22110">
      <w:pPr>
        <w:spacing w:line="360" w:lineRule="auto"/>
      </w:pPr>
      <w:r>
        <w:tab/>
      </w:r>
      <w:r>
        <w:tab/>
        <w:t xml:space="preserve">An evidentiary hearing convened on August 30, 2011.  In attendance </w:t>
      </w:r>
      <w:proofErr w:type="gramStart"/>
      <w:r>
        <w:t>were counsel</w:t>
      </w:r>
      <w:proofErr w:type="gramEnd"/>
      <w:r>
        <w:t xml:space="preserve"> for </w:t>
      </w:r>
      <w:r w:rsidRPr="001B703A">
        <w:t xml:space="preserve">Duquesne Light, OCA, </w:t>
      </w:r>
      <w:r>
        <w:t xml:space="preserve">OSBA, </w:t>
      </w:r>
      <w:r w:rsidRPr="001B703A">
        <w:t xml:space="preserve">DII, and </w:t>
      </w:r>
      <w:proofErr w:type="spellStart"/>
      <w:r w:rsidRPr="001B703A">
        <w:t>Comverge</w:t>
      </w:r>
      <w:proofErr w:type="spellEnd"/>
      <w:r>
        <w:t>.</w:t>
      </w:r>
      <w:r w:rsidR="00A14499">
        <w:t xml:space="preserve">  Duquesne Light submitted the written direct testimony of three witnesses, which was admitted into the record without objection.  No other party </w:t>
      </w:r>
      <w:r w:rsidR="0072204D">
        <w:t>offered any testimony or comments.  No briefs were filed</w:t>
      </w:r>
      <w:r w:rsidR="00F64EF7">
        <w:t>.</w:t>
      </w:r>
      <w:r w:rsidR="004E26DE">
        <w:t xml:space="preserve">  This </w:t>
      </w:r>
      <w:r w:rsidR="00E63B4A">
        <w:t xml:space="preserve">Settlement </w:t>
      </w:r>
      <w:r w:rsidR="004E26DE">
        <w:t>is now ripe for disposition.</w:t>
      </w:r>
    </w:p>
    <w:p w:rsidR="00E00D73" w:rsidRDefault="00E00D73" w:rsidP="00D22110">
      <w:pPr>
        <w:spacing w:line="360" w:lineRule="auto"/>
      </w:pPr>
      <w:r>
        <w:br w:type="page"/>
      </w:r>
    </w:p>
    <w:p w:rsidR="00E00D73" w:rsidRDefault="00E00D73" w:rsidP="00D22110">
      <w:pPr>
        <w:spacing w:line="360" w:lineRule="auto"/>
        <w:jc w:val="center"/>
      </w:pPr>
      <w:r>
        <w:lastRenderedPageBreak/>
        <w:t>II.</w:t>
      </w:r>
      <w:r>
        <w:tab/>
      </w:r>
      <w:r>
        <w:rPr>
          <w:u w:val="single"/>
        </w:rPr>
        <w:t>TERMS OF THE SETTLEMENT</w:t>
      </w:r>
    </w:p>
    <w:p w:rsidR="00E00D73" w:rsidRDefault="00E00D73" w:rsidP="00D22110">
      <w:pPr>
        <w:spacing w:line="360" w:lineRule="auto"/>
      </w:pPr>
    </w:p>
    <w:p w:rsidR="00E00D73" w:rsidRDefault="00E00D73" w:rsidP="00D22110">
      <w:pPr>
        <w:spacing w:line="360" w:lineRule="auto"/>
      </w:pPr>
      <w:r>
        <w:tab/>
      </w:r>
      <w:r>
        <w:tab/>
      </w:r>
      <w:r w:rsidR="001B15CB">
        <w:t xml:space="preserve">In its broadest terms, </w:t>
      </w:r>
      <w:r w:rsidR="001B15CB" w:rsidRPr="001B15CB">
        <w:t xml:space="preserve">the Settlement provides for, </w:t>
      </w:r>
      <w:r w:rsidR="001B15CB" w:rsidRPr="001B15CB">
        <w:rPr>
          <w:i/>
        </w:rPr>
        <w:t>inter alia</w:t>
      </w:r>
      <w:r w:rsidR="001B15CB" w:rsidRPr="001B15CB">
        <w:t xml:space="preserve">, the implementation of a scaled down demand response (“DR”) </w:t>
      </w:r>
      <w:r w:rsidR="00C12F1D">
        <w:t>P</w:t>
      </w:r>
      <w:r w:rsidR="001B15CB" w:rsidRPr="001B15CB">
        <w:t xml:space="preserve">rogram for Duquesne Light’s Residential and Small/Midsize Commercial and Industrial (“C&amp;I”) customers, an expanded DR </w:t>
      </w:r>
      <w:r w:rsidR="00C12F1D">
        <w:t>P</w:t>
      </w:r>
      <w:r w:rsidR="001B15CB" w:rsidRPr="001B15CB">
        <w:t xml:space="preserve">rogram for the Company’s Large C&amp;I customers, and additional funding </w:t>
      </w:r>
      <w:r w:rsidR="00D00D62">
        <w:t xml:space="preserve">for </w:t>
      </w:r>
      <w:r w:rsidR="001B15CB" w:rsidRPr="001B15CB">
        <w:t xml:space="preserve">the Company’s </w:t>
      </w:r>
      <w:r w:rsidR="00F82733">
        <w:t>R</w:t>
      </w:r>
      <w:r w:rsidR="001B15CB" w:rsidRPr="001B15CB">
        <w:t xml:space="preserve">esidential and </w:t>
      </w:r>
      <w:r w:rsidR="00F82733">
        <w:t>S</w:t>
      </w:r>
      <w:r w:rsidR="001B15CB" w:rsidRPr="001B15CB">
        <w:t>mall/Midsize C&amp;I Energy Efficiency Programs.</w:t>
      </w:r>
      <w:r w:rsidR="00F82733">
        <w:t xml:space="preserve">  More specifically, t</w:t>
      </w:r>
      <w:r w:rsidR="00F82733" w:rsidRPr="00F82733">
        <w:t xml:space="preserve">he Joint Petitioners agree </w:t>
      </w:r>
      <w:r w:rsidR="00F82733">
        <w:t xml:space="preserve">to the </w:t>
      </w:r>
      <w:r w:rsidR="00F82733" w:rsidRPr="00F82733">
        <w:t>follow</w:t>
      </w:r>
      <w:r w:rsidR="00F82733">
        <w:t>ing</w:t>
      </w:r>
      <w:r w:rsidR="00F82733" w:rsidRPr="00F82733">
        <w:t>:</w:t>
      </w:r>
    </w:p>
    <w:p w:rsidR="00D00D62" w:rsidRDefault="00D00D62" w:rsidP="00D22110">
      <w:pPr>
        <w:spacing w:line="360" w:lineRule="auto"/>
      </w:pPr>
    </w:p>
    <w:p w:rsidR="00D00D62" w:rsidRDefault="00D00D62" w:rsidP="00D22110">
      <w:pPr>
        <w:pStyle w:val="ListParagraph"/>
        <w:numPr>
          <w:ilvl w:val="0"/>
          <w:numId w:val="1"/>
        </w:numPr>
        <w:spacing w:line="360" w:lineRule="auto"/>
        <w:ind w:left="0" w:firstLine="1440"/>
      </w:pPr>
      <w:r w:rsidRPr="00D00D62">
        <w:t xml:space="preserve">Duquesne Light agrees to withdraw its proposal to eliminate its Air Conditioner Cycling Demand Response Program to its Residential and Small/Midsized C&amp;I customers.  However, the Company will modify the scope of these programs by combining and lowering the budget for the Residential and Small/Midsized C&amp;I Air Conditioner Cycling Demand Response Program from the current budget levels of $2,928,071 and $992,200 respectively to a combined $1,100,000. </w:t>
      </w:r>
      <w:r w:rsidR="008D6C5A">
        <w:t xml:space="preserve"> </w:t>
      </w:r>
      <w:r w:rsidRPr="00D00D62">
        <w:t xml:space="preserve">The costs of the program will be split between residential and small/midsized customers for cost recovery purposes based on the number of residential customers and small/midsized customers enrolled in the program.  </w:t>
      </w:r>
      <w:proofErr w:type="spellStart"/>
      <w:r w:rsidRPr="00D00D62">
        <w:t>Comverge</w:t>
      </w:r>
      <w:proofErr w:type="spellEnd"/>
      <w:r w:rsidRPr="00D00D62">
        <w:t xml:space="preserve"> will serve as the sole conservation service provider (“CSP”) for Duquesne Light’s Residential and Small/Midsized C&amp;I Air Conditioner Cycling Demand Response Programs.</w:t>
      </w:r>
    </w:p>
    <w:p w:rsidR="002C4F65" w:rsidRDefault="002C4F65" w:rsidP="00D22110">
      <w:pPr>
        <w:spacing w:line="360" w:lineRule="auto"/>
      </w:pPr>
    </w:p>
    <w:p w:rsidR="00BB4C43" w:rsidRDefault="002C4F65" w:rsidP="00D22110">
      <w:pPr>
        <w:pStyle w:val="ListParagraph"/>
        <w:numPr>
          <w:ilvl w:val="0"/>
          <w:numId w:val="1"/>
        </w:numPr>
        <w:spacing w:line="360" w:lineRule="auto"/>
        <w:ind w:left="0" w:firstLine="1440"/>
        <w:sectPr w:rsidR="00BB4C43" w:rsidSect="009058EE">
          <w:footerReference w:type="default" r:id="rId10"/>
          <w:footerReference w:type="first" r:id="rId11"/>
          <w:pgSz w:w="12240" w:h="15840" w:code="1"/>
          <w:pgMar w:top="1440" w:right="1440" w:bottom="1440" w:left="1440" w:header="720" w:footer="720" w:gutter="0"/>
          <w:pgNumType w:start="1"/>
          <w:cols w:space="720"/>
          <w:titlePg/>
          <w:docGrid w:linePitch="360"/>
        </w:sectPr>
      </w:pPr>
      <w:r w:rsidRPr="002C4F65">
        <w:t>Duquesne Light will transfer the difference between the original budgeted amount for its Residential Air Conditioner Cycling Demand Response Programs, and the amount allocated to the Residential rate classes pursuant to paragraph 16</w:t>
      </w:r>
      <w:r w:rsidR="00616AF6">
        <w:t xml:space="preserve"> of the Settlement</w:t>
      </w:r>
      <w:r w:rsidRPr="002C4F65">
        <w:t>, to the Company’s Residential energy efficiency programs.  More specifically, the budgeted funds not used for the Residential demand response program shall be transferred to the Residential energy efficiency programs/measures identified in paragraph 20</w:t>
      </w:r>
      <w:r w:rsidR="00616AF6" w:rsidRPr="00616AF6">
        <w:t xml:space="preserve"> </w:t>
      </w:r>
      <w:r w:rsidR="00616AF6">
        <w:t>of the Settlement</w:t>
      </w:r>
      <w:r w:rsidRPr="002C4F65">
        <w:t>.  Likewise, Duquesne Light will transfer the difference between the original budgeted amount for its Small/Midsized C&amp;I Air Conditioner Cycling Demand Response Program, and the amount allocated to the Small/Midsized C&amp;I rate classes pursuant to paragraph 16</w:t>
      </w:r>
      <w:r w:rsidR="00616AF6" w:rsidRPr="00616AF6">
        <w:t xml:space="preserve"> </w:t>
      </w:r>
      <w:r w:rsidR="00616AF6">
        <w:t>of the Settlement</w:t>
      </w:r>
      <w:r w:rsidRPr="002C4F65">
        <w:t xml:space="preserve">, to the Company’s Small/Midsized C&amp;I energy efficiency programs.  More specifically, the budgeted funds not </w:t>
      </w:r>
    </w:p>
    <w:p w:rsidR="002C4F65" w:rsidRDefault="002C4F65" w:rsidP="00BB4C43">
      <w:pPr>
        <w:pStyle w:val="ListParagraph"/>
        <w:spacing w:line="360" w:lineRule="auto"/>
        <w:ind w:left="0"/>
      </w:pPr>
      <w:proofErr w:type="gramStart"/>
      <w:r w:rsidRPr="002C4F65">
        <w:lastRenderedPageBreak/>
        <w:t>used</w:t>
      </w:r>
      <w:proofErr w:type="gramEnd"/>
      <w:r w:rsidRPr="002C4F65">
        <w:t xml:space="preserve"> for the Small/Midsized C&amp;I demand response program shall be transferred to the Small/Midsized C&amp;I energy efficiency programs/measures identified in paragraph 21</w:t>
      </w:r>
      <w:r w:rsidR="00616AF6" w:rsidRPr="00616AF6">
        <w:t xml:space="preserve"> </w:t>
      </w:r>
      <w:r w:rsidR="00616AF6">
        <w:t>of the Settlement</w:t>
      </w:r>
      <w:r w:rsidRPr="002C4F65">
        <w:t>.</w:t>
      </w:r>
    </w:p>
    <w:p w:rsidR="00616AF6" w:rsidRDefault="00616AF6" w:rsidP="00D22110">
      <w:pPr>
        <w:pStyle w:val="ListParagraph"/>
        <w:spacing w:line="360" w:lineRule="auto"/>
      </w:pPr>
    </w:p>
    <w:p w:rsidR="00616AF6" w:rsidRDefault="008B0677" w:rsidP="00D22110">
      <w:pPr>
        <w:pStyle w:val="ListParagraph"/>
        <w:numPr>
          <w:ilvl w:val="0"/>
          <w:numId w:val="1"/>
        </w:numPr>
        <w:spacing w:line="360" w:lineRule="auto"/>
        <w:ind w:left="0" w:firstLine="1440"/>
      </w:pPr>
      <w:r w:rsidRPr="008B0677">
        <w:t xml:space="preserve">Duquesne Light will increase the expected demand reductions for its </w:t>
      </w:r>
      <w:proofErr w:type="spellStart"/>
      <w:r w:rsidRPr="008B0677">
        <w:t>Curtailable</w:t>
      </w:r>
      <w:proofErr w:type="spellEnd"/>
      <w:r w:rsidRPr="008B0677">
        <w:t xml:space="preserve"> Load Program for Large C&amp;I customers from 10.8 MW to up to 60 MW in order to assist the Company to achieve 113 MW of demand reductions required under Act 129.  To achieve the increase in demand reductions, the Company will spend the full amount of the approved budget of $556,000 for the program, now expected to result in 40 MW of demand reduction.  In addition, the Company will be permitted to transfer funds currently budgeted for the Company's existing Large C&amp;I energy efficiency programs to its </w:t>
      </w:r>
      <w:proofErr w:type="spellStart"/>
      <w:r w:rsidRPr="008B0677">
        <w:t>Curtailable</w:t>
      </w:r>
      <w:proofErr w:type="spellEnd"/>
      <w:r w:rsidRPr="008B0677">
        <w:t xml:space="preserve"> Load Program at a level required to achieve up to an additional 20 MW of demand reductions.  Relative to the potential additional 20 MW of demand reductions, funds transferred from the Large C&amp;I energy efficiency program/measure will be allocated proportionally to the customer classifications of the Large C&amp;I customers in Duquesne Light’s Large C&amp;I EE&amp;C Plan.  The expected cost to achieve these additional demand reductions is approximately $300,000.</w:t>
      </w:r>
    </w:p>
    <w:p w:rsidR="008B0677" w:rsidRDefault="008B0677" w:rsidP="00D22110">
      <w:pPr>
        <w:pStyle w:val="ListParagraph"/>
        <w:spacing w:line="360" w:lineRule="auto"/>
      </w:pPr>
    </w:p>
    <w:p w:rsidR="008B0677" w:rsidRDefault="00915F96" w:rsidP="00D22110">
      <w:pPr>
        <w:pStyle w:val="ListParagraph"/>
        <w:numPr>
          <w:ilvl w:val="0"/>
          <w:numId w:val="1"/>
        </w:numPr>
        <w:spacing w:line="360" w:lineRule="auto"/>
        <w:ind w:left="0" w:firstLine="1440"/>
      </w:pPr>
      <w:r w:rsidRPr="00915F96">
        <w:t xml:space="preserve">Duquesne Light agrees that it will accept approximately 20 MW of demand reductions from Large C&amp;I customers or Large C&amp;I customers’ PJM curtailment service providers directly rather than requiring that all demand reductions be administered by Duquesne Light’s </w:t>
      </w:r>
      <w:proofErr w:type="spellStart"/>
      <w:r w:rsidRPr="00915F96">
        <w:t>Curtailable</w:t>
      </w:r>
      <w:proofErr w:type="spellEnd"/>
      <w:r w:rsidRPr="00915F96">
        <w:t xml:space="preserve"> Load Program CSP, provided that the direct Large C&amp;I customer demand reductions are needed to meet the goals of Duquesne Light’s EE&amp;C Plan and are more cost effective than what Duquesne Light’s </w:t>
      </w:r>
      <w:proofErr w:type="spellStart"/>
      <w:r w:rsidRPr="00915F96">
        <w:t>Curtailable</w:t>
      </w:r>
      <w:proofErr w:type="spellEnd"/>
      <w:r w:rsidRPr="00915F96">
        <w:t xml:space="preserve"> Load Program CSP can provide.</w:t>
      </w:r>
    </w:p>
    <w:p w:rsidR="00915F96" w:rsidRDefault="00915F96" w:rsidP="00D22110">
      <w:pPr>
        <w:pStyle w:val="ListParagraph"/>
        <w:spacing w:line="360" w:lineRule="auto"/>
      </w:pPr>
    </w:p>
    <w:p w:rsidR="00915F96" w:rsidRDefault="005F2583" w:rsidP="00D22110">
      <w:pPr>
        <w:pStyle w:val="ListParagraph"/>
        <w:numPr>
          <w:ilvl w:val="0"/>
          <w:numId w:val="1"/>
        </w:numPr>
        <w:spacing w:line="360" w:lineRule="auto"/>
        <w:ind w:left="0" w:firstLine="1440"/>
      </w:pPr>
      <w:r w:rsidRPr="005F2583">
        <w:t xml:space="preserve">Duquesne </w:t>
      </w:r>
      <w:r>
        <w:t xml:space="preserve">Light </w:t>
      </w:r>
      <w:r w:rsidRPr="005F2583">
        <w:t xml:space="preserve">shall transfer the budgeted funds not used for the Residential </w:t>
      </w:r>
      <w:r>
        <w:t xml:space="preserve">DR </w:t>
      </w:r>
      <w:r w:rsidRPr="005F2583">
        <w:t>program to the following Residential Energy Efficiency Programs/Measure(s):</w:t>
      </w:r>
    </w:p>
    <w:p w:rsidR="005F2583" w:rsidRDefault="005F2583" w:rsidP="00D22110">
      <w:pPr>
        <w:pStyle w:val="ListParagraph"/>
        <w:spacing w:line="360" w:lineRule="auto"/>
      </w:pPr>
    </w:p>
    <w:p w:rsidR="00BB4C43" w:rsidRDefault="005F2583" w:rsidP="00D22110">
      <w:pPr>
        <w:pStyle w:val="ListParagraph"/>
        <w:numPr>
          <w:ilvl w:val="1"/>
          <w:numId w:val="1"/>
        </w:numPr>
        <w:spacing w:line="360" w:lineRule="auto"/>
        <w:ind w:left="0" w:firstLine="2160"/>
      </w:pPr>
      <w:r w:rsidRPr="005F2583">
        <w:t xml:space="preserve">Transfer an amount not to exceed $850,000 from Residential </w:t>
      </w:r>
      <w:r w:rsidR="002973C4">
        <w:t xml:space="preserve">DR </w:t>
      </w:r>
      <w:r w:rsidRPr="005F2583">
        <w:t xml:space="preserve">to Residential energy efficiency for the following new measure under Residential Energy Efficiency.  Duquesne Light will pilot a Behavioral Modification and Education program to </w:t>
      </w:r>
    </w:p>
    <w:p w:rsidR="00BB4C43" w:rsidRDefault="00BB4C43">
      <w:r>
        <w:br w:type="page"/>
      </w:r>
    </w:p>
    <w:p w:rsidR="005F2583" w:rsidRDefault="005F2583" w:rsidP="00BB4C43">
      <w:pPr>
        <w:pStyle w:val="ListParagraph"/>
        <w:spacing w:line="360" w:lineRule="auto"/>
        <w:ind w:left="0"/>
      </w:pPr>
      <w:r w:rsidRPr="005F2583">
        <w:lastRenderedPageBreak/>
        <w:t xml:space="preserve">50,000 high use customers.  This pilot will reach the highest 20% of users.  These customers will receive Home Energy Reports.  The Home Energy Reports will engage customers and motivate them to save energy by translating energy information into relevant, actionable insights.  Reports are customized for each household based on user profiles.  Customers can evaluate their energy consumption in comparison to that of similar homes. </w:t>
      </w:r>
      <w:r w:rsidR="00867E22">
        <w:t xml:space="preserve"> </w:t>
      </w:r>
      <w:r w:rsidRPr="005F2583">
        <w:t xml:space="preserve">The Behavioral Modification and Education program selects similar homes based on factors such as square footage, dwelling type and geographic considerations.  Utilizing the behavior science technique of comparing people to </w:t>
      </w:r>
      <w:proofErr w:type="gramStart"/>
      <w:r w:rsidRPr="005F2583">
        <w:t>their</w:t>
      </w:r>
      <w:proofErr w:type="gramEnd"/>
      <w:r w:rsidRPr="005F2583">
        <w:t xml:space="preserve"> peers has proven to drive action.  The selected contractor will build customer profiles by combining utility data with independently sourced demographic and geographic data.  These profiles provide the foundation for targeted, relevant energy efficiency recommendations.  This individualized information can maximize the likelihood that customers will take action.  Additional options can include web portal access for each household, interactive channel that includes email and text messaging.</w:t>
      </w:r>
    </w:p>
    <w:p w:rsidR="00A54E03" w:rsidRDefault="00A54E03" w:rsidP="00D22110">
      <w:pPr>
        <w:pStyle w:val="ListParagraph"/>
        <w:spacing w:line="360" w:lineRule="auto"/>
        <w:ind w:left="2160"/>
      </w:pPr>
    </w:p>
    <w:p w:rsidR="00A54E03" w:rsidRDefault="00A54E03" w:rsidP="00D22110">
      <w:pPr>
        <w:pStyle w:val="ListParagraph"/>
        <w:numPr>
          <w:ilvl w:val="1"/>
          <w:numId w:val="1"/>
        </w:numPr>
        <w:spacing w:line="360" w:lineRule="auto"/>
        <w:ind w:left="0" w:firstLine="2160"/>
      </w:pPr>
      <w:r w:rsidRPr="00A54E03">
        <w:t xml:space="preserve">Transfer an amount not to exceed $250,000 from Residential </w:t>
      </w:r>
      <w:r>
        <w:t xml:space="preserve">DR </w:t>
      </w:r>
      <w:r w:rsidR="00BB4C43">
        <w:t>to Residential E</w:t>
      </w:r>
      <w:r w:rsidRPr="00A54E03">
        <w:t xml:space="preserve">nergy </w:t>
      </w:r>
      <w:r w:rsidR="00BB4C43">
        <w:t>E</w:t>
      </w:r>
      <w:r w:rsidRPr="00A54E03">
        <w:t>fficiency for the existing Schools Energy Pledge Program.  Duquesne Light proposes to transfer an amount not to exceed $250,000 to the schools program.  This program has been greatly successful to date.  The additional funding would allow additional schools to participate in the program.  This program provides a conservation kit for each participating family.</w:t>
      </w:r>
    </w:p>
    <w:p w:rsidR="00A54E03" w:rsidRDefault="00A54E03" w:rsidP="00D22110">
      <w:pPr>
        <w:pStyle w:val="ListParagraph"/>
        <w:spacing w:line="360" w:lineRule="auto"/>
      </w:pPr>
    </w:p>
    <w:p w:rsidR="0051728F" w:rsidRDefault="00821F2F" w:rsidP="00D22110">
      <w:pPr>
        <w:pStyle w:val="ListParagraph"/>
        <w:numPr>
          <w:ilvl w:val="1"/>
          <w:numId w:val="1"/>
        </w:numPr>
        <w:spacing w:line="360" w:lineRule="auto"/>
        <w:ind w:left="0" w:firstLine="2160"/>
      </w:pPr>
      <w:r w:rsidRPr="00821F2F">
        <w:t xml:space="preserve">Transfer an amount not to exceed $500,000 from Residential </w:t>
      </w:r>
      <w:r>
        <w:t xml:space="preserve">DR </w:t>
      </w:r>
      <w:r w:rsidRPr="00821F2F">
        <w:t>to Residential Energy Efficiency Rebate Program, to specifically focus on appliance rebates to build upon the success of the upstream Compact Flu</w:t>
      </w:r>
      <w:r>
        <w:t>orescent Lamps discount program.</w:t>
      </w:r>
      <w:r w:rsidR="002575A5">
        <w:t xml:space="preserve"> </w:t>
      </w:r>
      <w:r w:rsidRPr="00821F2F">
        <w:t xml:space="preserve"> Duquesne Light proposes to create in</w:t>
      </w:r>
      <w:r>
        <w:t>-</w:t>
      </w:r>
      <w:r w:rsidRPr="00821F2F">
        <w:t xml:space="preserve">store awareness of the residential rebate program that will focus on energy efficient appliances and other energy efficient product rebates.  The store network will include over 50 retailers within the service territory that sell eligible rebated products.  Store personnel will be trained on the rebate programs and eligibility requirements.  These promotions will be highly visible and encourage a broad range of customer participation.  </w:t>
      </w:r>
    </w:p>
    <w:p w:rsidR="0051728F" w:rsidRDefault="0051728F">
      <w:r>
        <w:br w:type="page"/>
      </w:r>
    </w:p>
    <w:p w:rsidR="00A54E03" w:rsidRDefault="00821F2F" w:rsidP="0051728F">
      <w:pPr>
        <w:pStyle w:val="ListParagraph"/>
        <w:spacing w:line="360" w:lineRule="auto"/>
        <w:ind w:left="0"/>
      </w:pPr>
      <w:r w:rsidRPr="00821F2F">
        <w:lastRenderedPageBreak/>
        <w:t xml:space="preserve">Stores will be visited regularly to ensure that trained sales staff is available to answer and </w:t>
      </w:r>
      <w:proofErr w:type="gramStart"/>
      <w:r w:rsidRPr="00821F2F">
        <w:t>promote</w:t>
      </w:r>
      <w:proofErr w:type="gramEnd"/>
      <w:r w:rsidRPr="00821F2F">
        <w:t xml:space="preserve"> rebate participation.  The cost to implement this awareness will not exceed $500,000.</w:t>
      </w:r>
    </w:p>
    <w:p w:rsidR="00D22110" w:rsidRDefault="00D22110" w:rsidP="00D22110">
      <w:pPr>
        <w:pStyle w:val="ListParagraph"/>
        <w:spacing w:line="360" w:lineRule="auto"/>
        <w:ind w:left="2160"/>
      </w:pPr>
    </w:p>
    <w:p w:rsidR="00821F2F" w:rsidRDefault="00821F2F" w:rsidP="00D22110">
      <w:pPr>
        <w:pStyle w:val="ListParagraph"/>
        <w:numPr>
          <w:ilvl w:val="1"/>
          <w:numId w:val="1"/>
        </w:numPr>
        <w:spacing w:line="360" w:lineRule="auto"/>
        <w:ind w:left="0" w:firstLine="2160"/>
      </w:pPr>
      <w:r w:rsidRPr="00821F2F">
        <w:t>For any remaining funds, Duquesne Light will develop proposals for the expenditure of these funds and present these proposals to its stakeholders to solicit input prior to seeking Commission approval to further modify its EE&amp;C Plan.</w:t>
      </w:r>
    </w:p>
    <w:p w:rsidR="00914E23" w:rsidRDefault="00914E23" w:rsidP="00D22110">
      <w:pPr>
        <w:pStyle w:val="ListParagraph"/>
        <w:spacing w:line="360" w:lineRule="auto"/>
      </w:pPr>
    </w:p>
    <w:p w:rsidR="00914E23" w:rsidRDefault="00914E23" w:rsidP="00D22110">
      <w:pPr>
        <w:pStyle w:val="ListParagraph"/>
        <w:numPr>
          <w:ilvl w:val="0"/>
          <w:numId w:val="1"/>
        </w:numPr>
        <w:spacing w:line="360" w:lineRule="auto"/>
        <w:ind w:left="0" w:firstLine="1440"/>
      </w:pPr>
      <w:r w:rsidRPr="00914E23">
        <w:t xml:space="preserve">Duquesne </w:t>
      </w:r>
      <w:r>
        <w:t xml:space="preserve">Light </w:t>
      </w:r>
      <w:r w:rsidRPr="00914E23">
        <w:t xml:space="preserve">shall transfer the budgeted funds not used for the Small/Medium </w:t>
      </w:r>
      <w:r>
        <w:t xml:space="preserve">DR </w:t>
      </w:r>
      <w:r w:rsidRPr="00914E23">
        <w:t>program equally to the following Small/Medium Ener</w:t>
      </w:r>
      <w:r>
        <w:t>gy Efficiency Programs/Measures</w:t>
      </w:r>
      <w:r w:rsidRPr="00914E23">
        <w:t>:</w:t>
      </w:r>
    </w:p>
    <w:p w:rsidR="00914E23" w:rsidRDefault="00914E23" w:rsidP="00914E23">
      <w:pPr>
        <w:spacing w:line="360" w:lineRule="auto"/>
      </w:pPr>
    </w:p>
    <w:p w:rsidR="00914E23" w:rsidRDefault="00D1378B" w:rsidP="00D22110">
      <w:pPr>
        <w:pStyle w:val="ListParagraph"/>
        <w:numPr>
          <w:ilvl w:val="1"/>
          <w:numId w:val="1"/>
        </w:numPr>
        <w:spacing w:line="360" w:lineRule="auto"/>
        <w:ind w:left="0" w:firstLine="2160"/>
      </w:pPr>
      <w:r w:rsidRPr="00D1378B">
        <w:t>Small/Medium Commercial Umbrella Program</w:t>
      </w:r>
      <w:r>
        <w:t>.</w:t>
      </w:r>
    </w:p>
    <w:p w:rsidR="00D1378B" w:rsidRDefault="00D1378B" w:rsidP="00D22110">
      <w:pPr>
        <w:pStyle w:val="ListParagraph"/>
        <w:spacing w:line="360" w:lineRule="auto"/>
        <w:ind w:left="2160"/>
      </w:pPr>
    </w:p>
    <w:p w:rsidR="00D1378B" w:rsidRDefault="00D1378B" w:rsidP="00D22110">
      <w:pPr>
        <w:pStyle w:val="ListParagraph"/>
        <w:numPr>
          <w:ilvl w:val="1"/>
          <w:numId w:val="1"/>
        </w:numPr>
        <w:spacing w:line="360" w:lineRule="auto"/>
        <w:ind w:left="0" w:firstLine="2160"/>
      </w:pPr>
      <w:r w:rsidRPr="00D1378B">
        <w:t>Small/Medium Industrial Umbrella Program</w:t>
      </w:r>
      <w:r>
        <w:t>.</w:t>
      </w:r>
    </w:p>
    <w:p w:rsidR="00D1378B" w:rsidRDefault="00D22110" w:rsidP="00D22110">
      <w:pPr>
        <w:pStyle w:val="ListParagraph"/>
        <w:tabs>
          <w:tab w:val="left" w:pos="3675"/>
        </w:tabs>
        <w:spacing w:line="360" w:lineRule="auto"/>
      </w:pPr>
      <w:r>
        <w:tab/>
      </w:r>
    </w:p>
    <w:p w:rsidR="00D1378B" w:rsidRDefault="003A5BC7" w:rsidP="00D22110">
      <w:pPr>
        <w:pStyle w:val="ListParagraph"/>
        <w:numPr>
          <w:ilvl w:val="1"/>
          <w:numId w:val="1"/>
        </w:numPr>
        <w:spacing w:line="360" w:lineRule="auto"/>
        <w:ind w:left="0" w:firstLine="2160"/>
      </w:pPr>
      <w:r w:rsidRPr="003A5BC7">
        <w:t>Small/Medium Retail/Restaurant Program</w:t>
      </w:r>
      <w:r>
        <w:t>.</w:t>
      </w:r>
    </w:p>
    <w:p w:rsidR="003A5BC7" w:rsidRDefault="003A5BC7" w:rsidP="00D22110">
      <w:pPr>
        <w:pStyle w:val="ListParagraph"/>
        <w:spacing w:line="360" w:lineRule="auto"/>
      </w:pPr>
    </w:p>
    <w:p w:rsidR="003A5BC7" w:rsidRDefault="003A5BC7" w:rsidP="00D22110">
      <w:pPr>
        <w:pStyle w:val="ListParagraph"/>
        <w:numPr>
          <w:ilvl w:val="1"/>
          <w:numId w:val="1"/>
        </w:numPr>
        <w:spacing w:line="360" w:lineRule="auto"/>
        <w:ind w:left="0" w:firstLine="2160"/>
      </w:pPr>
      <w:r w:rsidRPr="003A5BC7">
        <w:t>Small/Medium Education Program</w:t>
      </w:r>
      <w:r>
        <w:t>.</w:t>
      </w:r>
    </w:p>
    <w:p w:rsidR="003A5BC7" w:rsidRDefault="003A5BC7" w:rsidP="00D22110">
      <w:pPr>
        <w:pStyle w:val="ListParagraph"/>
        <w:spacing w:line="360" w:lineRule="auto"/>
      </w:pPr>
    </w:p>
    <w:p w:rsidR="003A5BC7" w:rsidRDefault="003A5BC7" w:rsidP="00D22110">
      <w:pPr>
        <w:pStyle w:val="ListParagraph"/>
        <w:numPr>
          <w:ilvl w:val="1"/>
          <w:numId w:val="1"/>
        </w:numPr>
        <w:spacing w:line="360" w:lineRule="auto"/>
        <w:ind w:left="0" w:firstLine="2160"/>
      </w:pPr>
      <w:r w:rsidRPr="003A5BC7">
        <w:t>Small/Medium Mixed Industry Program</w:t>
      </w:r>
      <w:r>
        <w:t>.</w:t>
      </w:r>
    </w:p>
    <w:p w:rsidR="003A5BC7" w:rsidRDefault="003A5BC7" w:rsidP="00D22110">
      <w:pPr>
        <w:pStyle w:val="ListParagraph"/>
        <w:spacing w:line="360" w:lineRule="auto"/>
      </w:pPr>
    </w:p>
    <w:p w:rsidR="003A5BC7" w:rsidRDefault="0065501C" w:rsidP="00D22110">
      <w:pPr>
        <w:pStyle w:val="ListParagraph"/>
        <w:numPr>
          <w:ilvl w:val="0"/>
          <w:numId w:val="1"/>
        </w:numPr>
        <w:spacing w:line="360" w:lineRule="auto"/>
        <w:ind w:left="0" w:firstLine="1440"/>
      </w:pPr>
      <w:r>
        <w:t xml:space="preserve">The Joint Petitioners </w:t>
      </w:r>
      <w:r w:rsidR="00F93A91">
        <w:t>suggest this Settlement is in the public interest, because it</w:t>
      </w:r>
      <w:r w:rsidR="00F93A91" w:rsidRPr="00F93A91">
        <w:t xml:space="preserve"> reduces the administrative burdens on the Commission and avoids any extensive litigation expenditures </w:t>
      </w:r>
      <w:r w:rsidR="00F93A91">
        <w:t xml:space="preserve">since </w:t>
      </w:r>
      <w:r w:rsidR="00F93A91" w:rsidRPr="00F93A91">
        <w:t>it resolves all of the issues in this proceeding without administrative adjudication.</w:t>
      </w:r>
    </w:p>
    <w:p w:rsidR="00F93A91" w:rsidRDefault="00F93A91" w:rsidP="00D22110">
      <w:pPr>
        <w:spacing w:line="360" w:lineRule="auto"/>
      </w:pPr>
    </w:p>
    <w:p w:rsidR="00F93A91" w:rsidRDefault="00FC3830" w:rsidP="00D22110">
      <w:pPr>
        <w:pStyle w:val="ListParagraph"/>
        <w:numPr>
          <w:ilvl w:val="0"/>
          <w:numId w:val="1"/>
        </w:numPr>
        <w:spacing w:line="360" w:lineRule="auto"/>
        <w:ind w:left="0" w:firstLine="1440"/>
      </w:pPr>
      <w:r>
        <w:t xml:space="preserve">The Joint Petitioners </w:t>
      </w:r>
      <w:r w:rsidR="00B95D21" w:rsidRPr="00B95D21">
        <w:t>are in full agreement and respectfully submit that expeditious Commission adoption of the Settlement is in the best interests of all parties and Duquesne Light’s customers.</w:t>
      </w:r>
    </w:p>
    <w:p w:rsidR="00B20661" w:rsidRDefault="00B20661" w:rsidP="00D22110">
      <w:pPr>
        <w:pStyle w:val="ListParagraph"/>
        <w:spacing w:line="360" w:lineRule="auto"/>
      </w:pPr>
    </w:p>
    <w:p w:rsidR="00B20661" w:rsidRDefault="00B20661" w:rsidP="00D22110">
      <w:pPr>
        <w:pStyle w:val="ListParagraph"/>
        <w:numPr>
          <w:ilvl w:val="0"/>
          <w:numId w:val="1"/>
        </w:numPr>
        <w:spacing w:line="360" w:lineRule="auto"/>
        <w:ind w:left="0" w:firstLine="1440"/>
      </w:pPr>
      <w:r>
        <w:lastRenderedPageBreak/>
        <w:t xml:space="preserve">The </w:t>
      </w:r>
      <w:r w:rsidRPr="00B20661">
        <w:t>Joint Petitioners have submitted, along with this Settlement, their respective Statements in Support setting forth the basis upon which each believes the Settlement to be fair, just and reasonable and therefore in the public interest.</w:t>
      </w:r>
    </w:p>
    <w:p w:rsidR="00B20661" w:rsidRDefault="00B20661" w:rsidP="00D22110">
      <w:pPr>
        <w:pStyle w:val="ListParagraph"/>
        <w:spacing w:line="360" w:lineRule="auto"/>
      </w:pPr>
    </w:p>
    <w:p w:rsidR="00B20661" w:rsidRDefault="00A10C08" w:rsidP="00D22110">
      <w:pPr>
        <w:pStyle w:val="ListParagraph"/>
        <w:numPr>
          <w:ilvl w:val="0"/>
          <w:numId w:val="1"/>
        </w:numPr>
        <w:spacing w:line="360" w:lineRule="auto"/>
        <w:ind w:left="0" w:firstLine="1440"/>
      </w:pPr>
      <w:r w:rsidRPr="00A10C08">
        <w:t xml:space="preserve">This Settlement is conditioned upon the Commission’s approval of the terms and conditions contained </w:t>
      </w:r>
      <w:r>
        <w:t>t</w:t>
      </w:r>
      <w:r w:rsidRPr="00A10C08">
        <w:t>herein without modification.  If the Commission modifies the Settlement, then any Joint Petitioner may elect to withdraw from this Settlement and may proceed with litigation and, in such event, this Settlement shall be void and of no effect.  Such election to withdraw must be made in writing, filed with the Secretary of the Commission and served upon all Joint Petitioners within five (5) business days after the entry of any Order modifying the Settlement.</w:t>
      </w:r>
    </w:p>
    <w:p w:rsidR="00A10C08" w:rsidRDefault="00A10C08" w:rsidP="00D22110">
      <w:pPr>
        <w:pStyle w:val="ListParagraph"/>
        <w:spacing w:line="360" w:lineRule="auto"/>
      </w:pPr>
    </w:p>
    <w:p w:rsidR="00A10C08" w:rsidRDefault="00EF1A98" w:rsidP="00D22110">
      <w:pPr>
        <w:pStyle w:val="ListParagraph"/>
        <w:numPr>
          <w:ilvl w:val="0"/>
          <w:numId w:val="1"/>
        </w:numPr>
        <w:spacing w:line="360" w:lineRule="auto"/>
        <w:ind w:left="0" w:firstLine="1440"/>
      </w:pPr>
      <w:r>
        <w:t>T</w:t>
      </w:r>
      <w:r w:rsidRPr="00EF1A98">
        <w:t xml:space="preserve">he Joint Petitioners </w:t>
      </w:r>
      <w:r>
        <w:t>propose</w:t>
      </w:r>
      <w:r w:rsidRPr="00EF1A98">
        <w:t xml:space="preserve"> </w:t>
      </w:r>
      <w:r>
        <w:t>t</w:t>
      </w:r>
      <w:r w:rsidRPr="00EF1A98">
        <w:t>his Settlement to settle all issues in the instant proceedings.  If the Commission does not approve the Settlement and the proceedings continue to further hearings, the Joint Petitioners reserve their respective rights to present additional testimony and to conduct full cross-examination, briefing and argument.  The Settlement is made without any admission against, or prejudice to, any position which any Joint Petitioner may adopt in the event of any further litigation in these proceedings.</w:t>
      </w:r>
    </w:p>
    <w:p w:rsidR="00EF1A98" w:rsidRDefault="00EF1A98" w:rsidP="00D22110">
      <w:pPr>
        <w:pStyle w:val="ListParagraph"/>
        <w:spacing w:line="360" w:lineRule="auto"/>
      </w:pPr>
    </w:p>
    <w:p w:rsidR="00EF1A98" w:rsidRDefault="0006681E" w:rsidP="00D22110">
      <w:pPr>
        <w:pStyle w:val="ListParagraph"/>
        <w:numPr>
          <w:ilvl w:val="0"/>
          <w:numId w:val="1"/>
        </w:numPr>
        <w:spacing w:line="360" w:lineRule="auto"/>
        <w:ind w:left="0" w:firstLine="1440"/>
      </w:pPr>
      <w:r w:rsidRPr="0006681E">
        <w:t xml:space="preserve">This Settlement and its terms and conditions may not be cited as precedent in any future proceeding, except to the extent required </w:t>
      </w:r>
      <w:proofErr w:type="gramStart"/>
      <w:r w:rsidRPr="0006681E">
        <w:t>to implement</w:t>
      </w:r>
      <w:proofErr w:type="gramEnd"/>
      <w:r w:rsidRPr="0006681E">
        <w:t xml:space="preserve"> this Settlement.</w:t>
      </w:r>
    </w:p>
    <w:p w:rsidR="0006681E" w:rsidRDefault="0006681E" w:rsidP="00D22110">
      <w:pPr>
        <w:pStyle w:val="ListParagraph"/>
        <w:spacing w:line="360" w:lineRule="auto"/>
      </w:pPr>
    </w:p>
    <w:p w:rsidR="0006681E" w:rsidRDefault="0006681E" w:rsidP="00D22110">
      <w:pPr>
        <w:pStyle w:val="ListParagraph"/>
        <w:numPr>
          <w:ilvl w:val="0"/>
          <w:numId w:val="1"/>
        </w:numPr>
        <w:spacing w:line="360" w:lineRule="auto"/>
        <w:ind w:left="0" w:firstLine="1440"/>
      </w:pPr>
      <w:r w:rsidRPr="0006681E">
        <w:t>The Commission’s approval of the Settlement shall not be construed to represent approval of any Joint Petitioner’s position on any issue, except to the extent required to effectuate the terms and agreements of the Settlement in these and future proceedings involving Duquesne Light.</w:t>
      </w:r>
    </w:p>
    <w:p w:rsidR="0006681E" w:rsidRDefault="0006681E" w:rsidP="00D22110">
      <w:pPr>
        <w:pStyle w:val="ListParagraph"/>
        <w:spacing w:line="360" w:lineRule="auto"/>
      </w:pPr>
    </w:p>
    <w:p w:rsidR="0006681E" w:rsidRDefault="0066267F" w:rsidP="00D22110">
      <w:pPr>
        <w:pStyle w:val="ListParagraph"/>
        <w:numPr>
          <w:ilvl w:val="0"/>
          <w:numId w:val="1"/>
        </w:numPr>
        <w:spacing w:line="360" w:lineRule="auto"/>
        <w:ind w:left="0" w:firstLine="1440"/>
      </w:pPr>
      <w:r>
        <w:t>T</w:t>
      </w:r>
      <w:r w:rsidR="002D5461" w:rsidRPr="002D5461">
        <w:t xml:space="preserve">he Joint Petitioners </w:t>
      </w:r>
      <w:r>
        <w:t xml:space="preserve">agree </w:t>
      </w:r>
      <w:r w:rsidR="002D5461" w:rsidRPr="002D5461">
        <w:t>the Settlement is the result of compromise and does not necessarily represent the position(s) that would be advanced by any Joint Petitioner in these proceedings if they were fully litigated.</w:t>
      </w:r>
    </w:p>
    <w:p w:rsidR="002D5461" w:rsidRDefault="002D5461" w:rsidP="00D22110">
      <w:pPr>
        <w:pStyle w:val="ListParagraph"/>
        <w:spacing w:line="360" w:lineRule="auto"/>
      </w:pPr>
    </w:p>
    <w:p w:rsidR="002D5461" w:rsidRDefault="0066267F" w:rsidP="00D22110">
      <w:pPr>
        <w:pStyle w:val="ListParagraph"/>
        <w:numPr>
          <w:ilvl w:val="0"/>
          <w:numId w:val="1"/>
        </w:numPr>
        <w:spacing w:line="360" w:lineRule="auto"/>
        <w:ind w:left="0" w:firstLine="1440"/>
      </w:pPr>
      <w:r>
        <w:lastRenderedPageBreak/>
        <w:t>The Joint Petitioners present t</w:t>
      </w:r>
      <w:r w:rsidRPr="0066267F">
        <w:t xml:space="preserve">his Settlement only in </w:t>
      </w:r>
      <w:r>
        <w:t>the context of this proceeding</w:t>
      </w:r>
      <w:r w:rsidRPr="0066267F">
        <w:t xml:space="preserve"> in an effort to resolve the proceeding in a manner which is fair and reasonable.  The Settlement is the product of compromise between and among the Joint Petitioners.  This Settlement is presented without prejudice to any position that any of the Joint Petitioners may have advanced and without prejudice to </w:t>
      </w:r>
      <w:r w:rsidR="00247310">
        <w:t xml:space="preserve">any </w:t>
      </w:r>
      <w:r w:rsidRPr="0066267F">
        <w:t>position the Joint Petitioners may advance in the future on the merits of the issues in future proceedings</w:t>
      </w:r>
      <w:r w:rsidR="00247310">
        <w:t>,</w:t>
      </w:r>
      <w:r w:rsidRPr="0066267F">
        <w:t xml:space="preserve"> except to the extent necessary to effectuate the terms and conditions of this Settlement.</w:t>
      </w:r>
    </w:p>
    <w:p w:rsidR="00247310" w:rsidRDefault="00247310" w:rsidP="00D22110">
      <w:pPr>
        <w:pStyle w:val="ListParagraph"/>
        <w:spacing w:line="360" w:lineRule="auto"/>
      </w:pPr>
    </w:p>
    <w:p w:rsidR="00247310" w:rsidRDefault="006C3E8F" w:rsidP="00D22110">
      <w:pPr>
        <w:pStyle w:val="ListParagraph"/>
        <w:numPr>
          <w:ilvl w:val="0"/>
          <w:numId w:val="1"/>
        </w:numPr>
        <w:spacing w:line="360" w:lineRule="auto"/>
        <w:ind w:left="0" w:firstLine="1440"/>
      </w:pPr>
      <w:r>
        <w:t>If the presiding Administrative Law Judge</w:t>
      </w:r>
      <w:r w:rsidR="00924324" w:rsidRPr="00924324">
        <w:t xml:space="preserve"> adopts the Settlement without modification, the Joint Petitioners waive their individual rights to file </w:t>
      </w:r>
      <w:r w:rsidR="00875A7F">
        <w:t>e</w:t>
      </w:r>
      <w:r w:rsidR="00924324" w:rsidRPr="00924324">
        <w:t>xceptions with regard to the Settlement.</w:t>
      </w:r>
    </w:p>
    <w:p w:rsidR="00287DD5" w:rsidRDefault="00287DD5" w:rsidP="00D22110">
      <w:pPr>
        <w:pStyle w:val="ListParagraph"/>
        <w:spacing w:line="360" w:lineRule="auto"/>
      </w:pPr>
    </w:p>
    <w:p w:rsidR="00924324" w:rsidRDefault="00A04E00" w:rsidP="00D22110">
      <w:pPr>
        <w:spacing w:line="360" w:lineRule="auto"/>
        <w:jc w:val="center"/>
      </w:pPr>
      <w:r>
        <w:t>III.</w:t>
      </w:r>
      <w:r>
        <w:tab/>
      </w:r>
      <w:r>
        <w:rPr>
          <w:u w:val="single"/>
        </w:rPr>
        <w:t>DISCUSSION</w:t>
      </w:r>
    </w:p>
    <w:p w:rsidR="00A04E00" w:rsidRDefault="00A04E00" w:rsidP="00D22110">
      <w:pPr>
        <w:spacing w:line="360" w:lineRule="auto"/>
      </w:pPr>
    </w:p>
    <w:p w:rsidR="00A04E00" w:rsidRPr="00B530D2" w:rsidRDefault="00A04E00" w:rsidP="00D22110">
      <w:pPr>
        <w:spacing w:line="360" w:lineRule="auto"/>
      </w:pPr>
      <w:r>
        <w:tab/>
      </w:r>
      <w:r>
        <w:tab/>
      </w:r>
      <w:r w:rsidRPr="00B530D2">
        <w:t xml:space="preserve">The Commission encourages parties in contested on-the-record proceedings to settle cases.  </w:t>
      </w:r>
      <w:r w:rsidRPr="00B530D2">
        <w:rPr>
          <w:i/>
        </w:rPr>
        <w:t>See</w:t>
      </w:r>
      <w:r w:rsidRPr="00B530D2">
        <w:t xml:space="preserve">, 52 Pa. Code §5.231.  </w:t>
      </w:r>
      <w:r w:rsidR="00D15B09" w:rsidRPr="00D15B09">
        <w:t xml:space="preserve">The Commission has indicated that settlement results are often preferable to those achieved at the conclusion of a fully litigated proceeding.  </w:t>
      </w:r>
      <w:r w:rsidR="00D15B09" w:rsidRPr="00D15B09">
        <w:rPr>
          <w:i/>
        </w:rPr>
        <w:t>See</w:t>
      </w:r>
      <w:r w:rsidR="00D15B09">
        <w:t>,</w:t>
      </w:r>
      <w:r w:rsidR="00D15B09" w:rsidRPr="00D15B09">
        <w:t xml:space="preserve"> 52 Pa. Code §69.401.</w:t>
      </w:r>
      <w:r w:rsidR="00D15B09">
        <w:t xml:space="preserve">  </w:t>
      </w:r>
      <w:r w:rsidRPr="00B530D2">
        <w:t>Settlements eliminate the time, effort and expense of litigating a matter to its ultimate conclusion, which may entail review of the Commission’s decision by the appellate courts of Pennsylvania.  Such savings benefit not only the individual parties, but also the Commission and all ratepayers of a utility, who otherwise may have to bear the financial burden such litigation necessarily entails.</w:t>
      </w:r>
    </w:p>
    <w:p w:rsidR="00A04E00" w:rsidRPr="00B530D2" w:rsidRDefault="00A04E00" w:rsidP="00D22110">
      <w:pPr>
        <w:spacing w:line="360" w:lineRule="auto"/>
      </w:pPr>
    </w:p>
    <w:p w:rsidR="00510387" w:rsidRDefault="00A04E00" w:rsidP="00D22110">
      <w:pPr>
        <w:spacing w:line="360" w:lineRule="auto"/>
      </w:pPr>
      <w:r w:rsidRPr="00B530D2">
        <w:tab/>
      </w:r>
      <w:r w:rsidRPr="00B530D2">
        <w:tab/>
        <w:t xml:space="preserve">By definition, a “settlement” reflects a compromise of the positions that the parties of interest have </w:t>
      </w:r>
      <w:proofErr w:type="gramStart"/>
      <w:r w:rsidRPr="00B530D2">
        <w:t>held,</w:t>
      </w:r>
      <w:proofErr w:type="gramEnd"/>
      <w:r w:rsidRPr="00B530D2">
        <w:t xml:space="preserve"> which arguably fosters and promotes the public interest.  When active parties in a proceeding reach a settlement, the principal issue for Commission consideration is whether the agreement reached suits the public interest.  </w:t>
      </w:r>
      <w:proofErr w:type="gramStart"/>
      <w:r w:rsidRPr="00B530D2">
        <w:rPr>
          <w:u w:val="single"/>
        </w:rPr>
        <w:t>Pa. P.U.C. v. CS Water and Sewer Associates</w:t>
      </w:r>
      <w:r w:rsidRPr="00B530D2">
        <w:t>, 74 Pa. P.U.C. 767, 771 (1991).</w:t>
      </w:r>
      <w:proofErr w:type="gramEnd"/>
      <w:r w:rsidRPr="00B530D2">
        <w:t xml:space="preserve">  In their supporting statements, </w:t>
      </w:r>
      <w:r w:rsidR="003329E9">
        <w:t>Duquesne Light</w:t>
      </w:r>
      <w:r w:rsidRPr="00B530D2">
        <w:t>, OCA</w:t>
      </w:r>
      <w:r w:rsidR="003329E9">
        <w:t xml:space="preserve">, DII and </w:t>
      </w:r>
      <w:proofErr w:type="spellStart"/>
      <w:r w:rsidR="003329E9">
        <w:t>Comverge</w:t>
      </w:r>
      <w:proofErr w:type="spellEnd"/>
      <w:r w:rsidRPr="00B530D2">
        <w:t xml:space="preserve"> conclude, after extensive discovery and discussion, that this </w:t>
      </w:r>
      <w:r>
        <w:t>S</w:t>
      </w:r>
      <w:r w:rsidRPr="00B530D2">
        <w:t xml:space="preserve">ettlement resolves all contested issues in this case, it fairly balances the interests of </w:t>
      </w:r>
      <w:r w:rsidR="003329E9">
        <w:t xml:space="preserve">the </w:t>
      </w:r>
    </w:p>
    <w:p w:rsidR="00510387" w:rsidRDefault="00510387">
      <w:r>
        <w:br w:type="page"/>
      </w:r>
    </w:p>
    <w:p w:rsidR="00A04E00" w:rsidRDefault="003329E9" w:rsidP="00D22110">
      <w:pPr>
        <w:spacing w:line="360" w:lineRule="auto"/>
      </w:pPr>
      <w:r>
        <w:lastRenderedPageBreak/>
        <w:t xml:space="preserve">Company </w:t>
      </w:r>
      <w:r w:rsidR="00A04E00" w:rsidRPr="00B530D2">
        <w:t>and its ratepayers, it is in the public interest, it is consistent with the requirements of</w:t>
      </w:r>
      <w:r>
        <w:t xml:space="preserve"> Act 129</w:t>
      </w:r>
      <w:r w:rsidR="00A04E00" w:rsidRPr="00B530D2">
        <w:t>,</w:t>
      </w:r>
      <w:r w:rsidR="00653657">
        <w:rPr>
          <w:rStyle w:val="FootnoteReference"/>
        </w:rPr>
        <w:footnoteReference w:id="5"/>
      </w:r>
      <w:r w:rsidR="00A04E00" w:rsidRPr="00B530D2">
        <w:t xml:space="preserve"> and it should be approved.  The </w:t>
      </w:r>
      <w:r w:rsidR="007978E3">
        <w:t xml:space="preserve">Joint Petitioners </w:t>
      </w:r>
      <w:r w:rsidR="00A04E00" w:rsidRPr="00B530D2">
        <w:t xml:space="preserve">declare three reasons why adoption of this Settlement is in the public interest.  These reasons include satisfactory termination of this proceeding, avoidance of further litigation and possible appeals, and </w:t>
      </w:r>
      <w:r w:rsidR="007978E3">
        <w:t xml:space="preserve">modification of the Company’s DR Programs </w:t>
      </w:r>
      <w:r w:rsidR="00A04E00" w:rsidRPr="00B530D2">
        <w:t>that will be consistent with</w:t>
      </w:r>
      <w:r w:rsidR="00653657">
        <w:t xml:space="preserve"> the requirements of Act 129</w:t>
      </w:r>
      <w:r w:rsidR="00A04E00" w:rsidRPr="00B530D2">
        <w:t>.</w:t>
      </w:r>
    </w:p>
    <w:p w:rsidR="006B1252" w:rsidRDefault="006B1252" w:rsidP="00D22110">
      <w:pPr>
        <w:spacing w:line="360" w:lineRule="auto"/>
      </w:pPr>
    </w:p>
    <w:p w:rsidR="006B1252" w:rsidRDefault="002919ED" w:rsidP="00D22110">
      <w:pPr>
        <w:spacing w:line="360" w:lineRule="auto"/>
      </w:pPr>
      <w:r>
        <w:t>A.</w:t>
      </w:r>
      <w:r>
        <w:tab/>
      </w:r>
      <w:r w:rsidR="006B1252" w:rsidRPr="002919ED">
        <w:rPr>
          <w:u w:val="single"/>
        </w:rPr>
        <w:t>Duquesne Light’s Position</w:t>
      </w:r>
    </w:p>
    <w:p w:rsidR="006B1252" w:rsidRDefault="006B1252" w:rsidP="00D22110">
      <w:pPr>
        <w:spacing w:line="360" w:lineRule="auto"/>
      </w:pPr>
    </w:p>
    <w:p w:rsidR="006B1252" w:rsidRDefault="006B1252" w:rsidP="00D22110">
      <w:pPr>
        <w:spacing w:line="360" w:lineRule="auto"/>
      </w:pPr>
      <w:r>
        <w:tab/>
      </w:r>
      <w:r>
        <w:tab/>
      </w:r>
      <w:r w:rsidR="00621B26">
        <w:t>Duquesne Light submits the</w:t>
      </w:r>
      <w:r w:rsidR="00621B26" w:rsidRPr="00621B26">
        <w:t xml:space="preserve"> Settlement, if approved, will resolve all issues raised by the Joint Petitioners in this proceeding.  </w:t>
      </w:r>
      <w:r w:rsidR="00621B26">
        <w:t>The Company suggests that g</w:t>
      </w:r>
      <w:r w:rsidR="00621B26" w:rsidRPr="00621B26">
        <w:t>iven the diverse interests of the Joint Petitioners and the active role they have taken in this proceeding, the fact that they have resolved their respective issues in this proceeding, in and of itself, provides strong evidence that the Settlement is reasonable and in the public interest.  The Settlement was achieved after a thorough review of Duquesne Light’s proposal in this proceeding.  The Joint Petitioners undertook informal discovery and participated in a number of settlement discussions</w:t>
      </w:r>
      <w:r w:rsidR="00621B26">
        <w:t>,</w:t>
      </w:r>
      <w:r w:rsidR="00621B26" w:rsidRPr="00621B26">
        <w:t xml:space="preserve"> which ultimately led to the Settlement.  In addition, Duquesne Light served direct testimony for inclusion in the record</w:t>
      </w:r>
      <w:r w:rsidR="00621B26">
        <w:t>,</w:t>
      </w:r>
      <w:r w:rsidR="00621B26" w:rsidRPr="00621B26">
        <w:t xml:space="preserve"> which supports the Settlement.</w:t>
      </w:r>
      <w:r w:rsidR="00BF5CDF">
        <w:t xml:space="preserve">  Duquesne Light posits t</w:t>
      </w:r>
      <w:r w:rsidR="00BF5CDF" w:rsidRPr="00BF5CDF">
        <w:t>his Settlement is in the public interest</w:t>
      </w:r>
      <w:r w:rsidR="00BF5CDF">
        <w:t>,</w:t>
      </w:r>
      <w:r w:rsidR="00BF5CDF" w:rsidRPr="00BF5CDF">
        <w:t xml:space="preserve"> because it will allow </w:t>
      </w:r>
      <w:r w:rsidR="00BF5CDF">
        <w:t xml:space="preserve">it </w:t>
      </w:r>
      <w:r w:rsidR="00BF5CDF" w:rsidRPr="00BF5CDF">
        <w:t>to reallocate funding for programs under the EE&amp;C Plan to more efficient programs and to assist the Company in meeting its Act 129 obligations.</w:t>
      </w:r>
    </w:p>
    <w:p w:rsidR="00621B26" w:rsidRDefault="00621B26" w:rsidP="00D22110">
      <w:pPr>
        <w:spacing w:line="360" w:lineRule="auto"/>
      </w:pPr>
    </w:p>
    <w:p w:rsidR="00621B26" w:rsidRDefault="002919ED" w:rsidP="00D22110">
      <w:pPr>
        <w:spacing w:line="360" w:lineRule="auto"/>
        <w:ind w:left="720"/>
      </w:pPr>
      <w:r>
        <w:t>1.</w:t>
      </w:r>
      <w:r>
        <w:tab/>
      </w:r>
      <w:r w:rsidR="00C6215B" w:rsidRPr="002919ED">
        <w:rPr>
          <w:u w:val="single"/>
        </w:rPr>
        <w:t>Residential and Small/Midsized C&amp;I Demand Response Program</w:t>
      </w:r>
    </w:p>
    <w:p w:rsidR="00C6215B" w:rsidRDefault="00C6215B" w:rsidP="00D22110">
      <w:pPr>
        <w:spacing w:line="360" w:lineRule="auto"/>
      </w:pPr>
    </w:p>
    <w:p w:rsidR="00C6215B" w:rsidRDefault="00C6215B" w:rsidP="00D22110">
      <w:pPr>
        <w:spacing w:line="360" w:lineRule="auto"/>
      </w:pPr>
      <w:r>
        <w:tab/>
      </w:r>
      <w:r>
        <w:tab/>
      </w:r>
      <w:r w:rsidR="00B249CD" w:rsidRPr="00B249CD">
        <w:t xml:space="preserve">In its Petition, Duquesne Light proposed to eliminate the </w:t>
      </w:r>
      <w:r w:rsidR="00B249CD">
        <w:t xml:space="preserve">DR </w:t>
      </w:r>
      <w:r w:rsidR="00B249CD" w:rsidRPr="00B249CD">
        <w:t>Programs for Residential and Small/Midsized C&amp;I customers.  Under the Settlement, Duquesne Light will continue to offer the program to customers</w:t>
      </w:r>
      <w:r w:rsidR="00B249CD">
        <w:t>,</w:t>
      </w:r>
      <w:r w:rsidR="00B249CD" w:rsidRPr="00B249CD">
        <w:t xml:space="preserve"> but at a reduced funding level.</w:t>
      </w:r>
    </w:p>
    <w:p w:rsidR="00B249CD" w:rsidRDefault="00B249CD" w:rsidP="00D22110">
      <w:pPr>
        <w:spacing w:line="360" w:lineRule="auto"/>
      </w:pPr>
    </w:p>
    <w:p w:rsidR="00510387" w:rsidRDefault="00B249CD" w:rsidP="00D22110">
      <w:pPr>
        <w:spacing w:line="360" w:lineRule="auto"/>
      </w:pPr>
      <w:r>
        <w:tab/>
      </w:r>
      <w:r>
        <w:tab/>
      </w:r>
    </w:p>
    <w:p w:rsidR="00510387" w:rsidRDefault="00510387">
      <w:r>
        <w:br w:type="page"/>
      </w:r>
    </w:p>
    <w:p w:rsidR="00B249CD" w:rsidRDefault="00510387" w:rsidP="00D22110">
      <w:pPr>
        <w:spacing w:line="360" w:lineRule="auto"/>
      </w:pPr>
      <w:r>
        <w:lastRenderedPageBreak/>
        <w:tab/>
      </w:r>
      <w:r>
        <w:tab/>
      </w:r>
      <w:r w:rsidR="005374D0" w:rsidRPr="005374D0">
        <w:t xml:space="preserve">When Duquesne Light filed its </w:t>
      </w:r>
      <w:r w:rsidR="005374D0">
        <w:t xml:space="preserve">original </w:t>
      </w:r>
      <w:r w:rsidR="005374D0" w:rsidRPr="005374D0">
        <w:t xml:space="preserve">EE&amp;C Plan on June 30, 2009, it projected a total of 199 MW of demand reductions in order to create a buffer over the required goal of 113 MW </w:t>
      </w:r>
      <w:r w:rsidR="005374D0">
        <w:t>(</w:t>
      </w:r>
      <w:r w:rsidR="005374D0" w:rsidRPr="005374D0">
        <w:t>Duquesne Light St. 1</w:t>
      </w:r>
      <w:r w:rsidR="005374D0">
        <w:t xml:space="preserve"> at</w:t>
      </w:r>
      <w:r w:rsidR="005374D0" w:rsidRPr="005374D0">
        <w:t xml:space="preserve"> 3</w:t>
      </w:r>
      <w:r w:rsidR="005374D0">
        <w:t>)</w:t>
      </w:r>
      <w:r w:rsidR="005374D0" w:rsidRPr="005374D0">
        <w:t xml:space="preserve">.  To achieve this target, Duquesne Light projected that approximately 26.2 MW would come from the </w:t>
      </w:r>
      <w:r w:rsidR="005374D0">
        <w:t xml:space="preserve">DR </w:t>
      </w:r>
      <w:r w:rsidR="005374D0" w:rsidRPr="005374D0">
        <w:t xml:space="preserve">program for Residential and Small/Midsized C&amp;I customers. </w:t>
      </w:r>
      <w:r w:rsidR="005374D0">
        <w:t xml:space="preserve"> </w:t>
      </w:r>
      <w:r w:rsidR="005374D0" w:rsidRPr="005374D0">
        <w:rPr>
          <w:i/>
        </w:rPr>
        <w:t>Id</w:t>
      </w:r>
      <w:r w:rsidR="005374D0" w:rsidRPr="005374D0">
        <w:t xml:space="preserve">.  The proposed </w:t>
      </w:r>
      <w:r w:rsidR="005374D0">
        <w:t xml:space="preserve">DR </w:t>
      </w:r>
      <w:r w:rsidR="005374D0" w:rsidRPr="005374D0">
        <w:t xml:space="preserve">program was a Residential and Small/Midsized C&amp;I air conditioner cycling program.  At the time of the original EE&amp;C Plan, the total resource cost (“TRC”) for this program was 1.4.  </w:t>
      </w:r>
      <w:proofErr w:type="gramStart"/>
      <w:r w:rsidR="005374D0" w:rsidRPr="00146E1E">
        <w:rPr>
          <w:i/>
        </w:rPr>
        <w:t>Id</w:t>
      </w:r>
      <w:r w:rsidR="005374D0" w:rsidRPr="005374D0">
        <w:t>. at 5.</w:t>
      </w:r>
      <w:proofErr w:type="gramEnd"/>
      <w:r w:rsidR="005374D0" w:rsidRPr="005374D0">
        <w:t xml:space="preserve">  However, Duquesne Light now only expects to achieve 5 MW of peak shaving from Residential and Small/Midsized C&amp;I customers at a cost of $3.9 million for this program, which has dropped the TRC to 0.03 due to the shift in the cost to load reduction ratio.  </w:t>
      </w:r>
      <w:proofErr w:type="gramStart"/>
      <w:r w:rsidR="005374D0" w:rsidRPr="00146E1E">
        <w:rPr>
          <w:i/>
        </w:rPr>
        <w:t>Id</w:t>
      </w:r>
      <w:r w:rsidR="005374D0" w:rsidRPr="005374D0">
        <w:t>. at 6.</w:t>
      </w:r>
      <w:proofErr w:type="gramEnd"/>
      <w:r w:rsidR="005374D0" w:rsidRPr="005374D0">
        <w:t xml:space="preserve">  Indeed, since the Company began marketing this </w:t>
      </w:r>
      <w:r w:rsidR="00146E1E">
        <w:t xml:space="preserve">DR </w:t>
      </w:r>
      <w:r w:rsidR="005374D0" w:rsidRPr="005374D0">
        <w:t xml:space="preserve">program in March of 2011, only approximately 1,000 residential customers have expressed an interest in participating.  </w:t>
      </w:r>
      <w:proofErr w:type="gramStart"/>
      <w:r w:rsidR="005374D0" w:rsidRPr="00146E1E">
        <w:rPr>
          <w:i/>
        </w:rPr>
        <w:t>Id</w:t>
      </w:r>
      <w:r w:rsidR="005374D0" w:rsidRPr="005374D0">
        <w:t>. at 7.</w:t>
      </w:r>
      <w:proofErr w:type="gramEnd"/>
      <w:r w:rsidR="005374D0" w:rsidRPr="005374D0">
        <w:t xml:space="preserve">  For these reasons, the Company proposed to eliminate this program in its Petition.</w:t>
      </w:r>
    </w:p>
    <w:p w:rsidR="00146E1E" w:rsidRDefault="00146E1E" w:rsidP="00D22110">
      <w:pPr>
        <w:spacing w:line="360" w:lineRule="auto"/>
      </w:pPr>
    </w:p>
    <w:p w:rsidR="00146E1E" w:rsidRDefault="00146E1E" w:rsidP="00D22110">
      <w:pPr>
        <w:spacing w:line="360" w:lineRule="auto"/>
      </w:pPr>
      <w:r>
        <w:tab/>
      </w:r>
      <w:r>
        <w:tab/>
        <w:t xml:space="preserve">Now, </w:t>
      </w:r>
      <w:r w:rsidR="007F4E32">
        <w:t>r</w:t>
      </w:r>
      <w:r w:rsidRPr="00146E1E">
        <w:t>ather than eliminate the programs entirely, as a result of discussions with the parties and giving consideration to customers that already have signed on to the program, the Company agree</w:t>
      </w:r>
      <w:r w:rsidR="007F4E32">
        <w:t>s</w:t>
      </w:r>
      <w:r w:rsidRPr="00146E1E">
        <w:t xml:space="preserve"> in the Settlement to maintain the </w:t>
      </w:r>
      <w:r w:rsidR="007F4E32">
        <w:t xml:space="preserve">DR </w:t>
      </w:r>
      <w:r w:rsidRPr="00146E1E">
        <w:t>Program at a level commensurate with the level of custo</w:t>
      </w:r>
      <w:r w:rsidR="007F4E32">
        <w:t>mer interest in these programs</w:t>
      </w:r>
      <w:r w:rsidRPr="00146E1E">
        <w:t xml:space="preserve"> </w:t>
      </w:r>
      <w:r w:rsidR="007F4E32">
        <w:t>(</w:t>
      </w:r>
      <w:r w:rsidRPr="00146E1E">
        <w:t xml:space="preserve">Settlement </w:t>
      </w:r>
      <w:r w:rsidR="007F4E32">
        <w:t xml:space="preserve">at </w:t>
      </w:r>
      <w:r w:rsidRPr="00146E1E">
        <w:t>¶16</w:t>
      </w:r>
      <w:r w:rsidR="007F4E32">
        <w:t>)</w:t>
      </w:r>
      <w:r w:rsidRPr="00146E1E">
        <w:t xml:space="preserve">.  Specifically, if the Settlement is approved, Duquesne Light will combine and lower the budget levels for the Residential and Small/Midsized C&amp;I </w:t>
      </w:r>
      <w:r w:rsidR="007F4E32">
        <w:t>DR P</w:t>
      </w:r>
      <w:r w:rsidRPr="00146E1E">
        <w:t xml:space="preserve">rogram from the current budget levels of $2,928,071 and $992,200, respectively, to a combined $1,100,000 </w:t>
      </w:r>
      <w:r w:rsidR="007F4E32">
        <w:t>(</w:t>
      </w:r>
      <w:r w:rsidRPr="00146E1E">
        <w:t>Duquesne Light St. 2</w:t>
      </w:r>
      <w:r w:rsidR="007F4E32">
        <w:t xml:space="preserve"> at</w:t>
      </w:r>
      <w:r w:rsidRPr="00146E1E">
        <w:t xml:space="preserve"> 7-8, 11</w:t>
      </w:r>
      <w:r w:rsidR="007F4E32">
        <w:t>)</w:t>
      </w:r>
      <w:r w:rsidRPr="00146E1E">
        <w:t xml:space="preserve">.  The $1.1 million funding level was determined by reviewing the cost of equipment, installation, software and hosting, call center, operations, and program management for those customers expressing an interest in participating plus a buffer of about 300 possible future enrollee customers for a total of about 1,500 customers </w:t>
      </w:r>
      <w:r w:rsidR="003377C8">
        <w:t>(</w:t>
      </w:r>
      <w:r w:rsidRPr="00146E1E">
        <w:t>Duquesne Light St. 1</w:t>
      </w:r>
      <w:r w:rsidR="003377C8">
        <w:t xml:space="preserve"> at</w:t>
      </w:r>
      <w:r w:rsidRPr="00146E1E">
        <w:t xml:space="preserve"> 8-9</w:t>
      </w:r>
      <w:r w:rsidR="003377C8">
        <w:t>)</w:t>
      </w:r>
      <w:r w:rsidRPr="00146E1E">
        <w:t xml:space="preserve">.  At these levels, the Company expects to achieve approximately 1 MW of load reduction </w:t>
      </w:r>
      <w:r w:rsidR="003377C8">
        <w:t>(</w:t>
      </w:r>
      <w:r w:rsidRPr="00146E1E">
        <w:t>Duquesne Light St. 2</w:t>
      </w:r>
      <w:r w:rsidR="003377C8">
        <w:t xml:space="preserve"> at</w:t>
      </w:r>
      <w:r w:rsidRPr="00146E1E">
        <w:t xml:space="preserve"> 11</w:t>
      </w:r>
      <w:r w:rsidR="003377C8">
        <w:t>)</w:t>
      </w:r>
      <w:r w:rsidRPr="00146E1E">
        <w:t>.</w:t>
      </w:r>
    </w:p>
    <w:p w:rsidR="003377C8" w:rsidRDefault="003377C8" w:rsidP="00D22110">
      <w:pPr>
        <w:spacing w:line="360" w:lineRule="auto"/>
      </w:pPr>
    </w:p>
    <w:p w:rsidR="003377C8" w:rsidRDefault="003377C8" w:rsidP="00D22110">
      <w:pPr>
        <w:spacing w:line="360" w:lineRule="auto"/>
      </w:pPr>
      <w:r>
        <w:tab/>
      </w:r>
      <w:r>
        <w:tab/>
      </w:r>
      <w:r w:rsidR="002C0CF4" w:rsidRPr="002C0CF4">
        <w:t>The costs of the program will be split between Residential and Small/Midsized C&amp;I customers for cost recovery purpose</w:t>
      </w:r>
      <w:r w:rsidR="00471E7C">
        <w:t>s</w:t>
      </w:r>
      <w:r w:rsidR="002C0CF4" w:rsidRPr="002C0CF4">
        <w:t xml:space="preserve">, based on the number of Residential customers and Small/Midsized C&amp;I customers enrolled in the program.  Duquesne Light conducted a Request </w:t>
      </w:r>
      <w:proofErr w:type="gramStart"/>
      <w:r w:rsidR="002C0CF4" w:rsidRPr="002C0CF4">
        <w:t>For</w:t>
      </w:r>
      <w:proofErr w:type="gramEnd"/>
      <w:r w:rsidR="002C0CF4" w:rsidRPr="002C0CF4">
        <w:t xml:space="preserve"> Proposal (“RFP”), wherein </w:t>
      </w:r>
      <w:proofErr w:type="spellStart"/>
      <w:r w:rsidR="002C0CF4" w:rsidRPr="002C0CF4">
        <w:t>Comverge</w:t>
      </w:r>
      <w:proofErr w:type="spellEnd"/>
      <w:r w:rsidR="002C0CF4" w:rsidRPr="002C0CF4">
        <w:t xml:space="preserve"> was identified as the preferred conservation service </w:t>
      </w:r>
      <w:r w:rsidR="002C0CF4" w:rsidRPr="002C0CF4">
        <w:lastRenderedPageBreak/>
        <w:t xml:space="preserve">provider (“CSP”).  </w:t>
      </w:r>
      <w:proofErr w:type="gramStart"/>
      <w:r w:rsidR="002C0CF4" w:rsidRPr="002C0CF4">
        <w:rPr>
          <w:i/>
        </w:rPr>
        <w:t>Id</w:t>
      </w:r>
      <w:r w:rsidR="002C0CF4" w:rsidRPr="002C0CF4">
        <w:t>. at 8.</w:t>
      </w:r>
      <w:proofErr w:type="gramEnd"/>
      <w:r w:rsidR="002C0CF4" w:rsidRPr="002C0CF4">
        <w:t xml:space="preserve">  As provided for in Paragraph 16 of the Settlement, </w:t>
      </w:r>
      <w:proofErr w:type="spellStart"/>
      <w:r w:rsidR="002C0CF4" w:rsidRPr="002C0CF4">
        <w:t>Comverge</w:t>
      </w:r>
      <w:proofErr w:type="spellEnd"/>
      <w:r w:rsidR="002C0CF4" w:rsidRPr="002C0CF4">
        <w:t xml:space="preserve"> will be the sole CSP for the Residential and Small/Midsized C&amp;I </w:t>
      </w:r>
      <w:r w:rsidR="002C0CF4">
        <w:t>DR P</w:t>
      </w:r>
      <w:r w:rsidR="002C0CF4" w:rsidRPr="002C0CF4">
        <w:t>rogram</w:t>
      </w:r>
      <w:r w:rsidR="002C0CF4">
        <w:t>,</w:t>
      </w:r>
      <w:r w:rsidR="002C0CF4" w:rsidRPr="002C0CF4">
        <w:t xml:space="preserve"> if the Commission approves the Settlement.</w:t>
      </w:r>
    </w:p>
    <w:p w:rsidR="002C0CF4" w:rsidRDefault="002C0CF4" w:rsidP="00D22110">
      <w:pPr>
        <w:spacing w:line="360" w:lineRule="auto"/>
      </w:pPr>
    </w:p>
    <w:p w:rsidR="002C0CF4" w:rsidRDefault="002C0CF4" w:rsidP="00D22110">
      <w:pPr>
        <w:spacing w:line="360" w:lineRule="auto"/>
      </w:pPr>
      <w:r>
        <w:tab/>
      </w:r>
      <w:r>
        <w:tab/>
      </w:r>
      <w:r w:rsidRPr="002C0CF4">
        <w:t xml:space="preserve">The Settlement provides that Duquesne Light will transfer approximately $2,800,000 from the undersubscribed Residential and Small/Midsized C&amp;I </w:t>
      </w:r>
      <w:r>
        <w:t>DR P</w:t>
      </w:r>
      <w:r w:rsidRPr="002C0CF4">
        <w:t>rogram to programs that will more successfully target Residential and Small/Midsized C&amp;I energy consumption.  The following three Residential energy-efficiency programs, in particular, will benefit from the Settlement:</w:t>
      </w:r>
    </w:p>
    <w:p w:rsidR="00200980" w:rsidRDefault="00200980" w:rsidP="00A04E00">
      <w:pPr>
        <w:spacing w:line="360" w:lineRule="auto"/>
      </w:pPr>
    </w:p>
    <w:p w:rsidR="00200980" w:rsidRDefault="00817DB5" w:rsidP="00170529">
      <w:pPr>
        <w:pStyle w:val="ListParagraph"/>
        <w:numPr>
          <w:ilvl w:val="0"/>
          <w:numId w:val="10"/>
        </w:numPr>
        <w:ind w:left="1440" w:right="1440" w:firstLine="0"/>
      </w:pPr>
      <w:r w:rsidRPr="00817DB5">
        <w:t xml:space="preserve">A pilot Behavioral Modification and Education program targeting 50,000 high use customers will receive an amount not to exceed $850,000.  This new program will reach the highest 20% of residential users on Duquesne Light’s system </w:t>
      </w:r>
      <w:r w:rsidR="002C420F">
        <w:t>(</w:t>
      </w:r>
      <w:r w:rsidRPr="00817DB5">
        <w:t xml:space="preserve">Duquesne Light </w:t>
      </w:r>
      <w:proofErr w:type="spellStart"/>
      <w:r w:rsidRPr="00817DB5">
        <w:t>Exh</w:t>
      </w:r>
      <w:proofErr w:type="spellEnd"/>
      <w:r w:rsidR="002C420F">
        <w:t>.</w:t>
      </w:r>
      <w:r w:rsidRPr="00817DB5">
        <w:t xml:space="preserve"> DWD-2</w:t>
      </w:r>
      <w:r w:rsidR="002C420F">
        <w:t>)</w:t>
      </w:r>
      <w:r w:rsidRPr="00817DB5">
        <w:t>.</w:t>
      </w:r>
    </w:p>
    <w:p w:rsidR="002C420F" w:rsidRDefault="002C420F" w:rsidP="00817DB5">
      <w:pPr>
        <w:ind w:left="1440" w:right="1440"/>
      </w:pPr>
    </w:p>
    <w:p w:rsidR="002C420F" w:rsidRDefault="002C420F" w:rsidP="00817DB5">
      <w:pPr>
        <w:ind w:left="1440" w:right="1440"/>
      </w:pPr>
      <w:r>
        <w:t>b.</w:t>
      </w:r>
      <w:r>
        <w:tab/>
      </w:r>
      <w:r w:rsidR="008132D7" w:rsidRPr="008132D7">
        <w:t xml:space="preserve">The Schools Energy Pledge Program will receive an amount not to exceed $250,000.  This program has been greatly successful to date and the additional funds would allow more schools to participate.  </w:t>
      </w:r>
      <w:r w:rsidR="008132D7" w:rsidRPr="008132D7">
        <w:rPr>
          <w:i/>
        </w:rPr>
        <w:t>Id</w:t>
      </w:r>
      <w:r w:rsidR="008132D7" w:rsidRPr="008132D7">
        <w:t>.</w:t>
      </w:r>
    </w:p>
    <w:p w:rsidR="008132D7" w:rsidRDefault="008132D7" w:rsidP="00817DB5">
      <w:pPr>
        <w:ind w:left="1440" w:right="1440"/>
      </w:pPr>
    </w:p>
    <w:p w:rsidR="008132D7" w:rsidRDefault="00D60C48" w:rsidP="00817DB5">
      <w:pPr>
        <w:ind w:left="1440" w:right="1440"/>
      </w:pPr>
      <w:r>
        <w:t>c.</w:t>
      </w:r>
      <w:r>
        <w:tab/>
      </w:r>
      <w:r w:rsidR="00706D49" w:rsidRPr="00706D49">
        <w:t xml:space="preserve">To build upon the success of the upstream Compact Fluorescent Lamps discount program, an amount not to exceed $500,000 will be used to create in-store awareness of the residential rebate program, with a focus on energy efficient appliances and other energy efficient product rebates.  </w:t>
      </w:r>
      <w:r w:rsidR="00706D49" w:rsidRPr="00706D49">
        <w:rPr>
          <w:i/>
        </w:rPr>
        <w:t>Id</w:t>
      </w:r>
      <w:r w:rsidR="00706D49" w:rsidRPr="00706D49">
        <w:t>.</w:t>
      </w:r>
    </w:p>
    <w:p w:rsidR="00706D49" w:rsidRDefault="00706D49" w:rsidP="00706D49"/>
    <w:p w:rsidR="00706D49" w:rsidRDefault="00706D49" w:rsidP="00706D49"/>
    <w:p w:rsidR="00510387" w:rsidRDefault="004D772B" w:rsidP="00D22110">
      <w:pPr>
        <w:spacing w:line="360" w:lineRule="auto"/>
      </w:pPr>
      <w:r>
        <w:tab/>
      </w:r>
      <w:r>
        <w:tab/>
      </w:r>
      <w:r w:rsidRPr="004D772B">
        <w:t>Duquesne Light anticipates the pilot Behavioral Modification and Education program, which is modeled off a successful PPL Electric program,</w:t>
      </w:r>
      <w:r>
        <w:t xml:space="preserve"> will have a significant impact</w:t>
      </w:r>
      <w:r w:rsidRPr="004D772B">
        <w:t xml:space="preserve"> </w:t>
      </w:r>
      <w:r>
        <w:t>(</w:t>
      </w:r>
      <w:r w:rsidRPr="004D772B">
        <w:t>Duquesne Light St. 1</w:t>
      </w:r>
      <w:r>
        <w:t xml:space="preserve"> at</w:t>
      </w:r>
      <w:r w:rsidRPr="004D772B">
        <w:t xml:space="preserve"> 10</w:t>
      </w:r>
      <w:r>
        <w:t>)</w:t>
      </w:r>
      <w:r w:rsidRPr="004D772B">
        <w:t xml:space="preserve">.  The program will provide customers with customized Home Energy Reports that include individualized comparisons to other similar users, as well as actionable insights </w:t>
      </w:r>
      <w:r>
        <w:t>(</w:t>
      </w:r>
      <w:r w:rsidRPr="004D772B">
        <w:t xml:space="preserve">Duquesne Light </w:t>
      </w:r>
      <w:proofErr w:type="spellStart"/>
      <w:r w:rsidRPr="004D772B">
        <w:t>Exh</w:t>
      </w:r>
      <w:proofErr w:type="spellEnd"/>
      <w:r>
        <w:t>.</w:t>
      </w:r>
      <w:r w:rsidRPr="004D772B">
        <w:t xml:space="preserve"> </w:t>
      </w:r>
      <w:proofErr w:type="gramStart"/>
      <w:r w:rsidRPr="004D772B">
        <w:t>DWD-2</w:t>
      </w:r>
      <w:r>
        <w:t>)</w:t>
      </w:r>
      <w:r w:rsidRPr="004D772B">
        <w:t>.</w:t>
      </w:r>
      <w:proofErr w:type="gramEnd"/>
      <w:r w:rsidRPr="004D772B">
        <w:t xml:space="preserve">  The Schools Energy Pledge program and the Company’s Compact Fluorescent Lamps discount program will receive additional funds as part of the Settlement.  </w:t>
      </w:r>
      <w:r w:rsidRPr="004D772B">
        <w:rPr>
          <w:i/>
        </w:rPr>
        <w:t>Id</w:t>
      </w:r>
      <w:r w:rsidRPr="004D772B">
        <w:t xml:space="preserve">.  </w:t>
      </w:r>
      <w:r w:rsidR="00837E80">
        <w:t>The Company states t</w:t>
      </w:r>
      <w:r w:rsidRPr="004D772B">
        <w:t xml:space="preserve">hese two programs have already proven to be </w:t>
      </w:r>
    </w:p>
    <w:p w:rsidR="00510387" w:rsidRDefault="00510387">
      <w:r>
        <w:br w:type="page"/>
      </w:r>
    </w:p>
    <w:p w:rsidR="00706D49" w:rsidRDefault="004D772B" w:rsidP="00D22110">
      <w:pPr>
        <w:spacing w:line="360" w:lineRule="auto"/>
      </w:pPr>
      <w:proofErr w:type="gramStart"/>
      <w:r w:rsidRPr="004D772B">
        <w:lastRenderedPageBreak/>
        <w:t>successful</w:t>
      </w:r>
      <w:proofErr w:type="gramEnd"/>
      <w:r w:rsidRPr="004D772B">
        <w:t xml:space="preserve"> in reducing energy consumption.  Increased funding will enable additional schools to participate and provide the funding necessar</w:t>
      </w:r>
      <w:r w:rsidR="00837E80">
        <w:t>y to establish an in-</w:t>
      </w:r>
      <w:r w:rsidRPr="004D772B">
        <w:t>the</w:t>
      </w:r>
      <w:r w:rsidR="00837E80">
        <w:t>-</w:t>
      </w:r>
      <w:r w:rsidRPr="004D772B">
        <w:t xml:space="preserve">store awareness of the Company’s residential rebate program for CFLs.  </w:t>
      </w:r>
      <w:r w:rsidRPr="00837E80">
        <w:rPr>
          <w:i/>
        </w:rPr>
        <w:t>Id</w:t>
      </w:r>
      <w:r w:rsidRPr="004D772B">
        <w:t xml:space="preserve">.  For any remaining funds, Duquesne Light will develop proposals for the expenditure of the funds and present such proposals to its stakeholders for input and collaborative decision making.  If no clear preference is established, Duquesne </w:t>
      </w:r>
      <w:r w:rsidR="00837E80">
        <w:t xml:space="preserve">Light </w:t>
      </w:r>
      <w:r w:rsidRPr="004D772B">
        <w:t xml:space="preserve">will move any remaining funds to its residential energy efficiency rebate program.  </w:t>
      </w:r>
      <w:r w:rsidR="00837E80">
        <w:rPr>
          <w:i/>
        </w:rPr>
        <w:t>Id</w:t>
      </w:r>
      <w:r w:rsidRPr="004D772B">
        <w:t>.</w:t>
      </w:r>
    </w:p>
    <w:p w:rsidR="00837E80" w:rsidRDefault="00837E80" w:rsidP="00D22110">
      <w:pPr>
        <w:spacing w:line="360" w:lineRule="auto"/>
      </w:pPr>
    </w:p>
    <w:p w:rsidR="00837E80" w:rsidRDefault="00837E80" w:rsidP="00D22110">
      <w:pPr>
        <w:spacing w:line="360" w:lineRule="auto"/>
      </w:pPr>
      <w:r>
        <w:tab/>
      </w:r>
      <w:r>
        <w:tab/>
      </w:r>
      <w:r w:rsidR="00AE5C35" w:rsidRPr="00AE5C35">
        <w:t xml:space="preserve">Funds originally allocated to the Small/Midsized C&amp;I </w:t>
      </w:r>
      <w:r w:rsidR="00AE5C35">
        <w:t>DR P</w:t>
      </w:r>
      <w:r w:rsidR="00AE5C35" w:rsidRPr="00AE5C35">
        <w:t xml:space="preserve">rogram will be directed equally to the following Small/Medium energy efficiency programs:  Commercial Umbrella; Industrial Umbrella; Retail/Restaurant; Education; and Mixed Industry </w:t>
      </w:r>
      <w:r w:rsidR="00AE5C35">
        <w:t>(</w:t>
      </w:r>
      <w:r w:rsidR="00AE5C35" w:rsidRPr="00AE5C35">
        <w:t xml:space="preserve">Settlement </w:t>
      </w:r>
      <w:r w:rsidR="00AE5C35">
        <w:t>at </w:t>
      </w:r>
      <w:r w:rsidR="00AE5C35" w:rsidRPr="00AE5C35">
        <w:t>¶21</w:t>
      </w:r>
      <w:r w:rsidR="00AE5C35">
        <w:t>)</w:t>
      </w:r>
      <w:r w:rsidR="00AE5C35" w:rsidRPr="00AE5C35">
        <w:t xml:space="preserve">.  All existing commercial and industrial energy efficiency program/measures pass the TRC and are cost effective </w:t>
      </w:r>
      <w:r w:rsidR="00AE5C35">
        <w:t>(</w:t>
      </w:r>
      <w:r w:rsidR="00AE5C35" w:rsidRPr="00AE5C35">
        <w:t xml:space="preserve">Duquesne Light </w:t>
      </w:r>
      <w:proofErr w:type="spellStart"/>
      <w:r w:rsidR="00AE5C35" w:rsidRPr="00AE5C35">
        <w:t>Exh</w:t>
      </w:r>
      <w:proofErr w:type="spellEnd"/>
      <w:r w:rsidR="00AE5C35">
        <w:t>.</w:t>
      </w:r>
      <w:r w:rsidR="00AE5C35" w:rsidRPr="00AE5C35">
        <w:t xml:space="preserve"> </w:t>
      </w:r>
      <w:proofErr w:type="gramStart"/>
      <w:r w:rsidR="00AE5C35" w:rsidRPr="00AE5C35">
        <w:t>DWD-2</w:t>
      </w:r>
      <w:r w:rsidR="00AE5C35">
        <w:t>)</w:t>
      </w:r>
      <w:r w:rsidR="00AE5C35" w:rsidRPr="00AE5C35">
        <w:t>.</w:t>
      </w:r>
      <w:proofErr w:type="gramEnd"/>
      <w:r w:rsidR="00AE5C35" w:rsidRPr="00AE5C35">
        <w:t xml:space="preserve">  The only energy efficiency program that would not be funded is “Offices</w:t>
      </w:r>
      <w:r w:rsidR="00AE5C35">
        <w:t>,</w:t>
      </w:r>
      <w:r w:rsidR="00AE5C35" w:rsidRPr="00AE5C35">
        <w:t>” which does not need additional funding.</w:t>
      </w:r>
    </w:p>
    <w:p w:rsidR="00AE5C35" w:rsidRDefault="00AE5C35" w:rsidP="00D22110">
      <w:pPr>
        <w:spacing w:line="360" w:lineRule="auto"/>
      </w:pPr>
    </w:p>
    <w:p w:rsidR="00AE5C35" w:rsidRDefault="00AE5C35" w:rsidP="00D22110">
      <w:pPr>
        <w:spacing w:line="360" w:lineRule="auto"/>
      </w:pPr>
      <w:r>
        <w:tab/>
      </w:r>
      <w:r>
        <w:tab/>
      </w:r>
      <w:r w:rsidR="00367840" w:rsidRPr="00367840">
        <w:t xml:space="preserve">The Company believes it is in the public interest to continue to offer the </w:t>
      </w:r>
      <w:r w:rsidR="00367840">
        <w:t xml:space="preserve">DR </w:t>
      </w:r>
      <w:r w:rsidR="00367840" w:rsidRPr="00367840">
        <w:t xml:space="preserve">Program to its Residential and Small/Midsized </w:t>
      </w:r>
      <w:proofErr w:type="gramStart"/>
      <w:r w:rsidR="00367840" w:rsidRPr="00367840">
        <w:t>C&amp;I</w:t>
      </w:r>
      <w:proofErr w:type="gramEnd"/>
      <w:r w:rsidR="00367840" w:rsidRPr="00367840">
        <w:t xml:space="preserve"> customers, particularly to those that have expressed interest.  However, the original allocation of funds greatly exceeded the actual customer demand for those programs </w:t>
      </w:r>
      <w:r w:rsidR="00367840">
        <w:t>(</w:t>
      </w:r>
      <w:r w:rsidR="00367840" w:rsidRPr="00367840">
        <w:t>Duquesne Light St. 1</w:t>
      </w:r>
      <w:r w:rsidR="00367840">
        <w:t xml:space="preserve"> at</w:t>
      </w:r>
      <w:r w:rsidR="00367840" w:rsidRPr="00367840">
        <w:t xml:space="preserve"> 10-11</w:t>
      </w:r>
      <w:r w:rsidR="00367840">
        <w:t>)</w:t>
      </w:r>
      <w:r w:rsidR="00367840" w:rsidRPr="00367840">
        <w:t xml:space="preserve">.  By tailoring the programs to meet customer demand, the Settlement strikes the appropriate balance between meeting customer needs and allowing the Company to use funds in an efficient manner, and provides Duquesne Light with a better opportunity to meet its Act 129 obligations.  By redirecting funds that would otherwise go unused to programs that will be successful, </w:t>
      </w:r>
      <w:r w:rsidR="00367840">
        <w:t xml:space="preserve">Duquesne Light opines </w:t>
      </w:r>
      <w:r w:rsidR="00367840" w:rsidRPr="00367840">
        <w:t>the Settlement increases the Company’s efficiency, and is therefore in the public interest.</w:t>
      </w:r>
    </w:p>
    <w:p w:rsidR="00367840" w:rsidRDefault="00367840" w:rsidP="00D22110">
      <w:pPr>
        <w:spacing w:line="360" w:lineRule="auto"/>
      </w:pPr>
    </w:p>
    <w:p w:rsidR="00367840" w:rsidRDefault="005F33E4" w:rsidP="00D22110">
      <w:pPr>
        <w:spacing w:line="360" w:lineRule="auto"/>
      </w:pPr>
      <w:r>
        <w:tab/>
        <w:t>2.</w:t>
      </w:r>
      <w:r>
        <w:tab/>
      </w:r>
      <w:r w:rsidRPr="005F33E4">
        <w:rPr>
          <w:u w:val="single"/>
        </w:rPr>
        <w:t xml:space="preserve">Large C&amp;I </w:t>
      </w:r>
      <w:proofErr w:type="spellStart"/>
      <w:r w:rsidRPr="005F33E4">
        <w:rPr>
          <w:u w:val="single"/>
        </w:rPr>
        <w:t>Curtailable</w:t>
      </w:r>
      <w:proofErr w:type="spellEnd"/>
      <w:r w:rsidRPr="005F33E4">
        <w:rPr>
          <w:u w:val="single"/>
        </w:rPr>
        <w:t xml:space="preserve"> Load Program</w:t>
      </w:r>
    </w:p>
    <w:p w:rsidR="005F33E4" w:rsidRDefault="005F33E4" w:rsidP="00D22110">
      <w:pPr>
        <w:spacing w:line="360" w:lineRule="auto"/>
      </w:pPr>
    </w:p>
    <w:p w:rsidR="00510387" w:rsidRDefault="005F33E4" w:rsidP="00D22110">
      <w:pPr>
        <w:spacing w:line="360" w:lineRule="auto"/>
      </w:pPr>
      <w:r>
        <w:tab/>
      </w:r>
      <w:r>
        <w:tab/>
      </w:r>
      <w:r w:rsidRPr="005F33E4">
        <w:t xml:space="preserve">The Settlement will allow Duquesne Light to increase the funding available to one of its most cost effective </w:t>
      </w:r>
      <w:r>
        <w:t>DR</w:t>
      </w:r>
      <w:r w:rsidR="00B17B1E">
        <w:t xml:space="preserve"> </w:t>
      </w:r>
      <w:r w:rsidRPr="005F33E4">
        <w:t xml:space="preserve">programs.  As approved in the Company’s </w:t>
      </w:r>
      <w:r w:rsidR="00B17B1E">
        <w:t xml:space="preserve">original </w:t>
      </w:r>
      <w:r w:rsidRPr="005F33E4">
        <w:t xml:space="preserve">EE&amp;C Plan, the Large C&amp;I </w:t>
      </w:r>
      <w:proofErr w:type="spellStart"/>
      <w:r w:rsidRPr="005F33E4">
        <w:t>Curtailable</w:t>
      </w:r>
      <w:proofErr w:type="spellEnd"/>
      <w:r w:rsidRPr="005F33E4">
        <w:t xml:space="preserve"> Load program is a program targeted to approximately 50 participants </w:t>
      </w:r>
    </w:p>
    <w:p w:rsidR="00510387" w:rsidRDefault="00510387">
      <w:r>
        <w:br w:type="page"/>
      </w:r>
    </w:p>
    <w:p w:rsidR="005F33E4" w:rsidRDefault="005F33E4" w:rsidP="00D22110">
      <w:pPr>
        <w:spacing w:line="360" w:lineRule="auto"/>
      </w:pPr>
      <w:proofErr w:type="gramStart"/>
      <w:r w:rsidRPr="005F33E4">
        <w:lastRenderedPageBreak/>
        <w:t>ra</w:t>
      </w:r>
      <w:r w:rsidR="00B17B1E">
        <w:t>mping</w:t>
      </w:r>
      <w:proofErr w:type="gramEnd"/>
      <w:r w:rsidR="00B17B1E">
        <w:t xml:space="preserve"> up to the summer of 2012</w:t>
      </w:r>
      <w:r w:rsidRPr="005F33E4">
        <w:t xml:space="preserve"> </w:t>
      </w:r>
      <w:r w:rsidR="00B17B1E">
        <w:t>(</w:t>
      </w:r>
      <w:r w:rsidRPr="005F33E4">
        <w:t>Duquesne Light St. 1</w:t>
      </w:r>
      <w:r w:rsidR="00B17B1E">
        <w:t xml:space="preserve"> at</w:t>
      </w:r>
      <w:r w:rsidRPr="005F33E4">
        <w:t xml:space="preserve"> 5</w:t>
      </w:r>
      <w:r w:rsidR="00B17B1E">
        <w:t>)</w:t>
      </w:r>
      <w:r w:rsidRPr="005F33E4">
        <w:t xml:space="preserve">.  Under the program, participating customers would be enrolled in advance of the 2012 summer season with a target load reduction for each facility </w:t>
      </w:r>
      <w:r w:rsidR="00B17B1E">
        <w:t>(</w:t>
      </w:r>
      <w:r w:rsidRPr="005F33E4">
        <w:t>Duquesne Light St. 2</w:t>
      </w:r>
      <w:r w:rsidR="00B17B1E">
        <w:t xml:space="preserve"> at</w:t>
      </w:r>
      <w:r w:rsidRPr="005F33E4">
        <w:t xml:space="preserve"> 12</w:t>
      </w:r>
      <w:r w:rsidR="00B17B1E">
        <w:t>)</w:t>
      </w:r>
      <w:r w:rsidRPr="005F33E4">
        <w:t>.  Facilities would be called upon during peak hours to reduce load based on a few hours</w:t>
      </w:r>
      <w:r w:rsidR="00B17B1E">
        <w:t>’</w:t>
      </w:r>
      <w:r w:rsidRPr="005F33E4">
        <w:t xml:space="preserve"> notice.  </w:t>
      </w:r>
      <w:r w:rsidRPr="00B17B1E">
        <w:rPr>
          <w:i/>
        </w:rPr>
        <w:t>Id</w:t>
      </w:r>
      <w:r w:rsidRPr="005F33E4">
        <w:t xml:space="preserve">. </w:t>
      </w:r>
      <w:r w:rsidR="00910E60">
        <w:t xml:space="preserve"> </w:t>
      </w:r>
      <w:r w:rsidRPr="005F33E4">
        <w:t xml:space="preserve">Facilities would be paid for performance on the basis of the load reduction for each curtailment event.  </w:t>
      </w:r>
      <w:r w:rsidRPr="00B17B1E">
        <w:rPr>
          <w:i/>
        </w:rPr>
        <w:t>Id</w:t>
      </w:r>
      <w:r w:rsidRPr="005F33E4">
        <w:t xml:space="preserve">.  The total budget for this program was $556,656, including incentives.  </w:t>
      </w:r>
      <w:r w:rsidRPr="00B17B1E">
        <w:rPr>
          <w:i/>
        </w:rPr>
        <w:t>Id</w:t>
      </w:r>
      <w:r w:rsidRPr="005F33E4">
        <w:t>.</w:t>
      </w:r>
    </w:p>
    <w:p w:rsidR="00B17B1E" w:rsidRDefault="00B17B1E" w:rsidP="00D22110">
      <w:pPr>
        <w:spacing w:line="360" w:lineRule="auto"/>
      </w:pPr>
    </w:p>
    <w:p w:rsidR="00B17B1E" w:rsidRDefault="00B17B1E" w:rsidP="00D22110">
      <w:pPr>
        <w:spacing w:line="360" w:lineRule="auto"/>
      </w:pPr>
      <w:r>
        <w:tab/>
      </w:r>
      <w:r>
        <w:tab/>
      </w:r>
      <w:r w:rsidR="0065430A" w:rsidRPr="0065430A">
        <w:t xml:space="preserve">Duquesne Light’s Act 129 target for peak load reduction is 113 MW.  </w:t>
      </w:r>
      <w:r w:rsidR="0065430A">
        <w:t>R</w:t>
      </w:r>
      <w:r w:rsidR="0065430A" w:rsidRPr="0065430A">
        <w:t xml:space="preserve">ecruiting more capacity from Large C&amp;I customers under the </w:t>
      </w:r>
      <w:proofErr w:type="spellStart"/>
      <w:r w:rsidR="0065430A" w:rsidRPr="0065430A">
        <w:t>Curtailable</w:t>
      </w:r>
      <w:proofErr w:type="spellEnd"/>
      <w:r w:rsidR="0065430A" w:rsidRPr="0065430A">
        <w:t xml:space="preserve"> Load program, </w:t>
      </w:r>
      <w:r w:rsidR="0065430A">
        <w:t xml:space="preserve">Duquesne Light suggests </w:t>
      </w:r>
      <w:r w:rsidR="0065430A" w:rsidRPr="0065430A">
        <w:t>will provide the Company with a greater chance t</w:t>
      </w:r>
      <w:r w:rsidR="0065430A">
        <w:t>hat the target will be reached. (</w:t>
      </w:r>
      <w:r w:rsidR="0065430A" w:rsidRPr="0065430A">
        <w:t>Duquesne Light St. 2</w:t>
      </w:r>
      <w:r w:rsidR="0065430A">
        <w:t xml:space="preserve"> at</w:t>
      </w:r>
      <w:r w:rsidR="0065430A" w:rsidRPr="0065430A">
        <w:t xml:space="preserve"> 13</w:t>
      </w:r>
      <w:r w:rsidR="0065430A">
        <w:t>)</w:t>
      </w:r>
      <w:r w:rsidR="0065430A" w:rsidRPr="0065430A">
        <w:t xml:space="preserve">.  However, it appears that an increase in the budget of the </w:t>
      </w:r>
      <w:proofErr w:type="spellStart"/>
      <w:r w:rsidR="0065430A" w:rsidRPr="0065430A">
        <w:t>Curtailable</w:t>
      </w:r>
      <w:proofErr w:type="spellEnd"/>
      <w:r w:rsidR="0065430A" w:rsidRPr="0065430A">
        <w:t xml:space="preserve"> Load program will be needed to reach the target.  </w:t>
      </w:r>
      <w:r w:rsidR="0065430A" w:rsidRPr="00877C4A">
        <w:rPr>
          <w:i/>
        </w:rPr>
        <w:t>Id</w:t>
      </w:r>
      <w:r w:rsidR="0065430A" w:rsidRPr="0065430A">
        <w:t xml:space="preserve">.  As explained below, the Company now projects that it will be able to achieve 40 MWs of demand reduction in this class at a cost of approximately $13,916/MW.  Through the Settlement, the Company will be able to try to achieve an additional 20 MWs of reductions for a total of up to 60 MW of demand reduction through its </w:t>
      </w:r>
      <w:proofErr w:type="spellStart"/>
      <w:r w:rsidR="0065430A" w:rsidRPr="0065430A">
        <w:t>Curtailable</w:t>
      </w:r>
      <w:proofErr w:type="spellEnd"/>
      <w:r w:rsidR="0065430A" w:rsidRPr="0065430A">
        <w:t xml:space="preserve"> Load Program</w:t>
      </w:r>
      <w:r w:rsidR="00877C4A">
        <w:t xml:space="preserve">.  </w:t>
      </w:r>
      <w:proofErr w:type="gramStart"/>
      <w:r w:rsidR="00877C4A">
        <w:rPr>
          <w:i/>
        </w:rPr>
        <w:t>Id</w:t>
      </w:r>
      <w:r w:rsidR="00877C4A">
        <w:t>. at</w:t>
      </w:r>
      <w:r w:rsidR="0065430A" w:rsidRPr="0065430A">
        <w:t xml:space="preserve"> 14.</w:t>
      </w:r>
      <w:proofErr w:type="gramEnd"/>
    </w:p>
    <w:p w:rsidR="00877C4A" w:rsidRDefault="00877C4A" w:rsidP="00D22110">
      <w:pPr>
        <w:spacing w:line="360" w:lineRule="auto"/>
      </w:pPr>
    </w:p>
    <w:p w:rsidR="00877C4A" w:rsidRDefault="00877C4A" w:rsidP="00D22110">
      <w:pPr>
        <w:spacing w:line="360" w:lineRule="auto"/>
      </w:pPr>
      <w:r>
        <w:tab/>
      </w:r>
      <w:r>
        <w:tab/>
      </w:r>
      <w:r w:rsidR="00F32E6F" w:rsidRPr="00F32E6F">
        <w:t xml:space="preserve">When Duquesne Light filed its </w:t>
      </w:r>
      <w:r w:rsidR="009515F6">
        <w:t xml:space="preserve">original </w:t>
      </w:r>
      <w:r w:rsidR="00F32E6F" w:rsidRPr="00F32E6F">
        <w:t xml:space="preserve">EE&amp;C Plan on June 30, 2009, it projected a total of 10.8 MW of demand reduction from the </w:t>
      </w:r>
      <w:proofErr w:type="spellStart"/>
      <w:r w:rsidR="00F32E6F" w:rsidRPr="00F32E6F">
        <w:t>Curtailable</w:t>
      </w:r>
      <w:proofErr w:type="spellEnd"/>
      <w:r w:rsidR="00F32E6F" w:rsidRPr="00F32E6F">
        <w:t xml:space="preserve"> Load Program, with a TRC value of 4.4 </w:t>
      </w:r>
      <w:r w:rsidR="009515F6">
        <w:t>(</w:t>
      </w:r>
      <w:r w:rsidR="00F32E6F" w:rsidRPr="00F32E6F">
        <w:t>Duquesne Light St. 1</w:t>
      </w:r>
      <w:r w:rsidR="009515F6">
        <w:t xml:space="preserve"> at</w:t>
      </w:r>
      <w:r w:rsidR="00F32E6F" w:rsidRPr="00F32E6F">
        <w:t xml:space="preserve"> 5</w:t>
      </w:r>
      <w:r w:rsidR="009515F6">
        <w:t>)</w:t>
      </w:r>
      <w:r w:rsidR="00F32E6F" w:rsidRPr="00F32E6F">
        <w:t xml:space="preserve">.  In March 2010, Duquesne Light issued an RFP </w:t>
      </w:r>
      <w:r w:rsidR="009515F6">
        <w:t>(</w:t>
      </w:r>
      <w:r w:rsidR="00F32E6F" w:rsidRPr="00F32E6F">
        <w:t>Duquesne Light St. 2</w:t>
      </w:r>
      <w:r w:rsidR="009515F6">
        <w:t xml:space="preserve"> at</w:t>
      </w:r>
      <w:r w:rsidR="00F32E6F" w:rsidRPr="00F32E6F">
        <w:t xml:space="preserve"> 13</w:t>
      </w:r>
      <w:r w:rsidR="009515F6">
        <w:t>)</w:t>
      </w:r>
      <w:r w:rsidR="00F32E6F" w:rsidRPr="00F32E6F">
        <w:t xml:space="preserve">.  In subsequent discussions with the CSP, Duquesne Light learned the CSP was both capable and willing to recruit more MWs of load reduction at an efficient cost.  </w:t>
      </w:r>
      <w:r w:rsidR="00F32E6F" w:rsidRPr="009515F6">
        <w:rPr>
          <w:i/>
        </w:rPr>
        <w:t>Id</w:t>
      </w:r>
      <w:r w:rsidR="00F32E6F" w:rsidRPr="00F32E6F">
        <w:t xml:space="preserve">.  As a result of these discussions, the Program is currently expected to result in 40 MW of reduction, with a TRC value of 1.37 </w:t>
      </w:r>
      <w:r w:rsidR="009515F6">
        <w:t>(</w:t>
      </w:r>
      <w:r w:rsidR="00F32E6F" w:rsidRPr="00F32E6F">
        <w:t>Duquesne Light St. 3</w:t>
      </w:r>
      <w:r w:rsidR="009515F6">
        <w:t xml:space="preserve"> at</w:t>
      </w:r>
      <w:r w:rsidR="00F32E6F" w:rsidRPr="00F32E6F">
        <w:t xml:space="preserve"> 4; Duquesne Light </w:t>
      </w:r>
      <w:proofErr w:type="spellStart"/>
      <w:r w:rsidR="00F32E6F" w:rsidRPr="00F32E6F">
        <w:t>Exh</w:t>
      </w:r>
      <w:proofErr w:type="spellEnd"/>
      <w:r w:rsidR="009515F6">
        <w:t>.</w:t>
      </w:r>
      <w:r w:rsidR="00F32E6F" w:rsidRPr="00F32E6F">
        <w:t xml:space="preserve"> </w:t>
      </w:r>
      <w:proofErr w:type="gramStart"/>
      <w:r w:rsidR="00F32E6F" w:rsidRPr="00F32E6F">
        <w:t>TC-2</w:t>
      </w:r>
      <w:r w:rsidR="009515F6">
        <w:t>)</w:t>
      </w:r>
      <w:r w:rsidR="00F32E6F" w:rsidRPr="00F32E6F">
        <w:t>.</w:t>
      </w:r>
      <w:proofErr w:type="gramEnd"/>
    </w:p>
    <w:p w:rsidR="009515F6" w:rsidRDefault="009515F6" w:rsidP="00D22110">
      <w:pPr>
        <w:spacing w:line="360" w:lineRule="auto"/>
      </w:pPr>
    </w:p>
    <w:p w:rsidR="00510387" w:rsidRDefault="008B6C35" w:rsidP="00D22110">
      <w:pPr>
        <w:spacing w:line="360" w:lineRule="auto"/>
      </w:pPr>
      <w:r>
        <w:tab/>
      </w:r>
      <w:r>
        <w:tab/>
      </w:r>
      <w:r w:rsidRPr="008B6C35">
        <w:t xml:space="preserve">To achieve the 40 MW of demand reduction, the Company will spend the full amount of the approved program budget, $556,000.  </w:t>
      </w:r>
      <w:r w:rsidRPr="008B6C35">
        <w:rPr>
          <w:i/>
        </w:rPr>
        <w:t>Id</w:t>
      </w:r>
      <w:r w:rsidRPr="008B6C35">
        <w:t>.  However, it expect</w:t>
      </w:r>
      <w:r>
        <w:t>s approximately 20 </w:t>
      </w:r>
      <w:r w:rsidRPr="008B6C35">
        <w:t xml:space="preserve">MW of demand reduction from the </w:t>
      </w:r>
      <w:proofErr w:type="spellStart"/>
      <w:r w:rsidRPr="008B6C35">
        <w:t>Curtailable</w:t>
      </w:r>
      <w:proofErr w:type="spellEnd"/>
      <w:r w:rsidRPr="008B6C35">
        <w:t xml:space="preserve"> Load Program with an additional expenditure of about $300,000 </w:t>
      </w:r>
      <w:r>
        <w:t>(</w:t>
      </w:r>
      <w:r w:rsidRPr="008B6C35">
        <w:t>Duquesne Light St. 2</w:t>
      </w:r>
      <w:r>
        <w:t xml:space="preserve"> at</w:t>
      </w:r>
      <w:r w:rsidRPr="008B6C35">
        <w:t xml:space="preserve"> 13</w:t>
      </w:r>
      <w:r>
        <w:t>)</w:t>
      </w:r>
      <w:r w:rsidRPr="008B6C35">
        <w:t xml:space="preserve">.  Under the Settlement, the Company will </w:t>
      </w:r>
    </w:p>
    <w:p w:rsidR="00510387" w:rsidRDefault="00510387">
      <w:r>
        <w:br w:type="page"/>
      </w:r>
    </w:p>
    <w:p w:rsidR="009515F6" w:rsidRDefault="008B6C35" w:rsidP="00D22110">
      <w:pPr>
        <w:spacing w:line="360" w:lineRule="auto"/>
      </w:pPr>
      <w:proofErr w:type="gramStart"/>
      <w:r w:rsidRPr="008B6C35">
        <w:lastRenderedPageBreak/>
        <w:t>transfer</w:t>
      </w:r>
      <w:proofErr w:type="gramEnd"/>
      <w:r w:rsidRPr="008B6C35">
        <w:t xml:space="preserve"> funds currently budgeted for the existing Large C&amp;I energy efficiency programs to its </w:t>
      </w:r>
      <w:proofErr w:type="spellStart"/>
      <w:r w:rsidRPr="008B6C35">
        <w:t>Curtailable</w:t>
      </w:r>
      <w:proofErr w:type="spellEnd"/>
      <w:r w:rsidRPr="008B6C35">
        <w:t xml:space="preserve"> Load Program to achieve the additional 20 MW of demand reductions </w:t>
      </w:r>
      <w:r w:rsidR="00B42D49">
        <w:t>(</w:t>
      </w:r>
      <w:r w:rsidRPr="008B6C35">
        <w:t xml:space="preserve">Settlement </w:t>
      </w:r>
      <w:r w:rsidR="00B42D49">
        <w:t>at ¶</w:t>
      </w:r>
      <w:r w:rsidRPr="008B6C35">
        <w:t>18</w:t>
      </w:r>
      <w:r w:rsidR="00B42D49">
        <w:t>)</w:t>
      </w:r>
      <w:r w:rsidRPr="008B6C35">
        <w:t>.</w:t>
      </w:r>
    </w:p>
    <w:p w:rsidR="00910E60" w:rsidRDefault="00B42D49" w:rsidP="00D22110">
      <w:pPr>
        <w:spacing w:line="360" w:lineRule="auto"/>
      </w:pPr>
      <w:r>
        <w:tab/>
      </w:r>
    </w:p>
    <w:p w:rsidR="00B42D49" w:rsidRDefault="00910E60" w:rsidP="00D22110">
      <w:pPr>
        <w:spacing w:line="360" w:lineRule="auto"/>
      </w:pPr>
      <w:r>
        <w:tab/>
      </w:r>
      <w:r w:rsidR="00B42D49">
        <w:tab/>
      </w:r>
      <w:r w:rsidR="00001422" w:rsidRPr="00001422">
        <w:t xml:space="preserve">Duquesne Light’s peak load reduction under Act 129 is 113 MW.  </w:t>
      </w:r>
      <w:r w:rsidR="00001422">
        <w:t>It believes t</w:t>
      </w:r>
      <w:r w:rsidR="00001422" w:rsidRPr="00001422">
        <w:t xml:space="preserve">he additional load reduction that can be obtained from Large C&amp;I customers under the </w:t>
      </w:r>
      <w:proofErr w:type="spellStart"/>
      <w:r w:rsidR="00001422" w:rsidRPr="00001422">
        <w:t>Curtailable</w:t>
      </w:r>
      <w:proofErr w:type="spellEnd"/>
      <w:r w:rsidR="00001422" w:rsidRPr="00001422">
        <w:t xml:space="preserve"> Load Program will help </w:t>
      </w:r>
      <w:r w:rsidR="00001422">
        <w:t xml:space="preserve">it </w:t>
      </w:r>
      <w:r w:rsidR="00001422" w:rsidRPr="00001422">
        <w:t xml:space="preserve">meet its load reduction goal, in a cost effective manner and </w:t>
      </w:r>
      <w:r w:rsidR="00001422">
        <w:t xml:space="preserve">it </w:t>
      </w:r>
      <w:r w:rsidR="00001422" w:rsidRPr="00001422">
        <w:t xml:space="preserve">may, in fact, </w:t>
      </w:r>
      <w:r w:rsidR="00001422">
        <w:t xml:space="preserve">be </w:t>
      </w:r>
      <w:r w:rsidR="00001422" w:rsidRPr="00001422">
        <w:t xml:space="preserve">necessary to reach its load reduction target </w:t>
      </w:r>
      <w:r w:rsidR="00001422">
        <w:t>(</w:t>
      </w:r>
      <w:r w:rsidR="00001422" w:rsidRPr="00001422">
        <w:t>Duquesne Light St. 2</w:t>
      </w:r>
      <w:r w:rsidR="00001422">
        <w:t xml:space="preserve"> at</w:t>
      </w:r>
      <w:r w:rsidR="00001422" w:rsidRPr="00001422">
        <w:t xml:space="preserve"> 14</w:t>
      </w:r>
      <w:r w:rsidR="00001422">
        <w:t>)</w:t>
      </w:r>
      <w:r w:rsidR="00001422" w:rsidRPr="00001422">
        <w:t>.</w:t>
      </w:r>
    </w:p>
    <w:p w:rsidR="00001422" w:rsidRDefault="00001422" w:rsidP="00D22110">
      <w:pPr>
        <w:spacing w:line="360" w:lineRule="auto"/>
      </w:pPr>
    </w:p>
    <w:p w:rsidR="00001422" w:rsidRDefault="000C6152" w:rsidP="00D22110">
      <w:pPr>
        <w:spacing w:line="360" w:lineRule="auto"/>
      </w:pPr>
      <w:r>
        <w:tab/>
      </w:r>
      <w:r>
        <w:tab/>
      </w:r>
      <w:r w:rsidR="000A56B6" w:rsidRPr="000A56B6">
        <w:t xml:space="preserve">In response to requests of Duquesne Light’s Large C&amp;I customers, the Settlement also provides flexibility to Large C&amp;I customers in how they may participate in the </w:t>
      </w:r>
      <w:proofErr w:type="spellStart"/>
      <w:r w:rsidR="000A56B6" w:rsidRPr="000A56B6">
        <w:t>Curtailable</w:t>
      </w:r>
      <w:proofErr w:type="spellEnd"/>
      <w:r w:rsidR="000A56B6" w:rsidRPr="000A56B6">
        <w:t xml:space="preserve"> Load Program.  Under the Settlement, Duquesne Light has agreed to accept some or all of the additional 20 MW of demand reductions from Large C&amp;I customers directly or through the customer CSPs, rather than requiring that all demand reductions be administered through Duquesne Light’s </w:t>
      </w:r>
      <w:proofErr w:type="spellStart"/>
      <w:r w:rsidR="000A56B6" w:rsidRPr="000A56B6">
        <w:t>Curtailable</w:t>
      </w:r>
      <w:proofErr w:type="spellEnd"/>
      <w:r w:rsidR="000A56B6" w:rsidRPr="000A56B6">
        <w:t xml:space="preserve"> Load Program CSP </w:t>
      </w:r>
      <w:r w:rsidR="000A56B6">
        <w:t>(</w:t>
      </w:r>
      <w:r w:rsidR="000A56B6" w:rsidRPr="000A56B6">
        <w:t xml:space="preserve">Settlement </w:t>
      </w:r>
      <w:r w:rsidR="000A56B6">
        <w:t xml:space="preserve">at </w:t>
      </w:r>
      <w:r w:rsidR="000A56B6" w:rsidRPr="000A56B6">
        <w:t>¶19</w:t>
      </w:r>
      <w:r w:rsidR="000A56B6">
        <w:t>)</w:t>
      </w:r>
      <w:r w:rsidR="000A56B6" w:rsidRPr="000A56B6">
        <w:t>.  However, Duquesne Light will only accept those direct Large C&amp;I customer demand reductions</w:t>
      </w:r>
      <w:r w:rsidR="000A56B6">
        <w:t>,</w:t>
      </w:r>
      <w:r w:rsidR="000A56B6" w:rsidRPr="000A56B6">
        <w:t xml:space="preserve"> if the reductions are needed to meet the goals of Duquesne Light’s EE&amp;C Plan and are more cost effective than those that can be obtained by Duquesne Light’s </w:t>
      </w:r>
      <w:proofErr w:type="spellStart"/>
      <w:r w:rsidR="000A56B6" w:rsidRPr="000A56B6">
        <w:t>Curtailable</w:t>
      </w:r>
      <w:proofErr w:type="spellEnd"/>
      <w:r w:rsidR="000A56B6" w:rsidRPr="000A56B6">
        <w:t xml:space="preserve"> Load program CSP.  </w:t>
      </w:r>
      <w:r w:rsidR="000A56B6" w:rsidRPr="00F36710">
        <w:rPr>
          <w:i/>
        </w:rPr>
        <w:t>Id</w:t>
      </w:r>
      <w:r w:rsidR="000A56B6" w:rsidRPr="000A56B6">
        <w:t>.</w:t>
      </w:r>
    </w:p>
    <w:p w:rsidR="00F36710" w:rsidRDefault="00F36710" w:rsidP="00D22110">
      <w:pPr>
        <w:spacing w:line="360" w:lineRule="auto"/>
      </w:pPr>
    </w:p>
    <w:p w:rsidR="00F36710" w:rsidRDefault="00F36710" w:rsidP="00D22110">
      <w:pPr>
        <w:spacing w:line="360" w:lineRule="auto"/>
      </w:pPr>
      <w:r>
        <w:tab/>
      </w:r>
      <w:r>
        <w:tab/>
      </w:r>
      <w:r w:rsidR="00F6014A">
        <w:t>Duquesne Light posits e</w:t>
      </w:r>
      <w:r w:rsidR="00F6014A" w:rsidRPr="00F6014A">
        <w:t xml:space="preserve">xpanding the Large </w:t>
      </w:r>
      <w:proofErr w:type="spellStart"/>
      <w:r w:rsidR="00F6014A" w:rsidRPr="00F6014A">
        <w:t>Curtailable</w:t>
      </w:r>
      <w:proofErr w:type="spellEnd"/>
      <w:r w:rsidR="00F6014A" w:rsidRPr="00F6014A">
        <w:t xml:space="preserve"> Load Program presents the Company with an opportunity to significantly increase its demand reductions with on</w:t>
      </w:r>
      <w:r w:rsidR="00F6014A">
        <w:t>ly a modest allocation of funds</w:t>
      </w:r>
      <w:r w:rsidR="00F6014A" w:rsidRPr="00F6014A">
        <w:t xml:space="preserve"> </w:t>
      </w:r>
      <w:r w:rsidR="00F6014A">
        <w:t>(</w:t>
      </w:r>
      <w:r w:rsidR="00F6014A" w:rsidRPr="00F6014A">
        <w:t>Duquesne Light St.</w:t>
      </w:r>
      <w:r w:rsidR="00F6014A">
        <w:t xml:space="preserve"> 2 at</w:t>
      </w:r>
      <w:r w:rsidR="00F6014A" w:rsidRPr="00F6014A">
        <w:t xml:space="preserve"> 14</w:t>
      </w:r>
      <w:r w:rsidR="00F6014A">
        <w:t>)</w:t>
      </w:r>
      <w:r w:rsidR="00F6014A" w:rsidRPr="00F6014A">
        <w:t xml:space="preserve">.  Although demand reductions have been more difficult to achieve than the Company originally expected, with the modifications agreed to as part of this Settlement, Duquesne Light now expects to achieve overall demand reductions of approximately 120 MW (energy efficiency demand reductions </w:t>
      </w:r>
      <w:r w:rsidR="00A51EA7">
        <w:t>of 59 MW</w:t>
      </w:r>
      <w:r w:rsidR="00F6014A" w:rsidRPr="00F6014A">
        <w:t xml:space="preserve"> and demand response reductions </w:t>
      </w:r>
      <w:r w:rsidR="00A51EA7">
        <w:t xml:space="preserve">of </w:t>
      </w:r>
      <w:r w:rsidR="00F6014A" w:rsidRPr="00F6014A">
        <w:t>61 MW).  These results further Duquesne Light’s EE&amp;C Plan and the Company’s ability to meet its 113 MW goal for the summer of 2012</w:t>
      </w:r>
      <w:r w:rsidR="00A51EA7">
        <w:t xml:space="preserve">.  </w:t>
      </w:r>
      <w:r w:rsidR="00A51EA7">
        <w:rPr>
          <w:i/>
        </w:rPr>
        <w:t>Id</w:t>
      </w:r>
      <w:r w:rsidR="00A51EA7">
        <w:t>. at</w:t>
      </w:r>
      <w:r w:rsidR="00F6014A" w:rsidRPr="00F6014A">
        <w:t xml:space="preserve"> 14-15.</w:t>
      </w:r>
    </w:p>
    <w:p w:rsidR="00A51EA7" w:rsidRDefault="00A51EA7" w:rsidP="00D22110">
      <w:pPr>
        <w:spacing w:line="360" w:lineRule="auto"/>
      </w:pPr>
    </w:p>
    <w:p w:rsidR="00A51EA7" w:rsidRDefault="00A51EA7" w:rsidP="00D22110">
      <w:pPr>
        <w:spacing w:line="360" w:lineRule="auto"/>
      </w:pPr>
      <w:r>
        <w:tab/>
      </w:r>
      <w:r>
        <w:tab/>
        <w:t xml:space="preserve">For these reasons, </w:t>
      </w:r>
      <w:r w:rsidR="00CB5838">
        <w:t xml:space="preserve">Duquesne Light urges approval </w:t>
      </w:r>
      <w:r w:rsidR="00CB5838" w:rsidRPr="00CB5838">
        <w:t xml:space="preserve">of the Settlement </w:t>
      </w:r>
      <w:r w:rsidR="00CB5838">
        <w:t>a</w:t>
      </w:r>
      <w:r w:rsidR="00CB5838" w:rsidRPr="00CB5838">
        <w:t>s in the public interest.</w:t>
      </w:r>
    </w:p>
    <w:p w:rsidR="00CA743A" w:rsidRDefault="00CA743A" w:rsidP="00D22110">
      <w:pPr>
        <w:spacing w:line="360" w:lineRule="auto"/>
      </w:pPr>
    </w:p>
    <w:p w:rsidR="00CA743A" w:rsidRDefault="00CA743A" w:rsidP="00D22110">
      <w:pPr>
        <w:spacing w:line="360" w:lineRule="auto"/>
      </w:pPr>
      <w:r>
        <w:lastRenderedPageBreak/>
        <w:t>B.</w:t>
      </w:r>
      <w:r>
        <w:tab/>
      </w:r>
      <w:r>
        <w:rPr>
          <w:u w:val="single"/>
        </w:rPr>
        <w:t>OCA’s Position</w:t>
      </w:r>
    </w:p>
    <w:p w:rsidR="00CA743A" w:rsidRDefault="00CA743A" w:rsidP="00D22110">
      <w:pPr>
        <w:spacing w:line="360" w:lineRule="auto"/>
      </w:pPr>
    </w:p>
    <w:p w:rsidR="00CA743A" w:rsidRDefault="00D52C71" w:rsidP="00D22110">
      <w:pPr>
        <w:spacing w:line="360" w:lineRule="auto"/>
        <w:ind w:left="720"/>
      </w:pPr>
      <w:r>
        <w:t>1.</w:t>
      </w:r>
      <w:r>
        <w:tab/>
      </w:r>
      <w:r w:rsidR="00E53A28" w:rsidRPr="00D52C71">
        <w:rPr>
          <w:u w:val="single"/>
        </w:rPr>
        <w:t>Background</w:t>
      </w:r>
    </w:p>
    <w:p w:rsidR="00E53A28" w:rsidRDefault="00E53A28" w:rsidP="00D22110">
      <w:pPr>
        <w:spacing w:line="360" w:lineRule="auto"/>
      </w:pPr>
    </w:p>
    <w:p w:rsidR="00E53A28" w:rsidRDefault="00E53A28" w:rsidP="00D22110">
      <w:pPr>
        <w:spacing w:line="360" w:lineRule="auto"/>
      </w:pPr>
      <w:r>
        <w:tab/>
      </w:r>
      <w:r>
        <w:tab/>
        <w:t xml:space="preserve">OCA notes </w:t>
      </w:r>
      <w:r w:rsidRPr="00E53A28">
        <w:t>Act 129 of 2008 mandated the Commonwealth’s major electric distribution companies (</w:t>
      </w:r>
      <w:r w:rsidR="00D32D57">
        <w:t>“</w:t>
      </w:r>
      <w:r w:rsidRPr="00E53A28">
        <w:t>EDCs</w:t>
      </w:r>
      <w:r w:rsidR="00D32D57">
        <w:t>”</w:t>
      </w:r>
      <w:r w:rsidRPr="00E53A28">
        <w:t>) to reach certain energy consumption and peak demand reduction targets by milestone dates in 2011 and 2013.  Under the Act, EDCs are required to redu</w:t>
      </w:r>
      <w:r w:rsidR="00D32D57">
        <w:t xml:space="preserve">ce electricity consumption by 1% </w:t>
      </w:r>
      <w:r w:rsidRPr="00E53A28">
        <w:t>as of May 31, 2011 and by 3</w:t>
      </w:r>
      <w:r w:rsidR="00D32D57">
        <w:t>%</w:t>
      </w:r>
      <w:r w:rsidRPr="00E53A28">
        <w:t xml:space="preserve"> as of May 31, 2013.  Also as of May 31, 2013, EDCs must reduce their annual peak system demand by 4.5% over the top 100 summer hours.  Pursuant to the requirements of Act 129, Duquesne Light filed </w:t>
      </w:r>
      <w:r w:rsidR="00D32D57">
        <w:t>its original EE&amp;C</w:t>
      </w:r>
      <w:r w:rsidRPr="00E53A28">
        <w:t xml:space="preserve"> Plan with the Commission</w:t>
      </w:r>
      <w:r w:rsidR="00D32D57">
        <w:t xml:space="preserve"> </w:t>
      </w:r>
      <w:r w:rsidRPr="00E53A28">
        <w:t xml:space="preserve">on June 30, 2009.  As part of its effort to meet the peak demand reduction targets specified in the Act, Duquesne </w:t>
      </w:r>
      <w:r w:rsidR="00D32D57">
        <w:t xml:space="preserve">Light </w:t>
      </w:r>
      <w:r w:rsidRPr="00E53A28">
        <w:t xml:space="preserve">included within its </w:t>
      </w:r>
      <w:r w:rsidR="00D32D57">
        <w:t xml:space="preserve">EE&amp;C </w:t>
      </w:r>
      <w:r w:rsidRPr="00E53A28">
        <w:t xml:space="preserve">Plan three </w:t>
      </w:r>
      <w:r w:rsidR="00C12F1D">
        <w:t xml:space="preserve">DR </w:t>
      </w:r>
      <w:r w:rsidRPr="00E53A28">
        <w:t xml:space="preserve">programs, one designed for </w:t>
      </w:r>
      <w:r w:rsidR="00C12F1D">
        <w:t>R</w:t>
      </w:r>
      <w:r w:rsidRPr="00E53A28">
        <w:t xml:space="preserve">esidential customers, one for </w:t>
      </w:r>
      <w:r w:rsidR="00470764">
        <w:t>S</w:t>
      </w:r>
      <w:r w:rsidRPr="00E53A28">
        <w:t>mall</w:t>
      </w:r>
      <w:r w:rsidR="00470764">
        <w:t>/M</w:t>
      </w:r>
      <w:r w:rsidRPr="00E53A28">
        <w:t xml:space="preserve">idsized </w:t>
      </w:r>
      <w:r w:rsidR="00470764">
        <w:t xml:space="preserve">C&amp;I </w:t>
      </w:r>
      <w:r w:rsidRPr="00E53A28">
        <w:t xml:space="preserve">customers and one for </w:t>
      </w:r>
      <w:r w:rsidR="00470764">
        <w:t>L</w:t>
      </w:r>
      <w:r w:rsidRPr="00E53A28">
        <w:t xml:space="preserve">arge </w:t>
      </w:r>
      <w:r w:rsidR="00470764">
        <w:t xml:space="preserve">C&amp;I </w:t>
      </w:r>
      <w:r w:rsidRPr="00E53A28">
        <w:t xml:space="preserve">customers.  The </w:t>
      </w:r>
      <w:r w:rsidR="00470764">
        <w:t xml:space="preserve">DR </w:t>
      </w:r>
      <w:r w:rsidRPr="00E53A28">
        <w:t xml:space="preserve">programs designed for </w:t>
      </w:r>
      <w:r w:rsidR="00470764">
        <w:t>Residential and S</w:t>
      </w:r>
      <w:r w:rsidRPr="00E53A28">
        <w:t>mall/</w:t>
      </w:r>
      <w:r w:rsidR="00470764">
        <w:t>M</w:t>
      </w:r>
      <w:r w:rsidRPr="00E53A28">
        <w:t xml:space="preserve">idsized </w:t>
      </w:r>
      <w:r w:rsidR="00470764">
        <w:t>C&amp;I customers were air-</w:t>
      </w:r>
      <w:r w:rsidRPr="00E53A28">
        <w:t>conditioning cycling programs (</w:t>
      </w:r>
      <w:r w:rsidR="00470764">
        <w:t>“</w:t>
      </w:r>
      <w:r w:rsidRPr="00E53A28">
        <w:t>A/C cycling</w:t>
      </w:r>
      <w:r w:rsidR="00470764">
        <w:t>”</w:t>
      </w:r>
      <w:r w:rsidRPr="00E53A28">
        <w:t xml:space="preserve">) and the program aimed at </w:t>
      </w:r>
      <w:r w:rsidR="006F23CD">
        <w:t>L</w:t>
      </w:r>
      <w:r w:rsidRPr="00E53A28">
        <w:t xml:space="preserve">arge </w:t>
      </w:r>
      <w:r w:rsidR="006F23CD">
        <w:t xml:space="preserve">C&amp;I </w:t>
      </w:r>
      <w:r w:rsidRPr="00E53A28">
        <w:t xml:space="preserve">customers was a </w:t>
      </w:r>
      <w:proofErr w:type="spellStart"/>
      <w:r w:rsidRPr="00E53A28">
        <w:t>curtailable</w:t>
      </w:r>
      <w:proofErr w:type="spellEnd"/>
      <w:r w:rsidRPr="00E53A28">
        <w:t xml:space="preserve"> load program.</w:t>
      </w:r>
    </w:p>
    <w:p w:rsidR="006F23CD" w:rsidRDefault="006F23CD" w:rsidP="00D22110">
      <w:pPr>
        <w:spacing w:line="360" w:lineRule="auto"/>
      </w:pPr>
    </w:p>
    <w:p w:rsidR="006F23CD" w:rsidRDefault="006F23CD" w:rsidP="00D22110">
      <w:pPr>
        <w:spacing w:line="360" w:lineRule="auto"/>
      </w:pPr>
      <w:r>
        <w:tab/>
      </w:r>
      <w:r>
        <w:tab/>
      </w:r>
      <w:r w:rsidRPr="006F23CD">
        <w:t xml:space="preserve">On May 9, 2011, Duquesne </w:t>
      </w:r>
      <w:r>
        <w:t xml:space="preserve">Light </w:t>
      </w:r>
      <w:r w:rsidRPr="006F23CD">
        <w:t xml:space="preserve">filed a Petition with the Commission seeking </w:t>
      </w:r>
      <w:r>
        <w:t xml:space="preserve">to modify </w:t>
      </w:r>
      <w:r w:rsidRPr="006F23CD">
        <w:t xml:space="preserve">the DR component of its </w:t>
      </w:r>
      <w:r w:rsidR="001F183C">
        <w:t xml:space="preserve">EE&amp;C </w:t>
      </w:r>
      <w:r w:rsidRPr="006F23CD">
        <w:t xml:space="preserve">Plan.  In particular, Duquesne </w:t>
      </w:r>
      <w:r w:rsidR="001F183C">
        <w:t xml:space="preserve">Light </w:t>
      </w:r>
      <w:r w:rsidRPr="006F23CD">
        <w:t xml:space="preserve">proposed to eliminate the </w:t>
      </w:r>
      <w:r w:rsidR="001F183C">
        <w:t>R</w:t>
      </w:r>
      <w:r w:rsidRPr="006F23CD">
        <w:t xml:space="preserve">esidential and </w:t>
      </w:r>
      <w:r w:rsidR="001F183C">
        <w:t>S</w:t>
      </w:r>
      <w:r w:rsidRPr="006F23CD">
        <w:t>mall/</w:t>
      </w:r>
      <w:r w:rsidR="001F183C">
        <w:t>M</w:t>
      </w:r>
      <w:r w:rsidRPr="006F23CD">
        <w:t xml:space="preserve">idsized </w:t>
      </w:r>
      <w:r w:rsidR="001F183C">
        <w:t xml:space="preserve">C&amp;I </w:t>
      </w:r>
      <w:r w:rsidR="00F41D83">
        <w:t xml:space="preserve">A/C </w:t>
      </w:r>
      <w:r w:rsidRPr="006F23CD">
        <w:t>cycling programs</w:t>
      </w:r>
      <w:r w:rsidR="001F183C">
        <w:t>,</w:t>
      </w:r>
      <w:r w:rsidRPr="006F23CD">
        <w:t xml:space="preserve"> because the Company had determined them to be not cost-effective.  Instead, Duquesne </w:t>
      </w:r>
      <w:r w:rsidR="001F183C">
        <w:t xml:space="preserve">Light </w:t>
      </w:r>
      <w:r w:rsidRPr="006F23CD">
        <w:t xml:space="preserve">proposed to shift the funds that would have been spent on the residential A/C cycling program ($2,928,070) to other existing residential energy efficiency programs.  Duquesne </w:t>
      </w:r>
      <w:r w:rsidR="001F183C">
        <w:t xml:space="preserve">Light </w:t>
      </w:r>
      <w:r w:rsidRPr="006F23CD">
        <w:t>did not identify the specific energy efficiency programs that would be funded.  Instead it indicated that after an analysis of energy efficiency program performances, it would develop a proposed use of funds and seek Commission approval of its proposal.</w:t>
      </w:r>
    </w:p>
    <w:p w:rsidR="001F183C" w:rsidRDefault="001F183C" w:rsidP="00D22110">
      <w:pPr>
        <w:spacing w:line="360" w:lineRule="auto"/>
      </w:pPr>
    </w:p>
    <w:p w:rsidR="001F183C" w:rsidRDefault="001F183C" w:rsidP="00D22110">
      <w:pPr>
        <w:spacing w:line="360" w:lineRule="auto"/>
      </w:pPr>
      <w:r>
        <w:tab/>
      </w:r>
      <w:r>
        <w:tab/>
      </w:r>
      <w:r w:rsidR="00F41D83" w:rsidRPr="00F41D83">
        <w:t xml:space="preserve">As to the funds that Duquesne </w:t>
      </w:r>
      <w:r w:rsidR="00F41D83">
        <w:t xml:space="preserve">Light </w:t>
      </w:r>
      <w:r w:rsidR="00F41D83" w:rsidRPr="00F41D83">
        <w:t xml:space="preserve">would have spent on the </w:t>
      </w:r>
      <w:r w:rsidR="00F41D83">
        <w:t>S</w:t>
      </w:r>
      <w:r w:rsidR="00F41D83" w:rsidRPr="00F41D83">
        <w:t>mall</w:t>
      </w:r>
      <w:r w:rsidR="00F41D83">
        <w:t>/M</w:t>
      </w:r>
      <w:r w:rsidR="00F41D83" w:rsidRPr="00F41D83">
        <w:t xml:space="preserve">idsized </w:t>
      </w:r>
      <w:r w:rsidR="00F41D83">
        <w:t xml:space="preserve">C&amp;I </w:t>
      </w:r>
      <w:r w:rsidR="00F41D83" w:rsidRPr="00F41D83">
        <w:t xml:space="preserve">A/C cycling program, the Company proposed to shift these funds to the </w:t>
      </w:r>
      <w:r w:rsidR="00F41D83">
        <w:t>L</w:t>
      </w:r>
      <w:r w:rsidR="00F41D83" w:rsidRPr="00F41D83">
        <w:t xml:space="preserve">arge </w:t>
      </w:r>
      <w:r w:rsidR="00F41D83">
        <w:t xml:space="preserve">C&amp;I </w:t>
      </w:r>
      <w:r w:rsidR="00F41D83" w:rsidRPr="00F41D83">
        <w:t>load curtailment program, which the Company maintains has been shown to achieve very cost effective demand reductions.</w:t>
      </w:r>
    </w:p>
    <w:p w:rsidR="00F41D83" w:rsidRDefault="00F41D83" w:rsidP="00D22110">
      <w:pPr>
        <w:spacing w:line="360" w:lineRule="auto"/>
      </w:pPr>
      <w:r>
        <w:lastRenderedPageBreak/>
        <w:tab/>
      </w:r>
      <w:r>
        <w:tab/>
      </w:r>
      <w:r w:rsidR="0039207A" w:rsidRPr="0039207A">
        <w:t xml:space="preserve">As support for its proposal, Duquesne </w:t>
      </w:r>
      <w:r w:rsidR="0039207A">
        <w:t xml:space="preserve">Light </w:t>
      </w:r>
      <w:r w:rsidR="0039207A" w:rsidRPr="0039207A">
        <w:t>stated that the cost effectiveness of the A/C cycling programs had deteriorated significantly</w:t>
      </w:r>
      <w:r w:rsidR="0039207A">
        <w:t>,</w:t>
      </w:r>
      <w:r w:rsidR="0039207A" w:rsidRPr="0039207A">
        <w:t xml:space="preserve"> since the Company first proposed them in 2009.  </w:t>
      </w:r>
      <w:r w:rsidR="0039207A">
        <w:t xml:space="preserve">It </w:t>
      </w:r>
      <w:r w:rsidR="0039207A" w:rsidRPr="0039207A">
        <w:t xml:space="preserve">originally expected these programs to produce a demand reduction of 26.3 MW at a cost of approximately $150,000 per MW.  Its latest estimates are that the programs will produce only 5 MW of demand reduction at a cost of about $780,000 per MW.  As reasons for this deterioration in results, Duquesne </w:t>
      </w:r>
      <w:r w:rsidR="0039207A">
        <w:t xml:space="preserve">Light </w:t>
      </w:r>
      <w:r w:rsidR="0039207A" w:rsidRPr="0039207A">
        <w:t>cited implementation delays due to uncertainties about measurement and verification protocols, as well as reductions in the value of capacity and energy in the wholesale electric markets.</w:t>
      </w:r>
    </w:p>
    <w:p w:rsidR="0039207A" w:rsidRDefault="0039207A" w:rsidP="00D22110">
      <w:pPr>
        <w:spacing w:line="360" w:lineRule="auto"/>
      </w:pPr>
    </w:p>
    <w:p w:rsidR="0039207A" w:rsidRDefault="0039207A" w:rsidP="00D22110">
      <w:pPr>
        <w:spacing w:line="360" w:lineRule="auto"/>
      </w:pPr>
      <w:r>
        <w:tab/>
      </w:r>
      <w:r>
        <w:tab/>
      </w:r>
      <w:r w:rsidR="008314AB" w:rsidRPr="008314AB">
        <w:t xml:space="preserve">By contrast, Duquesne </w:t>
      </w:r>
      <w:r w:rsidR="008314AB">
        <w:t xml:space="preserve">Light </w:t>
      </w:r>
      <w:r w:rsidR="008314AB" w:rsidRPr="008314AB">
        <w:t xml:space="preserve">originally projected that </w:t>
      </w:r>
      <w:proofErr w:type="gramStart"/>
      <w:r w:rsidR="008314AB" w:rsidRPr="008314AB">
        <w:t>its</w:t>
      </w:r>
      <w:proofErr w:type="gramEnd"/>
      <w:r w:rsidR="008314AB" w:rsidRPr="008314AB">
        <w:t xml:space="preserve"> Large </w:t>
      </w:r>
      <w:r w:rsidR="008314AB">
        <w:t xml:space="preserve">C&amp;I </w:t>
      </w:r>
      <w:r w:rsidR="008314AB" w:rsidRPr="008314AB">
        <w:t xml:space="preserve">load curtailment program would achieve 10.8 MW of demand reduction at a cost of approximately $51,550 per MW.  It now estimates this program will achieve 40 MWs of demand reduction for the same investment, meaning that each MW of reduction can be achieved for roughly $14,000 per MW.  In addition, Duquesne </w:t>
      </w:r>
      <w:r w:rsidR="008314AB">
        <w:t xml:space="preserve">Light </w:t>
      </w:r>
      <w:r w:rsidR="008314AB" w:rsidRPr="008314AB">
        <w:t xml:space="preserve">maintained that by shifting the funds budgeted for the </w:t>
      </w:r>
      <w:r w:rsidR="008314AB">
        <w:t>S</w:t>
      </w:r>
      <w:r w:rsidR="00887954">
        <w:t>mall/</w:t>
      </w:r>
      <w:r w:rsidR="008314AB">
        <w:t>M</w:t>
      </w:r>
      <w:r w:rsidR="008314AB" w:rsidRPr="008314AB">
        <w:t xml:space="preserve">idsized </w:t>
      </w:r>
      <w:r w:rsidR="008314AB">
        <w:t xml:space="preserve">C&amp;I </w:t>
      </w:r>
      <w:r w:rsidR="008314AB" w:rsidRPr="008314AB">
        <w:t xml:space="preserve">A/C cycling program to the Large C&amp;I load curtailment program, it could attain additional reductions of at least 20 MW by way of the Large C&amp;I program.  To accomplish this, Duquesne </w:t>
      </w:r>
      <w:r w:rsidR="008314AB">
        <w:t xml:space="preserve">Light </w:t>
      </w:r>
      <w:r w:rsidR="008314AB" w:rsidRPr="008314AB">
        <w:t xml:space="preserve">estimated that it may have to spend only $300,000 of the amount transferred from the </w:t>
      </w:r>
      <w:r w:rsidR="008314AB">
        <w:t>S</w:t>
      </w:r>
      <w:r w:rsidR="00887954">
        <w:t>mall/</w:t>
      </w:r>
      <w:r w:rsidR="008314AB">
        <w:t>M</w:t>
      </w:r>
      <w:r w:rsidR="008314AB" w:rsidRPr="008314AB">
        <w:t>idsized C&amp;I program.</w:t>
      </w:r>
    </w:p>
    <w:p w:rsidR="008314AB" w:rsidRDefault="008314AB" w:rsidP="00D22110">
      <w:pPr>
        <w:spacing w:line="360" w:lineRule="auto"/>
      </w:pPr>
    </w:p>
    <w:p w:rsidR="008314AB" w:rsidRDefault="008314AB" w:rsidP="00D22110">
      <w:pPr>
        <w:spacing w:line="360" w:lineRule="auto"/>
      </w:pPr>
      <w:r>
        <w:tab/>
      </w:r>
      <w:r>
        <w:tab/>
      </w:r>
      <w:r w:rsidR="00113C50" w:rsidRPr="00113C50">
        <w:t xml:space="preserve">On May 19, 2011, the OCA </w:t>
      </w:r>
      <w:r w:rsidR="00113C50">
        <w:t>a</w:t>
      </w:r>
      <w:r w:rsidR="00113C50" w:rsidRPr="00113C50">
        <w:t>nswer</w:t>
      </w:r>
      <w:r w:rsidR="00113C50">
        <w:t>ed</w:t>
      </w:r>
      <w:r w:rsidR="00113C50" w:rsidRPr="00113C50">
        <w:t xml:space="preserve"> Duquesne</w:t>
      </w:r>
      <w:r w:rsidR="00113C50">
        <w:t xml:space="preserve"> Light</w:t>
      </w:r>
      <w:r w:rsidR="00113C50" w:rsidRPr="00113C50">
        <w:t xml:space="preserve">’s Petition.  In its </w:t>
      </w:r>
      <w:r w:rsidR="00113C50">
        <w:t>a</w:t>
      </w:r>
      <w:r w:rsidR="00113C50" w:rsidRPr="00113C50">
        <w:t>nswer</w:t>
      </w:r>
      <w:r w:rsidR="00113C50">
        <w:t>,</w:t>
      </w:r>
      <w:r w:rsidR="00113C50" w:rsidRPr="00113C50">
        <w:t xml:space="preserve"> the OCA indicated that while it would not oppose Duquesne</w:t>
      </w:r>
      <w:r w:rsidR="00113C50">
        <w:t xml:space="preserve"> Light</w:t>
      </w:r>
      <w:r w:rsidR="00113C50" w:rsidRPr="00113C50">
        <w:t>’s proposed modifications, it continued to support residential load control programs as a long-term means of bringing about lower electric generation prices and greater reliability.  The OCA further noted that if the residential A/C cycling program was implemented, the benefits of the program could extend well beyond the initial 2013 compliance date and that, over the course of time, the economics of the program could change.</w:t>
      </w:r>
    </w:p>
    <w:p w:rsidR="00113C50" w:rsidRDefault="00113C50" w:rsidP="00D22110">
      <w:pPr>
        <w:spacing w:line="360" w:lineRule="auto"/>
      </w:pPr>
    </w:p>
    <w:p w:rsidR="00113C50" w:rsidRDefault="00113C50" w:rsidP="00D22110">
      <w:pPr>
        <w:spacing w:line="360" w:lineRule="auto"/>
      </w:pPr>
      <w:r>
        <w:tab/>
      </w:r>
      <w:r>
        <w:tab/>
      </w:r>
      <w:r w:rsidR="006D2082" w:rsidRPr="006D2082">
        <w:t>The OCA also recommended that any reallocation of the money for the residential load control program to energy efficiency programs should be carried out in consultation with interested stakeholders.</w:t>
      </w:r>
    </w:p>
    <w:p w:rsidR="00887954" w:rsidRDefault="00887954" w:rsidP="00D22110">
      <w:pPr>
        <w:spacing w:line="360" w:lineRule="auto"/>
      </w:pPr>
    </w:p>
    <w:p w:rsidR="00887954" w:rsidRDefault="00887954" w:rsidP="00D22110">
      <w:pPr>
        <w:spacing w:line="360" w:lineRule="auto"/>
      </w:pPr>
      <w:r>
        <w:lastRenderedPageBreak/>
        <w:tab/>
        <w:t>2.</w:t>
      </w:r>
      <w:r>
        <w:tab/>
      </w:r>
      <w:r>
        <w:rPr>
          <w:u w:val="single"/>
        </w:rPr>
        <w:t>The Settlement</w:t>
      </w:r>
    </w:p>
    <w:p w:rsidR="00887954" w:rsidRDefault="00887954" w:rsidP="00D22110">
      <w:pPr>
        <w:spacing w:line="360" w:lineRule="auto"/>
      </w:pPr>
    </w:p>
    <w:p w:rsidR="00887954" w:rsidRDefault="00887954" w:rsidP="00D22110">
      <w:pPr>
        <w:spacing w:line="360" w:lineRule="auto"/>
      </w:pPr>
      <w:r>
        <w:tab/>
      </w:r>
      <w:r>
        <w:tab/>
      </w:r>
      <w:r w:rsidR="009F3479" w:rsidRPr="009F3479">
        <w:t xml:space="preserve">Under the terms of the Settlement, </w:t>
      </w:r>
      <w:r w:rsidR="009F3479">
        <w:t xml:space="preserve">the OCA notes </w:t>
      </w:r>
      <w:r w:rsidR="009F3479" w:rsidRPr="009F3479">
        <w:t xml:space="preserve">Duquesne </w:t>
      </w:r>
      <w:r w:rsidR="009F3479">
        <w:t xml:space="preserve">Light </w:t>
      </w:r>
      <w:r w:rsidR="009F3479" w:rsidRPr="009F3479">
        <w:t xml:space="preserve">will withdraw its proposal to eliminate the </w:t>
      </w:r>
      <w:r w:rsidR="005355A0">
        <w:t>R</w:t>
      </w:r>
      <w:r w:rsidR="009F3479" w:rsidRPr="009F3479">
        <w:t xml:space="preserve">esidential and </w:t>
      </w:r>
      <w:r w:rsidR="005355A0">
        <w:t>S</w:t>
      </w:r>
      <w:r w:rsidR="009F3479" w:rsidRPr="009F3479">
        <w:t xml:space="preserve">mall </w:t>
      </w:r>
      <w:r w:rsidR="005355A0">
        <w:t>C&amp;I</w:t>
      </w:r>
      <w:r w:rsidR="009F3479" w:rsidRPr="009F3479">
        <w:t xml:space="preserve"> </w:t>
      </w:r>
      <w:r w:rsidR="005355A0">
        <w:t xml:space="preserve">A/C </w:t>
      </w:r>
      <w:r w:rsidR="009F3479" w:rsidRPr="009F3479">
        <w:t>cycling programs.  However, these programs will go forward on a much smaller scale than originally proposed in Duquesne</w:t>
      </w:r>
      <w:r w:rsidR="005355A0">
        <w:t xml:space="preserve"> Light</w:t>
      </w:r>
      <w:r w:rsidR="009F3479" w:rsidRPr="009F3479">
        <w:t xml:space="preserve">’s </w:t>
      </w:r>
      <w:r w:rsidR="005355A0">
        <w:t xml:space="preserve">EE&amp;C </w:t>
      </w:r>
      <w:r w:rsidR="009F3479" w:rsidRPr="009F3479">
        <w:t xml:space="preserve">Plan.  The A/C cycling programs, which originally had a combined budget of $3.92 million, will be reduced to a budget of $1.1 million.  The amount spent on each program will depend on the number of </w:t>
      </w:r>
      <w:r w:rsidR="005355A0">
        <w:t>R</w:t>
      </w:r>
      <w:r w:rsidR="009F3479" w:rsidRPr="009F3479">
        <w:t xml:space="preserve">esidential customers and the number of </w:t>
      </w:r>
      <w:r w:rsidR="005355A0">
        <w:t>S</w:t>
      </w:r>
      <w:r w:rsidR="009F3479" w:rsidRPr="009F3479">
        <w:t>mall</w:t>
      </w:r>
      <w:r w:rsidR="005355A0">
        <w:t>/M</w:t>
      </w:r>
      <w:r w:rsidR="009F3479" w:rsidRPr="009F3479">
        <w:t xml:space="preserve">idsized </w:t>
      </w:r>
      <w:r w:rsidR="0093372D">
        <w:t xml:space="preserve">C&amp;I </w:t>
      </w:r>
      <w:r w:rsidR="009F3479" w:rsidRPr="009F3479">
        <w:t>customers that ultimately enroll in the respective programs.</w:t>
      </w:r>
    </w:p>
    <w:p w:rsidR="0093372D" w:rsidRDefault="0093372D" w:rsidP="00D22110">
      <w:pPr>
        <w:spacing w:line="360" w:lineRule="auto"/>
      </w:pPr>
    </w:p>
    <w:p w:rsidR="0093372D" w:rsidRDefault="0093372D" w:rsidP="00D22110">
      <w:pPr>
        <w:spacing w:line="360" w:lineRule="auto"/>
      </w:pPr>
      <w:r>
        <w:tab/>
      </w:r>
      <w:r>
        <w:tab/>
      </w:r>
      <w:r w:rsidR="00CE4A48" w:rsidRPr="00CE4A48">
        <w:t>The difference between the amount originally budgeted for the residential A/C cycling program ($2.928 million) and the amount actually spent will be transferred to the following residential energy efficiency programs:</w:t>
      </w:r>
    </w:p>
    <w:p w:rsidR="00DB226C" w:rsidRDefault="00DB226C" w:rsidP="005062B4">
      <w:pPr>
        <w:spacing w:line="360" w:lineRule="auto"/>
      </w:pPr>
    </w:p>
    <w:p w:rsidR="00DB226C" w:rsidRDefault="00DB226C" w:rsidP="00D52C71">
      <w:pPr>
        <w:pStyle w:val="ListParagraph"/>
        <w:numPr>
          <w:ilvl w:val="0"/>
          <w:numId w:val="12"/>
        </w:numPr>
        <w:ind w:left="1440" w:right="1440" w:firstLine="0"/>
      </w:pPr>
      <w:r w:rsidRPr="00DB226C">
        <w:t>Up to $850,000 will be used for a new residential energy efficiency program designed to reach customers with the highest 20% of use.  This will be a Behavioral Modification and Education program.  Participants will receive a customized Home Energy Report.  They will be able to evaluate their energy consumption in comparison to the consumption in similar homes based on such factors as square footage, dwelling type and geography.  By comparing participants to their peers, it is believed that participants will be impelled to take action to reduce consumption.</w:t>
      </w:r>
    </w:p>
    <w:p w:rsidR="002D291C" w:rsidRDefault="002D291C" w:rsidP="00DB226C">
      <w:pPr>
        <w:ind w:left="1440" w:right="1440"/>
      </w:pPr>
    </w:p>
    <w:p w:rsidR="002D291C" w:rsidRDefault="002D291C" w:rsidP="00DB226C">
      <w:pPr>
        <w:ind w:left="1440" w:right="1440"/>
      </w:pPr>
      <w:r>
        <w:t>b.</w:t>
      </w:r>
      <w:r>
        <w:tab/>
      </w:r>
      <w:r w:rsidRPr="002D291C">
        <w:t>Up to $250,000 will be transferred to the existing Schools Energy Pledge Program.  This funding will allow additional schools to participate in the program.</w:t>
      </w:r>
    </w:p>
    <w:p w:rsidR="002D291C" w:rsidRDefault="002D291C" w:rsidP="00DB226C">
      <w:pPr>
        <w:ind w:left="1440" w:right="1440"/>
      </w:pPr>
    </w:p>
    <w:p w:rsidR="002D291C" w:rsidRDefault="002D291C" w:rsidP="00DB226C">
      <w:pPr>
        <w:ind w:left="1440" w:right="1440"/>
      </w:pPr>
      <w:r>
        <w:t>c.</w:t>
      </w:r>
      <w:r>
        <w:tab/>
      </w:r>
      <w:r w:rsidRPr="002D291C">
        <w:t>Up to $500,000 will be transferred to the existing Residential Energy Efficiency Rebate Program.  The funds will be used to strengthen in-store awareness of the availability of rebates for energy efficient appliances.  A network of 50 retailers that sell the eligible products will have their personnel trained to better promote the rebate program.</w:t>
      </w:r>
    </w:p>
    <w:p w:rsidR="001F372E" w:rsidRDefault="001F372E" w:rsidP="001F372E"/>
    <w:p w:rsidR="001F372E" w:rsidRDefault="001F372E" w:rsidP="001F372E"/>
    <w:p w:rsidR="001F372E" w:rsidRDefault="001F372E" w:rsidP="00D22110">
      <w:pPr>
        <w:spacing w:line="360" w:lineRule="auto"/>
      </w:pPr>
      <w:proofErr w:type="gramStart"/>
      <w:r>
        <w:t xml:space="preserve">(Duquesne Light </w:t>
      </w:r>
      <w:proofErr w:type="spellStart"/>
      <w:r>
        <w:t>Exh</w:t>
      </w:r>
      <w:proofErr w:type="spellEnd"/>
      <w:r>
        <w:t>.</w:t>
      </w:r>
      <w:proofErr w:type="gramEnd"/>
      <w:r>
        <w:t> </w:t>
      </w:r>
      <w:proofErr w:type="gramStart"/>
      <w:r>
        <w:t>DWD-2).</w:t>
      </w:r>
      <w:proofErr w:type="gramEnd"/>
    </w:p>
    <w:p w:rsidR="001F372E" w:rsidRDefault="001F372E" w:rsidP="00D22110">
      <w:pPr>
        <w:spacing w:line="360" w:lineRule="auto"/>
      </w:pPr>
    </w:p>
    <w:p w:rsidR="001F372E" w:rsidRDefault="001F372E" w:rsidP="00D22110">
      <w:pPr>
        <w:spacing w:line="360" w:lineRule="auto"/>
      </w:pPr>
      <w:r>
        <w:lastRenderedPageBreak/>
        <w:tab/>
      </w:r>
      <w:r>
        <w:tab/>
      </w:r>
      <w:r w:rsidRPr="001F372E">
        <w:t xml:space="preserve">With regard to the expenditure of any funds remaining from the </w:t>
      </w:r>
      <w:r w:rsidR="00FF0501">
        <w:t>R</w:t>
      </w:r>
      <w:r w:rsidRPr="001F372E">
        <w:t xml:space="preserve">esidential A/C cycling program, Duquesne will develop proposals in consultation with stakeholders prior to seeking Commission approval of any further modifications to the Company’s </w:t>
      </w:r>
      <w:r w:rsidR="00FF0501">
        <w:t xml:space="preserve">EE&amp;C </w:t>
      </w:r>
      <w:r w:rsidRPr="001F372E">
        <w:t>Plan.</w:t>
      </w:r>
    </w:p>
    <w:p w:rsidR="00FF0501" w:rsidRDefault="00FF0501" w:rsidP="00D22110">
      <w:pPr>
        <w:spacing w:line="360" w:lineRule="auto"/>
      </w:pPr>
    </w:p>
    <w:p w:rsidR="00FF0501" w:rsidRDefault="00FF0501" w:rsidP="00D22110">
      <w:pPr>
        <w:spacing w:line="360" w:lineRule="auto"/>
      </w:pPr>
      <w:r>
        <w:tab/>
      </w:r>
      <w:r>
        <w:tab/>
      </w:r>
      <w:r w:rsidRPr="00FF0501">
        <w:t xml:space="preserve">Any difference between the amounts originally budgeted for the </w:t>
      </w:r>
      <w:r>
        <w:t>S</w:t>
      </w:r>
      <w:r w:rsidRPr="00FF0501">
        <w:t>mall</w:t>
      </w:r>
      <w:r>
        <w:t>/M</w:t>
      </w:r>
      <w:r w:rsidRPr="00FF0501">
        <w:t xml:space="preserve">idsized </w:t>
      </w:r>
      <w:r w:rsidR="00AD5BB2">
        <w:t xml:space="preserve">C&amp;I </w:t>
      </w:r>
      <w:r w:rsidRPr="00FF0501">
        <w:t>A/C cycling program and the amounts actually spent will be similarly transferred to existing energy efficiency programs for such customers.</w:t>
      </w:r>
    </w:p>
    <w:p w:rsidR="00AD5BB2" w:rsidRDefault="00AD5BB2" w:rsidP="00D22110">
      <w:pPr>
        <w:spacing w:line="360" w:lineRule="auto"/>
      </w:pPr>
    </w:p>
    <w:p w:rsidR="00AD5BB2" w:rsidRDefault="00AD5BB2" w:rsidP="00D22110">
      <w:pPr>
        <w:spacing w:line="360" w:lineRule="auto"/>
      </w:pPr>
      <w:r>
        <w:tab/>
      </w:r>
      <w:r>
        <w:tab/>
      </w:r>
      <w:r w:rsidR="000E74A9" w:rsidRPr="000E74A9">
        <w:t xml:space="preserve">The </w:t>
      </w:r>
      <w:r w:rsidR="000E74A9">
        <w:t>S</w:t>
      </w:r>
      <w:r w:rsidR="000E74A9" w:rsidRPr="000E74A9">
        <w:t>ettlement preserves Duquesne</w:t>
      </w:r>
      <w:r w:rsidR="0045723E">
        <w:t xml:space="preserve"> Light</w:t>
      </w:r>
      <w:r w:rsidR="000E74A9" w:rsidRPr="000E74A9">
        <w:t xml:space="preserve">’s proposal to increase the demand reductions from its </w:t>
      </w:r>
      <w:r w:rsidR="0045723E">
        <w:t>L</w:t>
      </w:r>
      <w:r w:rsidR="000E74A9" w:rsidRPr="000E74A9">
        <w:t xml:space="preserve">arge </w:t>
      </w:r>
      <w:r w:rsidR="0045723E">
        <w:t xml:space="preserve">C&amp;I </w:t>
      </w:r>
      <w:proofErr w:type="spellStart"/>
      <w:r w:rsidR="000E74A9" w:rsidRPr="000E74A9">
        <w:t>curtailable</w:t>
      </w:r>
      <w:proofErr w:type="spellEnd"/>
      <w:r w:rsidR="000E74A9" w:rsidRPr="000E74A9">
        <w:t xml:space="preserve"> load program from 10.8 MW to 60 MW.  As noted above, the increase from 10.8 MW to 40 MW is expected to be achieved through existing funding for the program.  Under the </w:t>
      </w:r>
      <w:r w:rsidR="0045723E">
        <w:t>S</w:t>
      </w:r>
      <w:r w:rsidR="000E74A9" w:rsidRPr="000E74A9">
        <w:t xml:space="preserve">ettlement, however, the additional 20 MW of reductions will be funded not from the transfer of funding from the </w:t>
      </w:r>
      <w:r w:rsidR="0045723E">
        <w:t>Small/M</w:t>
      </w:r>
      <w:r w:rsidR="000E74A9" w:rsidRPr="000E74A9">
        <w:t xml:space="preserve">idsized </w:t>
      </w:r>
      <w:r w:rsidR="0045723E">
        <w:t xml:space="preserve">C&amp;I </w:t>
      </w:r>
      <w:r w:rsidR="000E74A9" w:rsidRPr="000E74A9">
        <w:t xml:space="preserve">A/C cycling program, but rather from the transfer of dollars from existing energy efficiency programs for </w:t>
      </w:r>
      <w:r w:rsidR="0045723E">
        <w:t>L</w:t>
      </w:r>
      <w:r w:rsidR="000E74A9" w:rsidRPr="000E74A9">
        <w:t xml:space="preserve">arge </w:t>
      </w:r>
      <w:r w:rsidR="0045723E">
        <w:t xml:space="preserve">C&amp;I </w:t>
      </w:r>
      <w:r w:rsidR="000E74A9" w:rsidRPr="000E74A9">
        <w:t>customers.</w:t>
      </w:r>
    </w:p>
    <w:p w:rsidR="009E1CE0" w:rsidRDefault="009E1CE0" w:rsidP="00D22110">
      <w:pPr>
        <w:spacing w:line="360" w:lineRule="auto"/>
      </w:pPr>
    </w:p>
    <w:p w:rsidR="009E1CE0" w:rsidRDefault="009E1CE0" w:rsidP="00D22110">
      <w:pPr>
        <w:spacing w:line="360" w:lineRule="auto"/>
      </w:pPr>
      <w:r>
        <w:tab/>
        <w:t>3.</w:t>
      </w:r>
      <w:r>
        <w:tab/>
      </w:r>
      <w:r>
        <w:rPr>
          <w:u w:val="single"/>
        </w:rPr>
        <w:t>The Interest of Residential Customers</w:t>
      </w:r>
    </w:p>
    <w:p w:rsidR="009E1CE0" w:rsidRDefault="009E1CE0" w:rsidP="00D22110">
      <w:pPr>
        <w:spacing w:line="360" w:lineRule="auto"/>
      </w:pPr>
    </w:p>
    <w:p w:rsidR="009E1CE0" w:rsidRDefault="004E1D74" w:rsidP="00D22110">
      <w:pPr>
        <w:spacing w:line="360" w:lineRule="auto"/>
      </w:pPr>
      <w:r>
        <w:tab/>
      </w:r>
      <w:r>
        <w:tab/>
      </w:r>
      <w:r w:rsidRPr="004E1D74">
        <w:t xml:space="preserve">As noted in its </w:t>
      </w:r>
      <w:r>
        <w:t>a</w:t>
      </w:r>
      <w:r w:rsidRPr="004E1D74">
        <w:t xml:space="preserve">nswer to Duquesne’s Petition, while the OCA recognized that cost-effectiveness concerns might make it necessary to limit the direct load control program for residential customers at this time, the OCA expressed continued support for such programs as a means of meeting the demand reduction requirements of Act 129 and as a long-term means of achieving lower generation prices and greater system reliability.  Further, the OCA expressed the </w:t>
      </w:r>
      <w:proofErr w:type="gramStart"/>
      <w:r w:rsidRPr="004E1D74">
        <w:t>view that while the economics of such a program may not now be favorable in Duquesne</w:t>
      </w:r>
      <w:r>
        <w:t xml:space="preserve"> Light</w:t>
      </w:r>
      <w:r w:rsidRPr="004E1D74">
        <w:t>’s territory, circumstances could change over time</w:t>
      </w:r>
      <w:proofErr w:type="gramEnd"/>
      <w:r w:rsidRPr="004E1D74">
        <w:t xml:space="preserve"> to make it cost-effective.</w:t>
      </w:r>
    </w:p>
    <w:p w:rsidR="004E1D74" w:rsidRDefault="004E1D74" w:rsidP="001F372E">
      <w:pPr>
        <w:spacing w:line="360" w:lineRule="auto"/>
      </w:pPr>
    </w:p>
    <w:p w:rsidR="004E1D74" w:rsidRDefault="004E1D74" w:rsidP="00D22110">
      <w:pPr>
        <w:spacing w:line="360" w:lineRule="auto"/>
      </w:pPr>
      <w:r>
        <w:tab/>
      </w:r>
      <w:r>
        <w:tab/>
        <w:t xml:space="preserve">The OCA believes </w:t>
      </w:r>
      <w:r w:rsidR="00613876">
        <w:t xml:space="preserve">the </w:t>
      </w:r>
      <w:r w:rsidR="003D782D">
        <w:t>S</w:t>
      </w:r>
      <w:r w:rsidR="003D782D" w:rsidRPr="003D782D">
        <w:t xml:space="preserve">ettlement is in accord with </w:t>
      </w:r>
      <w:r w:rsidR="003D782D">
        <w:t xml:space="preserve">its </w:t>
      </w:r>
      <w:r w:rsidR="003D782D" w:rsidRPr="003D782D">
        <w:t>views.  It maintains a direct load control program for residential customers, but reduces the originally proposed size of the program in recognition of the current reduced cost-effectiveness of the program.</w:t>
      </w:r>
    </w:p>
    <w:p w:rsidR="003D782D" w:rsidRDefault="003D782D" w:rsidP="00D22110">
      <w:pPr>
        <w:spacing w:line="360" w:lineRule="auto"/>
      </w:pPr>
    </w:p>
    <w:p w:rsidR="003D782D" w:rsidRDefault="003D782D" w:rsidP="00D22110">
      <w:pPr>
        <w:spacing w:line="360" w:lineRule="auto"/>
      </w:pPr>
      <w:r>
        <w:lastRenderedPageBreak/>
        <w:tab/>
      </w:r>
      <w:r>
        <w:tab/>
      </w:r>
      <w:r w:rsidR="00AE3903" w:rsidRPr="00AE3903">
        <w:t xml:space="preserve">The </w:t>
      </w:r>
      <w:r w:rsidR="00AE3903">
        <w:t xml:space="preserve">OCA opines the </w:t>
      </w:r>
      <w:r w:rsidR="00AE3903" w:rsidRPr="00AE3903">
        <w:t>transfer of the remaining residential direct load control program funding to other residential energy efficiency programs is also in the interest of customers.  The money is being transferred to two of the Company’s most successful residential energy efficiency programs – the Residential Energy Efficiency Rebate Program and the Schools Energy Pledge Program – allowing further expansion of those programs.  Money will also be used to fund a new Behavioral Modification and Education program</w:t>
      </w:r>
      <w:r w:rsidR="00AE3903">
        <w:t>,</w:t>
      </w:r>
      <w:r w:rsidR="00AE3903" w:rsidRPr="00AE3903">
        <w:t xml:space="preserve"> which has met with success as part of the Energy Efficiency and Conservation Plans of other Pennsylvania EDCs.</w:t>
      </w:r>
    </w:p>
    <w:p w:rsidR="00AE3903" w:rsidRDefault="00AE3903" w:rsidP="00D22110">
      <w:pPr>
        <w:spacing w:line="360" w:lineRule="auto"/>
      </w:pPr>
    </w:p>
    <w:p w:rsidR="00AE3903" w:rsidRDefault="00AE3903" w:rsidP="00D22110">
      <w:pPr>
        <w:spacing w:line="360" w:lineRule="auto"/>
      </w:pPr>
      <w:r>
        <w:tab/>
      </w:r>
      <w:r>
        <w:tab/>
      </w:r>
      <w:r w:rsidRPr="00AE3903">
        <w:t xml:space="preserve">The </w:t>
      </w:r>
      <w:r w:rsidR="00283C32">
        <w:t>S</w:t>
      </w:r>
      <w:r w:rsidRPr="00AE3903">
        <w:t xml:space="preserve">ettlement also provides that the disposition of any residential load control program funds that have not been earmarked for specific programs will be carried out in consultation with stakeholders, a recommendation the OCA made in its </w:t>
      </w:r>
      <w:r w:rsidR="00283C32">
        <w:t>a</w:t>
      </w:r>
      <w:r w:rsidRPr="00AE3903">
        <w:t>nswer to Duquesne</w:t>
      </w:r>
      <w:r w:rsidR="00283C32">
        <w:t xml:space="preserve"> Light</w:t>
      </w:r>
      <w:r w:rsidRPr="00AE3903">
        <w:t>’s Petition.</w:t>
      </w:r>
    </w:p>
    <w:p w:rsidR="00283C32" w:rsidRDefault="00283C32" w:rsidP="00D22110">
      <w:pPr>
        <w:spacing w:line="360" w:lineRule="auto"/>
      </w:pPr>
    </w:p>
    <w:p w:rsidR="00283C32" w:rsidRDefault="00283C32" w:rsidP="00D22110">
      <w:pPr>
        <w:spacing w:line="360" w:lineRule="auto"/>
      </w:pPr>
      <w:r>
        <w:tab/>
      </w:r>
      <w:r>
        <w:tab/>
      </w:r>
      <w:r w:rsidRPr="00283C32">
        <w:t xml:space="preserve">For all of these reasons, the OCA submits the </w:t>
      </w:r>
      <w:r>
        <w:t>S</w:t>
      </w:r>
      <w:r w:rsidRPr="00283C32">
        <w:t>ettlement is in the interest of residential customers.</w:t>
      </w:r>
    </w:p>
    <w:p w:rsidR="00283C32" w:rsidRDefault="00283C32" w:rsidP="00D22110">
      <w:pPr>
        <w:spacing w:line="360" w:lineRule="auto"/>
      </w:pPr>
    </w:p>
    <w:p w:rsidR="00283C32" w:rsidRDefault="00670458" w:rsidP="00D22110">
      <w:pPr>
        <w:spacing w:line="360" w:lineRule="auto"/>
      </w:pPr>
      <w:r>
        <w:t>C.</w:t>
      </w:r>
      <w:r>
        <w:tab/>
      </w:r>
      <w:r>
        <w:rPr>
          <w:u w:val="single"/>
        </w:rPr>
        <w:t>DII’s Position</w:t>
      </w:r>
    </w:p>
    <w:p w:rsidR="00670458" w:rsidRDefault="00670458" w:rsidP="00D22110">
      <w:pPr>
        <w:spacing w:line="360" w:lineRule="auto"/>
      </w:pPr>
    </w:p>
    <w:p w:rsidR="00670458" w:rsidRDefault="00D44DA6" w:rsidP="00D22110">
      <w:pPr>
        <w:spacing w:line="360" w:lineRule="auto"/>
      </w:pPr>
      <w:r>
        <w:tab/>
      </w:r>
      <w:r>
        <w:tab/>
        <w:t xml:space="preserve">The DII note </w:t>
      </w:r>
      <w:r w:rsidR="00BE6F43">
        <w:t xml:space="preserve">the </w:t>
      </w:r>
      <w:r w:rsidR="009D353E" w:rsidRPr="009D353E">
        <w:t xml:space="preserve">Commission has a strong policy favoring settlements.  As set forth in </w:t>
      </w:r>
      <w:r w:rsidR="00FF1912">
        <w:t xml:space="preserve">its </w:t>
      </w:r>
      <w:r w:rsidR="009D353E" w:rsidRPr="009D353E">
        <w:t xml:space="preserve">regulations, </w:t>
      </w:r>
      <w:r w:rsidR="00FF1912">
        <w:t>“</w:t>
      </w:r>
      <w:r w:rsidR="009D353E" w:rsidRPr="009D353E">
        <w:t>[t]he Commission encourages parties to seek negotiated settlements of contested proceedings in lieu of incurring the time, expense and uncertainty of litigation.</w:t>
      </w:r>
      <w:r w:rsidR="00FF1912">
        <w:t>”</w:t>
      </w:r>
      <w:r w:rsidR="00407348">
        <w:t xml:space="preserve">  52 Pa. Code §</w:t>
      </w:r>
      <w:r w:rsidR="009D353E" w:rsidRPr="009D353E">
        <w:t xml:space="preserve">69.391; </w:t>
      </w:r>
      <w:r w:rsidR="009D353E" w:rsidRPr="00407348">
        <w:rPr>
          <w:i/>
        </w:rPr>
        <w:t>see also</w:t>
      </w:r>
      <w:r w:rsidR="00407348">
        <w:t>,</w:t>
      </w:r>
      <w:r w:rsidR="009D353E" w:rsidRPr="009D353E">
        <w:t xml:space="preserve"> 52 Pa. Code §5.231.  Consistent with the Commission</w:t>
      </w:r>
      <w:r w:rsidR="00407348">
        <w:t>’</w:t>
      </w:r>
      <w:r w:rsidR="009D353E" w:rsidRPr="009D353E">
        <w:t>s Policy, the Joint Petitioners engaged in several negotiations to resolve the issues raised by various parties.  These ongoing discussions produced the foregoing Settlement.</w:t>
      </w:r>
      <w:r w:rsidR="00C1294D">
        <w:t xml:space="preserve">  </w:t>
      </w:r>
      <w:r w:rsidR="00C1294D" w:rsidRPr="00C1294D">
        <w:t>The Joint Petitioners agree approval of the proposed Settlement is overwhelmingly in the best interest of the parties involved.</w:t>
      </w:r>
    </w:p>
    <w:p w:rsidR="00C1294D" w:rsidRDefault="00C1294D" w:rsidP="00D22110">
      <w:pPr>
        <w:spacing w:line="360" w:lineRule="auto"/>
      </w:pPr>
    </w:p>
    <w:p w:rsidR="00C1294D" w:rsidRDefault="00C1294D" w:rsidP="00D22110">
      <w:pPr>
        <w:spacing w:line="360" w:lineRule="auto"/>
      </w:pPr>
      <w:r>
        <w:tab/>
      </w:r>
      <w:r>
        <w:tab/>
      </w:r>
      <w:r w:rsidR="00C34B23">
        <w:t xml:space="preserve">The DII submit the </w:t>
      </w:r>
      <w:r w:rsidR="00093449">
        <w:t xml:space="preserve">Settlement </w:t>
      </w:r>
      <w:r w:rsidR="00FE4DA5" w:rsidRPr="00FE4DA5">
        <w:t>is in the public interest for the following reasons:</w:t>
      </w:r>
    </w:p>
    <w:p w:rsidR="00FE4DA5" w:rsidRDefault="00FE4DA5" w:rsidP="001F372E">
      <w:pPr>
        <w:spacing w:line="360" w:lineRule="auto"/>
      </w:pPr>
    </w:p>
    <w:p w:rsidR="00FE4DA5" w:rsidRDefault="00B9497B" w:rsidP="00B9497B">
      <w:pPr>
        <w:ind w:left="1440" w:right="1440"/>
      </w:pPr>
      <w:r>
        <w:t>a.</w:t>
      </w:r>
      <w:r>
        <w:tab/>
      </w:r>
      <w:r w:rsidR="00093449" w:rsidRPr="00093449">
        <w:t>As a result of the</w:t>
      </w:r>
      <w:r w:rsidR="00093449">
        <w:t xml:space="preserve"> Settlement</w:t>
      </w:r>
      <w:r w:rsidR="00093449" w:rsidRPr="00093449">
        <w:t>, expenses incurred by the Joint Petitioners and the Commission for completing this proceeding will be less than they would have been if the proceeding had been fully litigated.</w:t>
      </w:r>
    </w:p>
    <w:p w:rsidR="00093449" w:rsidRDefault="00093449" w:rsidP="00FE4DA5">
      <w:pPr>
        <w:ind w:left="1440" w:right="1440"/>
      </w:pPr>
      <w:r>
        <w:lastRenderedPageBreak/>
        <w:t>b.</w:t>
      </w:r>
      <w:r>
        <w:tab/>
      </w:r>
      <w:r w:rsidR="00B85B59" w:rsidRPr="00B85B59">
        <w:t>Uncertainties regarding further expenses associated with possible appeals from the Final Order of the Commission are avoided as a result of the</w:t>
      </w:r>
      <w:r w:rsidR="00B85B59">
        <w:t xml:space="preserve"> Settlement.</w:t>
      </w:r>
    </w:p>
    <w:p w:rsidR="00B85B59" w:rsidRDefault="00B85B59" w:rsidP="00FE4DA5">
      <w:pPr>
        <w:ind w:left="1440" w:right="1440"/>
      </w:pPr>
    </w:p>
    <w:p w:rsidR="00B85B59" w:rsidRDefault="00B85B59" w:rsidP="00FE4DA5">
      <w:pPr>
        <w:ind w:left="1440" w:right="1440"/>
      </w:pPr>
      <w:r>
        <w:t>c.</w:t>
      </w:r>
      <w:r>
        <w:tab/>
        <w:t xml:space="preserve">The Settlement </w:t>
      </w:r>
      <w:r w:rsidR="000A79CC" w:rsidRPr="000A79CC">
        <w:t xml:space="preserve">reflects compromises on all sides presented without prejudice to any position any Joint Petitioner may have advanced so far in this proceeding.  Similarly, the </w:t>
      </w:r>
      <w:r w:rsidR="000A79CC">
        <w:t xml:space="preserve">Settlement </w:t>
      </w:r>
      <w:r w:rsidR="000A79CC" w:rsidRPr="000A79CC">
        <w:t>is presented without prejudice to any position any party may advance in future proceedings involving the Company.</w:t>
      </w:r>
    </w:p>
    <w:p w:rsidR="000A79CC" w:rsidRDefault="000A79CC" w:rsidP="000A79CC"/>
    <w:p w:rsidR="000A79CC" w:rsidRDefault="000A79CC" w:rsidP="000A79CC"/>
    <w:p w:rsidR="000A79CC" w:rsidRDefault="000A79CC" w:rsidP="000A79CC">
      <w:pPr>
        <w:spacing w:line="360" w:lineRule="auto"/>
      </w:pPr>
      <w:r>
        <w:tab/>
      </w:r>
      <w:r>
        <w:tab/>
      </w:r>
      <w:r w:rsidRPr="000A79CC">
        <w:t xml:space="preserve">In addition, the </w:t>
      </w:r>
      <w:r>
        <w:t xml:space="preserve">Settlement </w:t>
      </w:r>
      <w:r w:rsidRPr="000A79CC">
        <w:t xml:space="preserve">specifically satisfies the concerns of </w:t>
      </w:r>
      <w:r w:rsidR="008423F7">
        <w:t xml:space="preserve">the </w:t>
      </w:r>
      <w:r w:rsidRPr="000A79CC">
        <w:t xml:space="preserve">DII by providing that Duquesne </w:t>
      </w:r>
      <w:r w:rsidR="00946231">
        <w:t xml:space="preserve">Light </w:t>
      </w:r>
      <w:r w:rsidRPr="000A79CC">
        <w:t xml:space="preserve">will accept approximately 20 MW of demand reductions from Large C&amp;I </w:t>
      </w:r>
      <w:r w:rsidR="00946231">
        <w:t>c</w:t>
      </w:r>
      <w:r w:rsidRPr="000A79CC">
        <w:t>ustomers or Large C&amp;I customers</w:t>
      </w:r>
      <w:r w:rsidR="00946231">
        <w:t>’</w:t>
      </w:r>
      <w:r w:rsidRPr="000A79CC">
        <w:t xml:space="preserve"> PJM curtailment service providers (</w:t>
      </w:r>
      <w:r w:rsidR="00946231">
        <w:t>“</w:t>
      </w:r>
      <w:r w:rsidRPr="000A79CC">
        <w:t>CSPs</w:t>
      </w:r>
      <w:r w:rsidR="00946231">
        <w:t>”</w:t>
      </w:r>
      <w:r w:rsidRPr="000A79CC">
        <w:t>) directly, rather than requiring that all demand reductions be</w:t>
      </w:r>
      <w:r w:rsidR="00946231">
        <w:t xml:space="preserve"> administered by Duquesne Light’</w:t>
      </w:r>
      <w:r w:rsidRPr="000A79CC">
        <w:t xml:space="preserve">s </w:t>
      </w:r>
      <w:proofErr w:type="spellStart"/>
      <w:r w:rsidR="00946231">
        <w:t>c</w:t>
      </w:r>
      <w:r w:rsidRPr="000A79CC">
        <w:t>urtailable</w:t>
      </w:r>
      <w:proofErr w:type="spellEnd"/>
      <w:r w:rsidRPr="000A79CC">
        <w:t xml:space="preserve"> </w:t>
      </w:r>
      <w:r w:rsidR="00946231">
        <w:t>l</w:t>
      </w:r>
      <w:r w:rsidRPr="000A79CC">
        <w:t xml:space="preserve">oad </w:t>
      </w:r>
      <w:r w:rsidR="00946231">
        <w:t>p</w:t>
      </w:r>
      <w:r w:rsidRPr="000A79CC">
        <w:t xml:space="preserve">rogram CSP, provided that such Large C&amp;I customer demand reductions are needed to meet the goals of the EE&amp;C Plan and are more cost </w:t>
      </w:r>
      <w:r w:rsidR="00946231">
        <w:t>effective than what the Company’</w:t>
      </w:r>
      <w:r w:rsidRPr="000A79CC">
        <w:t xml:space="preserve">s </w:t>
      </w:r>
      <w:proofErr w:type="spellStart"/>
      <w:r w:rsidR="00946231">
        <w:t>c</w:t>
      </w:r>
      <w:r w:rsidRPr="000A79CC">
        <w:t>urtailable</w:t>
      </w:r>
      <w:proofErr w:type="spellEnd"/>
      <w:r w:rsidRPr="000A79CC">
        <w:t xml:space="preserve"> </w:t>
      </w:r>
      <w:r w:rsidR="00946231">
        <w:t>l</w:t>
      </w:r>
      <w:r w:rsidRPr="000A79CC">
        <w:t xml:space="preserve">oad </w:t>
      </w:r>
      <w:r w:rsidR="00946231">
        <w:t>p</w:t>
      </w:r>
      <w:r w:rsidRPr="000A79CC">
        <w:t xml:space="preserve">rogram CSP can provide (Settlement </w:t>
      </w:r>
      <w:r w:rsidR="00946231">
        <w:t xml:space="preserve">at </w:t>
      </w:r>
      <w:r w:rsidR="00587011">
        <w:t>¶</w:t>
      </w:r>
      <w:r w:rsidRPr="000A79CC">
        <w:t>17).</w:t>
      </w:r>
    </w:p>
    <w:p w:rsidR="00587011" w:rsidRDefault="00587011" w:rsidP="000A79CC">
      <w:pPr>
        <w:spacing w:line="360" w:lineRule="auto"/>
      </w:pPr>
    </w:p>
    <w:p w:rsidR="00587011" w:rsidRDefault="00587011" w:rsidP="000A79CC">
      <w:pPr>
        <w:spacing w:line="360" w:lineRule="auto"/>
      </w:pPr>
      <w:r>
        <w:tab/>
      </w:r>
      <w:r>
        <w:tab/>
      </w:r>
      <w:r w:rsidR="00B8497F">
        <w:t xml:space="preserve">The Settlement </w:t>
      </w:r>
      <w:r w:rsidR="00B8497F" w:rsidRPr="00B8497F">
        <w:t xml:space="preserve">also satisfies the concerns of </w:t>
      </w:r>
      <w:r w:rsidR="008423F7">
        <w:t xml:space="preserve">the </w:t>
      </w:r>
      <w:r w:rsidR="00B8497F" w:rsidRPr="00B8497F">
        <w:t>DII by providing for a lower cost responsibility for Large C&amp;I customers compared to the original Petition, and by removing the Petition</w:t>
      </w:r>
      <w:r w:rsidR="00B8497F">
        <w:t>’</w:t>
      </w:r>
      <w:r w:rsidR="00B8497F" w:rsidRPr="00B8497F">
        <w:t xml:space="preserve">s proposal to shift cost responsibility from other classes to Large C&amp;I customers.  Specifically, the Petition proposed increasing the cost responsibility of Large C&amp;I customers by shifting $892,000 of funds from the Small/Midsized C&amp;I DR </w:t>
      </w:r>
      <w:r w:rsidR="00B8497F">
        <w:t>A/C c</w:t>
      </w:r>
      <w:r w:rsidR="00B8497F" w:rsidRPr="00B8497F">
        <w:t xml:space="preserve">ycling </w:t>
      </w:r>
      <w:r w:rsidR="00B8497F">
        <w:t>p</w:t>
      </w:r>
      <w:r w:rsidR="00B8497F" w:rsidRPr="00B8497F">
        <w:t xml:space="preserve">rogram to the Large C&amp;I </w:t>
      </w:r>
      <w:r w:rsidR="00B8497F">
        <w:t>DR p</w:t>
      </w:r>
      <w:r w:rsidR="00B8497F" w:rsidRPr="00B8497F">
        <w:t xml:space="preserve">rogram, in order to achieve an additional 20 MW of Large C&amp;I demand </w:t>
      </w:r>
      <w:r w:rsidR="009E19B7">
        <w:t>reductions (</w:t>
      </w:r>
      <w:r w:rsidR="00B8497F" w:rsidRPr="00B8497F">
        <w:t>Petition at 6</w:t>
      </w:r>
      <w:r w:rsidR="009E19B7">
        <w:t>)</w:t>
      </w:r>
      <w:r w:rsidR="00B8497F" w:rsidRPr="00B8497F">
        <w:t xml:space="preserve">.  Rather than shifting cost responsibility from other classes to Large C&amp;I customers, the Settlement provides that funds for the additional 20 MW of demand reductions will be shifted from Large C&amp;I energy efficiency programs (Settlement </w:t>
      </w:r>
      <w:r w:rsidR="00324F10">
        <w:t>at ¶</w:t>
      </w:r>
      <w:r w:rsidR="00B8497F" w:rsidRPr="00B8497F">
        <w:t>18).</w:t>
      </w:r>
    </w:p>
    <w:p w:rsidR="00324F10" w:rsidRDefault="00324F10" w:rsidP="000A79CC">
      <w:pPr>
        <w:spacing w:line="360" w:lineRule="auto"/>
      </w:pPr>
    </w:p>
    <w:p w:rsidR="00324F10" w:rsidRDefault="00324F10" w:rsidP="00D22110">
      <w:pPr>
        <w:spacing w:line="360" w:lineRule="auto"/>
      </w:pPr>
      <w:r>
        <w:tab/>
      </w:r>
      <w:r>
        <w:tab/>
        <w:t xml:space="preserve">For these reasons, </w:t>
      </w:r>
      <w:r w:rsidR="00CB2664">
        <w:t>DII urge the Commission to approve the Settlement as in the public interest.</w:t>
      </w:r>
    </w:p>
    <w:p w:rsidR="00E91234" w:rsidRDefault="00E91234" w:rsidP="00D22110">
      <w:pPr>
        <w:spacing w:line="360" w:lineRule="auto"/>
      </w:pPr>
    </w:p>
    <w:p w:rsidR="00C72992" w:rsidRDefault="00C72992">
      <w:r>
        <w:br w:type="page"/>
      </w:r>
    </w:p>
    <w:p w:rsidR="00CB2664" w:rsidRDefault="00CB2664" w:rsidP="00D22110">
      <w:pPr>
        <w:spacing w:line="360" w:lineRule="auto"/>
        <w:rPr>
          <w:u w:val="single"/>
        </w:rPr>
      </w:pPr>
      <w:r>
        <w:lastRenderedPageBreak/>
        <w:t>D.</w:t>
      </w:r>
      <w:r>
        <w:tab/>
      </w:r>
      <w:proofErr w:type="spellStart"/>
      <w:r>
        <w:rPr>
          <w:u w:val="single"/>
        </w:rPr>
        <w:t>Comverge’s</w:t>
      </w:r>
      <w:proofErr w:type="spellEnd"/>
      <w:r>
        <w:rPr>
          <w:u w:val="single"/>
        </w:rPr>
        <w:t xml:space="preserve"> Position</w:t>
      </w:r>
    </w:p>
    <w:p w:rsidR="00E91234" w:rsidRDefault="00E91234" w:rsidP="00D22110">
      <w:pPr>
        <w:spacing w:line="360" w:lineRule="auto"/>
      </w:pPr>
    </w:p>
    <w:p w:rsidR="00CB2664" w:rsidRDefault="00F071F3" w:rsidP="00D22110">
      <w:pPr>
        <w:spacing w:line="360" w:lineRule="auto"/>
      </w:pPr>
      <w:r>
        <w:tab/>
      </w:r>
      <w:r>
        <w:tab/>
      </w:r>
      <w:proofErr w:type="spellStart"/>
      <w:r w:rsidR="00A37682">
        <w:t>Comverge</w:t>
      </w:r>
      <w:proofErr w:type="spellEnd"/>
      <w:r w:rsidR="00A37682">
        <w:rPr>
          <w:rStyle w:val="FootnoteReference"/>
        </w:rPr>
        <w:footnoteReference w:id="6"/>
      </w:r>
      <w:r w:rsidR="009632B8">
        <w:t xml:space="preserve"> </w:t>
      </w:r>
      <w:r w:rsidR="00F84FC3" w:rsidRPr="00F84FC3">
        <w:t>submits the terms of the Settlement are in the public interest and represent a fair, just, reasonable and equitable balance of the interests of Duquesne Light and its customers.</w:t>
      </w:r>
      <w:r w:rsidR="00077061">
        <w:t xml:space="preserve">  Initially, </w:t>
      </w:r>
      <w:proofErr w:type="spellStart"/>
      <w:r w:rsidR="00077061" w:rsidRPr="00077061">
        <w:t>Comverge</w:t>
      </w:r>
      <w:proofErr w:type="spellEnd"/>
      <w:r w:rsidR="00077061" w:rsidRPr="00077061">
        <w:t xml:space="preserve"> observes the </w:t>
      </w:r>
      <w:r w:rsidR="00077061">
        <w:t>S</w:t>
      </w:r>
      <w:r w:rsidR="00077061" w:rsidRPr="00077061">
        <w:t xml:space="preserve">ettlement enhances </w:t>
      </w:r>
      <w:r w:rsidR="00077061">
        <w:t xml:space="preserve">Duquesne Light’s EE&amp;C </w:t>
      </w:r>
      <w:r w:rsidR="00077061" w:rsidRPr="00077061">
        <w:t xml:space="preserve">Plan by ensuring that previously spent dollars are not stranded and by tailoring the dollars spent to the level of interest already demonstrated by </w:t>
      </w:r>
      <w:r w:rsidR="00077061">
        <w:t xml:space="preserve">the Company’s </w:t>
      </w:r>
      <w:r w:rsidR="00077061" w:rsidRPr="00077061">
        <w:t>customers.</w:t>
      </w:r>
      <w:r w:rsidR="006F28BC">
        <w:t xml:space="preserve">  Further, </w:t>
      </w:r>
      <w:proofErr w:type="spellStart"/>
      <w:r w:rsidR="006F28BC">
        <w:t>Comverge</w:t>
      </w:r>
      <w:proofErr w:type="spellEnd"/>
      <w:r w:rsidR="006F28BC">
        <w:t xml:space="preserve"> </w:t>
      </w:r>
      <w:r w:rsidR="00162E3E">
        <w:t>supplies the following reasons for finding the Settlement to be in the public interest:</w:t>
      </w:r>
    </w:p>
    <w:p w:rsidR="00162E3E" w:rsidRDefault="00162E3E" w:rsidP="000A79CC">
      <w:pPr>
        <w:spacing w:line="360" w:lineRule="auto"/>
      </w:pPr>
    </w:p>
    <w:p w:rsidR="00162E3E" w:rsidRDefault="00B9497B" w:rsidP="00B9497B">
      <w:pPr>
        <w:ind w:left="1440" w:right="1440"/>
      </w:pPr>
      <w:r>
        <w:t>a.</w:t>
      </w:r>
      <w:r>
        <w:tab/>
      </w:r>
      <w:r w:rsidR="00D64876">
        <w:t xml:space="preserve">The Settlement </w:t>
      </w:r>
      <w:r w:rsidR="00D64876" w:rsidRPr="00D64876">
        <w:t xml:space="preserve">ensures that </w:t>
      </w:r>
      <w:r w:rsidR="00D64876">
        <w:t xml:space="preserve">Duquesne Light’s </w:t>
      </w:r>
      <w:r w:rsidR="00D64876" w:rsidRPr="00D64876">
        <w:t xml:space="preserve">DR programs will be funded at a level that is consistent with the interest demonstrated by </w:t>
      </w:r>
      <w:r w:rsidR="00D64876">
        <w:t xml:space="preserve">its </w:t>
      </w:r>
      <w:r w:rsidR="00D64876" w:rsidRPr="00D64876">
        <w:t>customers.</w:t>
      </w:r>
    </w:p>
    <w:p w:rsidR="00D64876" w:rsidRDefault="00D64876" w:rsidP="00162E3E">
      <w:pPr>
        <w:ind w:left="1440" w:right="1440"/>
      </w:pPr>
    </w:p>
    <w:p w:rsidR="00D64876" w:rsidRDefault="00D64876" w:rsidP="00162E3E">
      <w:pPr>
        <w:ind w:left="1440" w:right="1440"/>
      </w:pPr>
      <w:r>
        <w:t>b.</w:t>
      </w:r>
      <w:r>
        <w:tab/>
      </w:r>
      <w:r w:rsidR="001616B5" w:rsidRPr="001616B5">
        <w:t xml:space="preserve">As a result of this </w:t>
      </w:r>
      <w:r w:rsidR="001616B5">
        <w:t>S</w:t>
      </w:r>
      <w:r w:rsidR="001616B5" w:rsidRPr="001616B5">
        <w:t>ettlement, all customers</w:t>
      </w:r>
      <w:r w:rsidR="001616B5">
        <w:t>,</w:t>
      </w:r>
      <w:r w:rsidR="001616B5" w:rsidRPr="001616B5">
        <w:t xml:space="preserve"> who have previously expressed an interest in pursuing a demand response option and were promised compensation for their participation in the program</w:t>
      </w:r>
      <w:r w:rsidR="001616B5">
        <w:t>,</w:t>
      </w:r>
      <w:r w:rsidR="001616B5" w:rsidRPr="001616B5">
        <w:t xml:space="preserve"> will be able to participate in the program and receive the compensation for which they registered.</w:t>
      </w:r>
    </w:p>
    <w:p w:rsidR="001616B5" w:rsidRDefault="001616B5" w:rsidP="00162E3E">
      <w:pPr>
        <w:ind w:left="1440" w:right="1440"/>
      </w:pPr>
    </w:p>
    <w:p w:rsidR="001616B5" w:rsidRDefault="001616B5" w:rsidP="00162E3E">
      <w:pPr>
        <w:ind w:left="1440" w:right="1440"/>
      </w:pPr>
      <w:r>
        <w:t>c.</w:t>
      </w:r>
      <w:r>
        <w:tab/>
        <w:t xml:space="preserve">The Settlement </w:t>
      </w:r>
      <w:r w:rsidR="004F7DA4" w:rsidRPr="004F7DA4">
        <w:t>discontinues expensive and unnecessary litigation and administrative burden.</w:t>
      </w:r>
    </w:p>
    <w:p w:rsidR="004F7DA4" w:rsidRDefault="004F7DA4" w:rsidP="004F7DA4"/>
    <w:p w:rsidR="004F7DA4" w:rsidRDefault="004F7DA4" w:rsidP="004F7DA4"/>
    <w:p w:rsidR="004F7DA4" w:rsidRDefault="00F94C4E" w:rsidP="00F4518A">
      <w:pPr>
        <w:spacing w:line="360" w:lineRule="auto"/>
      </w:pPr>
      <w:r>
        <w:tab/>
      </w:r>
      <w:r>
        <w:tab/>
      </w:r>
      <w:proofErr w:type="spellStart"/>
      <w:r>
        <w:t>Comverge</w:t>
      </w:r>
      <w:proofErr w:type="spellEnd"/>
      <w:r>
        <w:t xml:space="preserve"> suggests the Settlement </w:t>
      </w:r>
      <w:r w:rsidRPr="00F94C4E">
        <w:t xml:space="preserve">addresses and adjusts all substantial issues that are the subject of dispute.  </w:t>
      </w:r>
      <w:proofErr w:type="spellStart"/>
      <w:r w:rsidR="009420B7">
        <w:t>Comverge</w:t>
      </w:r>
      <w:proofErr w:type="spellEnd"/>
      <w:r w:rsidR="009420B7">
        <w:t xml:space="preserve"> opines i</w:t>
      </w:r>
      <w:r w:rsidRPr="00F94C4E">
        <w:t xml:space="preserve">t appears unlikely that full litigation of these matters would result in </w:t>
      </w:r>
      <w:r w:rsidR="009420B7">
        <w:t xml:space="preserve">it </w:t>
      </w:r>
      <w:r w:rsidRPr="00F94C4E">
        <w:t>obtaining a superior outcome.</w:t>
      </w:r>
      <w:r w:rsidR="009420B7">
        <w:t xml:space="preserve">  </w:t>
      </w:r>
      <w:proofErr w:type="spellStart"/>
      <w:r w:rsidR="009420B7" w:rsidRPr="009420B7">
        <w:t>Comverge</w:t>
      </w:r>
      <w:proofErr w:type="spellEnd"/>
      <w:r w:rsidR="009420B7" w:rsidRPr="009420B7">
        <w:t xml:space="preserve"> supports the </w:t>
      </w:r>
      <w:r w:rsidR="009420B7">
        <w:t xml:space="preserve">Settlement, </w:t>
      </w:r>
      <w:r w:rsidR="009420B7" w:rsidRPr="009420B7">
        <w:t xml:space="preserve">because it </w:t>
      </w:r>
      <w:r w:rsidR="009420B7">
        <w:t xml:space="preserve">believes it to be </w:t>
      </w:r>
      <w:r w:rsidR="009420B7" w:rsidRPr="009420B7">
        <w:t xml:space="preserve">in the public interest.  However, in the event this matter proceeds to full litigation, </w:t>
      </w:r>
      <w:proofErr w:type="spellStart"/>
      <w:r w:rsidR="009420B7" w:rsidRPr="009420B7">
        <w:t>Comverge</w:t>
      </w:r>
      <w:proofErr w:type="spellEnd"/>
      <w:r w:rsidR="009420B7" w:rsidRPr="009420B7">
        <w:t xml:space="preserve"> is prepared to take litigation positions that may differ from the terms of the proposed Settlement.</w:t>
      </w:r>
    </w:p>
    <w:p w:rsidR="005C7904" w:rsidRDefault="005C7904" w:rsidP="00F4518A">
      <w:pPr>
        <w:spacing w:line="360" w:lineRule="auto"/>
      </w:pPr>
    </w:p>
    <w:p w:rsidR="005C7904" w:rsidRDefault="005C7904" w:rsidP="00F4518A">
      <w:pPr>
        <w:spacing w:line="360" w:lineRule="auto"/>
      </w:pPr>
      <w:r>
        <w:tab/>
      </w:r>
      <w:r>
        <w:tab/>
        <w:t xml:space="preserve">For these reasons, </w:t>
      </w:r>
      <w:proofErr w:type="spellStart"/>
      <w:r>
        <w:t>Comverge</w:t>
      </w:r>
      <w:proofErr w:type="spellEnd"/>
      <w:r>
        <w:t xml:space="preserve"> urges approval of the Settlement.</w:t>
      </w:r>
    </w:p>
    <w:p w:rsidR="005C7904" w:rsidRDefault="005C7904" w:rsidP="00F4518A">
      <w:pPr>
        <w:spacing w:line="360" w:lineRule="auto"/>
      </w:pPr>
    </w:p>
    <w:p w:rsidR="00C72992" w:rsidRDefault="00C72992">
      <w:r>
        <w:br w:type="page"/>
      </w:r>
    </w:p>
    <w:p w:rsidR="005C7904" w:rsidRDefault="005C7904" w:rsidP="00F4518A">
      <w:pPr>
        <w:spacing w:line="360" w:lineRule="auto"/>
      </w:pPr>
      <w:r>
        <w:lastRenderedPageBreak/>
        <w:t>E.</w:t>
      </w:r>
      <w:r>
        <w:tab/>
      </w:r>
      <w:r>
        <w:rPr>
          <w:u w:val="single"/>
        </w:rPr>
        <w:t>Recommendation</w:t>
      </w:r>
    </w:p>
    <w:p w:rsidR="005C7904" w:rsidRDefault="005C7904" w:rsidP="00F4518A">
      <w:pPr>
        <w:spacing w:line="360" w:lineRule="auto"/>
      </w:pPr>
    </w:p>
    <w:p w:rsidR="005C7904" w:rsidRDefault="005C7904" w:rsidP="00F4518A">
      <w:pPr>
        <w:spacing w:line="360" w:lineRule="auto"/>
      </w:pPr>
      <w:r>
        <w:tab/>
      </w:r>
      <w:r>
        <w:tab/>
      </w:r>
      <w:r w:rsidR="00D93E70" w:rsidRPr="00D93E70">
        <w:t>Upon due consideration of the terms and conditions of the Settlement, including the supporting statements of the parties, this Settlement constitutes a fair, just and reasonable resolution of</w:t>
      </w:r>
      <w:r w:rsidR="00D93E70">
        <w:t xml:space="preserve"> this proceeding</w:t>
      </w:r>
      <w:r w:rsidR="00D93E70" w:rsidRPr="00D93E70">
        <w:t>.  Therefore, the Settlement is in the public interest and should be approved.</w:t>
      </w:r>
    </w:p>
    <w:p w:rsidR="00D93E70" w:rsidRDefault="00D93E70" w:rsidP="00F4518A">
      <w:pPr>
        <w:spacing w:line="360" w:lineRule="auto"/>
      </w:pPr>
    </w:p>
    <w:p w:rsidR="00D93E70" w:rsidRDefault="00287DD5" w:rsidP="00F4518A">
      <w:pPr>
        <w:spacing w:line="360" w:lineRule="auto"/>
        <w:jc w:val="center"/>
      </w:pPr>
      <w:r>
        <w:t>IV.</w:t>
      </w:r>
      <w:r>
        <w:tab/>
      </w:r>
      <w:r>
        <w:rPr>
          <w:u w:val="single"/>
        </w:rPr>
        <w:t>CONCLUSIONS OF LAW</w:t>
      </w:r>
    </w:p>
    <w:p w:rsidR="00287DD5" w:rsidRDefault="00287DD5" w:rsidP="00F4518A">
      <w:pPr>
        <w:spacing w:line="360" w:lineRule="auto"/>
      </w:pPr>
    </w:p>
    <w:p w:rsidR="00287DD5" w:rsidRDefault="00A0489B" w:rsidP="00F4518A">
      <w:pPr>
        <w:pStyle w:val="ListParagraph"/>
        <w:numPr>
          <w:ilvl w:val="0"/>
          <w:numId w:val="9"/>
        </w:numPr>
        <w:spacing w:line="360" w:lineRule="auto"/>
        <w:ind w:left="0" w:firstLine="1440"/>
      </w:pPr>
      <w:r w:rsidRPr="00A0489B">
        <w:t xml:space="preserve">The Commission has jurisdiction over the subject matter and the parties to this proceeding.  66 Pa. C.S. §§501, </w:t>
      </w:r>
      <w:r w:rsidRPr="00A0489B">
        <w:rPr>
          <w:i/>
        </w:rPr>
        <w:t>et seq</w:t>
      </w:r>
      <w:r w:rsidRPr="00A0489B">
        <w:t>.</w:t>
      </w:r>
    </w:p>
    <w:p w:rsidR="00A0489B" w:rsidRDefault="00A0489B" w:rsidP="00F4518A">
      <w:pPr>
        <w:pStyle w:val="ListParagraph"/>
        <w:spacing w:line="360" w:lineRule="auto"/>
        <w:ind w:left="1440"/>
      </w:pPr>
    </w:p>
    <w:p w:rsidR="00A0489B" w:rsidRDefault="00695F35" w:rsidP="00F4518A">
      <w:pPr>
        <w:pStyle w:val="ListParagraph"/>
        <w:numPr>
          <w:ilvl w:val="0"/>
          <w:numId w:val="9"/>
        </w:numPr>
        <w:spacing w:line="360" w:lineRule="auto"/>
        <w:ind w:left="0" w:firstLine="1440"/>
      </w:pPr>
      <w:r>
        <w:t xml:space="preserve">The </w:t>
      </w:r>
      <w:r w:rsidR="00C07088" w:rsidRPr="007C37F0">
        <w:t xml:space="preserve">Joint </w:t>
      </w:r>
      <w:r w:rsidR="00C07088">
        <w:t xml:space="preserve">Petition for </w:t>
      </w:r>
      <w:r w:rsidR="00C07088" w:rsidRPr="007C37F0">
        <w:t xml:space="preserve">Settlement that </w:t>
      </w:r>
      <w:r w:rsidR="00C07088">
        <w:t xml:space="preserve">Duquesne Light </w:t>
      </w:r>
      <w:r w:rsidR="00C07088" w:rsidRPr="007C37F0">
        <w:t xml:space="preserve">Company, </w:t>
      </w:r>
      <w:r w:rsidR="00C07088">
        <w:t xml:space="preserve">the Office of Consumer Advocate, Duquesne Industrial Intervenors, and </w:t>
      </w:r>
      <w:proofErr w:type="spellStart"/>
      <w:r w:rsidR="00C07088">
        <w:t>Comverge</w:t>
      </w:r>
      <w:proofErr w:type="spellEnd"/>
      <w:r w:rsidR="00C07088">
        <w:t xml:space="preserve">, Inc. </w:t>
      </w:r>
      <w:r w:rsidR="00C07088" w:rsidRPr="007C37F0">
        <w:t>have submitted in this proceeding</w:t>
      </w:r>
      <w:r w:rsidR="00C07088">
        <w:t xml:space="preserve"> </w:t>
      </w:r>
      <w:r w:rsidR="00CA4330">
        <w:t>complies with the requirements of Act 129, 66 Pa. C.S. §§</w:t>
      </w:r>
      <w:r w:rsidR="00170529" w:rsidRPr="00170529">
        <w:t>2806.1 and 2806.2.</w:t>
      </w:r>
    </w:p>
    <w:p w:rsidR="00170529" w:rsidRDefault="00170529" w:rsidP="00F4518A">
      <w:pPr>
        <w:pStyle w:val="ListParagraph"/>
        <w:spacing w:line="360" w:lineRule="auto"/>
      </w:pPr>
    </w:p>
    <w:p w:rsidR="00170529" w:rsidRDefault="007C37F0" w:rsidP="00F4518A">
      <w:pPr>
        <w:pStyle w:val="ListParagraph"/>
        <w:numPr>
          <w:ilvl w:val="0"/>
          <w:numId w:val="9"/>
        </w:numPr>
        <w:spacing w:line="360" w:lineRule="auto"/>
        <w:ind w:left="0" w:firstLine="1440"/>
      </w:pPr>
      <w:r w:rsidRPr="007C37F0">
        <w:t xml:space="preserve">The Commission should approve the Joint </w:t>
      </w:r>
      <w:r>
        <w:t xml:space="preserve">Petition for </w:t>
      </w:r>
      <w:r w:rsidRPr="007C37F0">
        <w:t xml:space="preserve">Settlement that </w:t>
      </w:r>
      <w:r>
        <w:t xml:space="preserve">Duquesne Light </w:t>
      </w:r>
      <w:r w:rsidRPr="007C37F0">
        <w:t xml:space="preserve">Company, </w:t>
      </w:r>
      <w:r>
        <w:t>the Office of Consumer Advocate</w:t>
      </w:r>
      <w:r w:rsidR="00724153">
        <w:t xml:space="preserve">, Duquesne Industrial Intervenors, and </w:t>
      </w:r>
      <w:proofErr w:type="spellStart"/>
      <w:r w:rsidR="00724153">
        <w:t>Comverge</w:t>
      </w:r>
      <w:proofErr w:type="spellEnd"/>
      <w:r w:rsidR="00724153">
        <w:t xml:space="preserve">, Inc. </w:t>
      </w:r>
      <w:r w:rsidRPr="007C37F0">
        <w:t>have submitted in this proceeding as in the public interest.</w:t>
      </w:r>
    </w:p>
    <w:p w:rsidR="00C07088" w:rsidRDefault="00C07088" w:rsidP="00F4518A">
      <w:pPr>
        <w:pStyle w:val="ListParagraph"/>
        <w:spacing w:line="360" w:lineRule="auto"/>
      </w:pPr>
    </w:p>
    <w:p w:rsidR="00B9497B" w:rsidRDefault="00B9497B" w:rsidP="00F4518A">
      <w:pPr>
        <w:spacing w:line="360" w:lineRule="auto"/>
      </w:pPr>
    </w:p>
    <w:p w:rsidR="00F4518A" w:rsidRDefault="00F4518A">
      <w:r>
        <w:br w:type="page"/>
      </w:r>
    </w:p>
    <w:p w:rsidR="00C07088" w:rsidRDefault="00402B61" w:rsidP="00F4518A">
      <w:pPr>
        <w:spacing w:line="360" w:lineRule="auto"/>
        <w:jc w:val="center"/>
      </w:pPr>
      <w:r>
        <w:lastRenderedPageBreak/>
        <w:t>V.</w:t>
      </w:r>
      <w:r>
        <w:tab/>
      </w:r>
      <w:r>
        <w:rPr>
          <w:u w:val="single"/>
        </w:rPr>
        <w:t>ORDER</w:t>
      </w:r>
    </w:p>
    <w:p w:rsidR="00402B61" w:rsidRDefault="00402B61" w:rsidP="00F4518A">
      <w:pPr>
        <w:spacing w:line="360" w:lineRule="auto"/>
      </w:pPr>
    </w:p>
    <w:p w:rsidR="00402B61" w:rsidRDefault="00402B61" w:rsidP="00F4518A">
      <w:pPr>
        <w:spacing w:line="360" w:lineRule="auto"/>
      </w:pPr>
      <w:r>
        <w:tab/>
      </w:r>
      <w:r>
        <w:tab/>
        <w:t>THEREFORE,</w:t>
      </w:r>
    </w:p>
    <w:p w:rsidR="00402B61" w:rsidRDefault="00402B61" w:rsidP="00F4518A">
      <w:pPr>
        <w:spacing w:line="360" w:lineRule="auto"/>
      </w:pPr>
    </w:p>
    <w:p w:rsidR="00402B61" w:rsidRDefault="00402B61" w:rsidP="00F4518A">
      <w:pPr>
        <w:spacing w:line="360" w:lineRule="auto"/>
      </w:pPr>
      <w:r>
        <w:tab/>
      </w:r>
      <w:r>
        <w:tab/>
        <w:t>IT IS RECOMMENDED:</w:t>
      </w:r>
    </w:p>
    <w:p w:rsidR="00402B61" w:rsidRDefault="00402B61" w:rsidP="00F4518A">
      <w:pPr>
        <w:spacing w:line="360" w:lineRule="auto"/>
      </w:pPr>
    </w:p>
    <w:p w:rsidR="00402B61" w:rsidRDefault="009661D5" w:rsidP="00F4518A">
      <w:pPr>
        <w:pStyle w:val="ListParagraph"/>
        <w:numPr>
          <w:ilvl w:val="0"/>
          <w:numId w:val="11"/>
        </w:numPr>
        <w:spacing w:line="360" w:lineRule="auto"/>
        <w:ind w:left="0" w:firstLine="1440"/>
      </w:pPr>
      <w:r>
        <w:t xml:space="preserve">That the </w:t>
      </w:r>
      <w:r w:rsidRPr="007C37F0">
        <w:t xml:space="preserve">Joint </w:t>
      </w:r>
      <w:r>
        <w:t xml:space="preserve">Petition for </w:t>
      </w:r>
      <w:r w:rsidRPr="007C37F0">
        <w:t xml:space="preserve">Settlement that </w:t>
      </w:r>
      <w:r>
        <w:t xml:space="preserve">Duquesne Light </w:t>
      </w:r>
      <w:r w:rsidRPr="007C37F0">
        <w:t xml:space="preserve">Company, </w:t>
      </w:r>
      <w:r>
        <w:t xml:space="preserve">the Office of Consumer Advocate, Duquesne Industrial Intervenors, and </w:t>
      </w:r>
      <w:proofErr w:type="spellStart"/>
      <w:r>
        <w:t>Comverge</w:t>
      </w:r>
      <w:proofErr w:type="spellEnd"/>
      <w:r>
        <w:t xml:space="preserve">, Inc. </w:t>
      </w:r>
      <w:proofErr w:type="gramStart"/>
      <w:r w:rsidRPr="007C37F0">
        <w:t>have</w:t>
      </w:r>
      <w:proofErr w:type="gramEnd"/>
      <w:r w:rsidRPr="007C37F0">
        <w:t xml:space="preserve"> submitted </w:t>
      </w:r>
      <w:r>
        <w:t xml:space="preserve">on August 26, 2011 at Docket No. </w:t>
      </w:r>
      <w:r w:rsidR="007C4D97">
        <w:t>M</w:t>
      </w:r>
      <w:r>
        <w:t>-2009-2093217</w:t>
      </w:r>
      <w:r w:rsidR="007A0209">
        <w:t xml:space="preserve"> is hereby approved.</w:t>
      </w:r>
    </w:p>
    <w:p w:rsidR="007A0209" w:rsidRDefault="007A0209" w:rsidP="00F4518A">
      <w:pPr>
        <w:pStyle w:val="ListParagraph"/>
        <w:spacing w:line="360" w:lineRule="auto"/>
        <w:ind w:left="1440"/>
      </w:pPr>
    </w:p>
    <w:p w:rsidR="007A0209" w:rsidRDefault="00C530DF" w:rsidP="00F4518A">
      <w:pPr>
        <w:pStyle w:val="ListParagraph"/>
        <w:numPr>
          <w:ilvl w:val="0"/>
          <w:numId w:val="11"/>
        </w:numPr>
        <w:spacing w:line="360" w:lineRule="auto"/>
        <w:ind w:left="0" w:firstLine="1440"/>
      </w:pPr>
      <w:r>
        <w:t xml:space="preserve">That the </w:t>
      </w:r>
      <w:r w:rsidRPr="002D6565">
        <w:t xml:space="preserve">Petition </w:t>
      </w:r>
      <w:r>
        <w:t xml:space="preserve">of Duquesne Light Company </w:t>
      </w:r>
      <w:r w:rsidRPr="002D6565">
        <w:t xml:space="preserve">for Approval of Changes to its </w:t>
      </w:r>
      <w:r>
        <w:t>E</w:t>
      </w:r>
      <w:r w:rsidRPr="002D6565">
        <w:t>nergy Efficiency and Conservation and Demand Response Plan</w:t>
      </w:r>
      <w:r>
        <w:t xml:space="preserve"> filed on May 9, 2011 </w:t>
      </w:r>
      <w:r w:rsidR="005024BB">
        <w:t xml:space="preserve">at Docket No. </w:t>
      </w:r>
      <w:r w:rsidR="007C4D97">
        <w:t>M</w:t>
      </w:r>
      <w:r w:rsidR="005024BB">
        <w:t xml:space="preserve">-2009-2093217 </w:t>
      </w:r>
      <w:r>
        <w:t>is moot and, therefore, is denied.</w:t>
      </w:r>
    </w:p>
    <w:p w:rsidR="005024BB" w:rsidRDefault="005024BB" w:rsidP="00F4518A">
      <w:pPr>
        <w:pStyle w:val="ListParagraph"/>
        <w:spacing w:line="360" w:lineRule="auto"/>
      </w:pPr>
    </w:p>
    <w:p w:rsidR="005024BB" w:rsidRDefault="00C3350C" w:rsidP="00F4518A">
      <w:pPr>
        <w:pStyle w:val="ListParagraph"/>
        <w:numPr>
          <w:ilvl w:val="0"/>
          <w:numId w:val="11"/>
        </w:numPr>
        <w:spacing w:line="360" w:lineRule="auto"/>
        <w:ind w:left="0" w:firstLine="1440"/>
      </w:pPr>
      <w:r w:rsidRPr="00C3350C">
        <w:t xml:space="preserve">That Duquesne Light Company is permitted to implement its Energy Efficiency and Conservation and Demand Response Plan, as </w:t>
      </w:r>
      <w:r>
        <w:t xml:space="preserve">modified by the </w:t>
      </w:r>
      <w:r w:rsidR="00630FE9">
        <w:t xml:space="preserve">terms and conditions set forth in the </w:t>
      </w:r>
      <w:r w:rsidRPr="007C37F0">
        <w:t xml:space="preserve">Joint </w:t>
      </w:r>
      <w:r>
        <w:t xml:space="preserve">Petition for </w:t>
      </w:r>
      <w:r w:rsidRPr="007C37F0">
        <w:t>Settlement</w:t>
      </w:r>
      <w:r w:rsidRPr="00C3350C">
        <w:t xml:space="preserve"> filed on</w:t>
      </w:r>
      <w:r w:rsidR="00630FE9">
        <w:t xml:space="preserve"> August 26, 2011</w:t>
      </w:r>
      <w:r w:rsidRPr="00C3350C">
        <w:t>, consistent with this</w:t>
      </w:r>
      <w:r w:rsidR="00630FE9">
        <w:t xml:space="preserve"> Recommended Decision</w:t>
      </w:r>
      <w:r w:rsidRPr="00C3350C">
        <w:t>.</w:t>
      </w:r>
    </w:p>
    <w:p w:rsidR="00630FE9" w:rsidRDefault="00630FE9" w:rsidP="00F4518A">
      <w:pPr>
        <w:pStyle w:val="ListParagraph"/>
        <w:spacing w:line="360" w:lineRule="auto"/>
      </w:pPr>
    </w:p>
    <w:p w:rsidR="00630FE9" w:rsidRDefault="00062F95" w:rsidP="00F4518A">
      <w:pPr>
        <w:pStyle w:val="ListParagraph"/>
        <w:numPr>
          <w:ilvl w:val="0"/>
          <w:numId w:val="11"/>
        </w:numPr>
        <w:spacing w:line="360" w:lineRule="auto"/>
        <w:ind w:left="0" w:firstLine="1440"/>
      </w:pPr>
      <w:r w:rsidRPr="00062F95">
        <w:t xml:space="preserve">That any directive, requirement, disposition or the like contained in the body of this </w:t>
      </w:r>
      <w:r>
        <w:t xml:space="preserve">Recommended Decision </w:t>
      </w:r>
      <w:r w:rsidRPr="00062F95">
        <w:t>that is not the subject of an individual Ordering Paragraph shall have the full force and effect as if fully contained in this part.</w:t>
      </w:r>
    </w:p>
    <w:p w:rsidR="004B6AF9" w:rsidRDefault="004B6AF9" w:rsidP="004B6AF9">
      <w:pPr>
        <w:pStyle w:val="ListParagraph"/>
      </w:pPr>
    </w:p>
    <w:p w:rsidR="004B6AF9" w:rsidRDefault="004B6AF9" w:rsidP="004B6AF9">
      <w:pPr>
        <w:spacing w:line="360" w:lineRule="auto"/>
      </w:pPr>
    </w:p>
    <w:p w:rsidR="00C72992" w:rsidRDefault="00C72992" w:rsidP="004B6AF9">
      <w:pPr>
        <w:spacing w:line="360" w:lineRule="auto"/>
      </w:pPr>
    </w:p>
    <w:p w:rsidR="004B6AF9" w:rsidRDefault="004B6AF9" w:rsidP="004B6AF9">
      <w:r>
        <w:t xml:space="preserve">Date:  </w:t>
      </w:r>
      <w:r>
        <w:rPr>
          <w:u w:val="single"/>
        </w:rPr>
        <w:t>September 14, 2011</w:t>
      </w:r>
      <w:r>
        <w:tab/>
      </w:r>
      <w:r>
        <w:tab/>
      </w:r>
      <w:r>
        <w:tab/>
      </w:r>
      <w:r>
        <w:tab/>
      </w:r>
      <w:r w:rsidR="005A33D7">
        <w:rPr>
          <w:u w:val="single"/>
        </w:rPr>
        <w:tab/>
      </w:r>
      <w:r w:rsidR="005A33D7">
        <w:rPr>
          <w:u w:val="single"/>
        </w:rPr>
        <w:tab/>
      </w:r>
      <w:r w:rsidR="005A33D7">
        <w:rPr>
          <w:u w:val="single"/>
        </w:rPr>
        <w:tab/>
      </w:r>
      <w:r w:rsidR="005A33D7">
        <w:rPr>
          <w:u w:val="single"/>
        </w:rPr>
        <w:tab/>
      </w:r>
      <w:r w:rsidR="005A33D7">
        <w:rPr>
          <w:u w:val="single"/>
        </w:rPr>
        <w:tab/>
      </w:r>
      <w:r w:rsidR="005A33D7">
        <w:rPr>
          <w:u w:val="single"/>
        </w:rPr>
        <w:tab/>
      </w:r>
    </w:p>
    <w:p w:rsidR="005A33D7" w:rsidRDefault="005A33D7" w:rsidP="004B6AF9">
      <w:r>
        <w:tab/>
      </w:r>
      <w:r>
        <w:tab/>
      </w:r>
      <w:r>
        <w:tab/>
      </w:r>
      <w:r>
        <w:tab/>
      </w:r>
      <w:r>
        <w:tab/>
      </w:r>
      <w:r>
        <w:tab/>
      </w:r>
      <w:r>
        <w:tab/>
        <w:t>John H. Corbett, Jr.</w:t>
      </w:r>
    </w:p>
    <w:p w:rsidR="005A33D7" w:rsidRDefault="005A33D7" w:rsidP="004B6AF9">
      <w:r>
        <w:tab/>
      </w:r>
      <w:r>
        <w:tab/>
      </w:r>
      <w:r>
        <w:tab/>
      </w:r>
      <w:r>
        <w:tab/>
      </w:r>
      <w:r>
        <w:tab/>
      </w:r>
      <w:r>
        <w:tab/>
      </w:r>
      <w:r>
        <w:tab/>
        <w:t>Administrative Law Judge</w:t>
      </w:r>
    </w:p>
    <w:p w:rsidR="005A33D7" w:rsidRPr="005A33D7" w:rsidRDefault="005A33D7" w:rsidP="004B6AF9"/>
    <w:sectPr w:rsidR="005A33D7" w:rsidRPr="005A33D7" w:rsidSect="00BB4C43">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EF1" w:rsidRDefault="006E7EF1" w:rsidP="00395105">
      <w:r>
        <w:separator/>
      </w:r>
    </w:p>
  </w:endnote>
  <w:endnote w:type="continuationSeparator" w:id="0">
    <w:p w:rsidR="006E7EF1" w:rsidRDefault="006E7EF1" w:rsidP="003951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009022"/>
      <w:docPartObj>
        <w:docPartGallery w:val="Page Numbers (Bottom of Page)"/>
        <w:docPartUnique/>
      </w:docPartObj>
    </w:sdtPr>
    <w:sdtEndPr>
      <w:rPr>
        <w:sz w:val="22"/>
        <w:szCs w:val="22"/>
      </w:rPr>
    </w:sdtEndPr>
    <w:sdtContent>
      <w:p w:rsidR="00ED45A8" w:rsidRPr="00ED45A8" w:rsidRDefault="00F11771">
        <w:pPr>
          <w:pStyle w:val="Footer"/>
          <w:jc w:val="center"/>
          <w:rPr>
            <w:sz w:val="22"/>
            <w:szCs w:val="22"/>
          </w:rPr>
        </w:pPr>
        <w:r w:rsidRPr="00ED45A8">
          <w:rPr>
            <w:sz w:val="22"/>
            <w:szCs w:val="22"/>
          </w:rPr>
          <w:fldChar w:fldCharType="begin"/>
        </w:r>
        <w:r w:rsidR="00ED45A8" w:rsidRPr="00ED45A8">
          <w:rPr>
            <w:sz w:val="22"/>
            <w:szCs w:val="22"/>
          </w:rPr>
          <w:instrText xml:space="preserve"> PAGE   \* MERGEFORMAT </w:instrText>
        </w:r>
        <w:r w:rsidRPr="00ED45A8">
          <w:rPr>
            <w:sz w:val="22"/>
            <w:szCs w:val="22"/>
          </w:rPr>
          <w:fldChar w:fldCharType="separate"/>
        </w:r>
        <w:r w:rsidR="00F63B2E">
          <w:rPr>
            <w:noProof/>
            <w:sz w:val="22"/>
            <w:szCs w:val="22"/>
          </w:rPr>
          <w:t>2</w:t>
        </w:r>
        <w:r w:rsidRPr="00ED45A8">
          <w:rPr>
            <w:sz w:val="22"/>
            <w:szCs w:val="22"/>
          </w:rPr>
          <w:fldChar w:fldCharType="end"/>
        </w:r>
      </w:p>
    </w:sdtContent>
  </w:sdt>
  <w:p w:rsidR="00324F10" w:rsidRDefault="00324F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74793390"/>
      <w:docPartObj>
        <w:docPartGallery w:val="Page Numbers (Bottom of Page)"/>
        <w:docPartUnique/>
      </w:docPartObj>
    </w:sdtPr>
    <w:sdtContent>
      <w:p w:rsidR="009058EE" w:rsidRPr="009058EE" w:rsidRDefault="009058EE">
        <w:pPr>
          <w:pStyle w:val="Footer"/>
          <w:jc w:val="center"/>
          <w:rPr>
            <w:sz w:val="20"/>
            <w:szCs w:val="20"/>
          </w:rPr>
        </w:pPr>
        <w:r w:rsidRPr="009058EE">
          <w:rPr>
            <w:sz w:val="20"/>
            <w:szCs w:val="20"/>
          </w:rPr>
          <w:fldChar w:fldCharType="begin"/>
        </w:r>
        <w:r w:rsidRPr="009058EE">
          <w:rPr>
            <w:sz w:val="20"/>
            <w:szCs w:val="20"/>
          </w:rPr>
          <w:instrText xml:space="preserve"> PAGE   \* MERGEFORMAT </w:instrText>
        </w:r>
        <w:r w:rsidRPr="009058EE">
          <w:rPr>
            <w:sz w:val="20"/>
            <w:szCs w:val="20"/>
          </w:rPr>
          <w:fldChar w:fldCharType="separate"/>
        </w:r>
        <w:r w:rsidR="00D95E0B">
          <w:rPr>
            <w:noProof/>
            <w:sz w:val="20"/>
            <w:szCs w:val="20"/>
          </w:rPr>
          <w:t>i</w:t>
        </w:r>
        <w:r w:rsidRPr="009058EE">
          <w:rPr>
            <w:sz w:val="20"/>
            <w:szCs w:val="20"/>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793376"/>
      <w:docPartObj>
        <w:docPartGallery w:val="Page Numbers (Bottom of Page)"/>
        <w:docPartUnique/>
      </w:docPartObj>
    </w:sdtPr>
    <w:sdtEndPr>
      <w:rPr>
        <w:sz w:val="20"/>
        <w:szCs w:val="20"/>
      </w:rPr>
    </w:sdtEndPr>
    <w:sdtContent>
      <w:p w:rsidR="00F63B2E" w:rsidRPr="00F63B2E" w:rsidRDefault="00F63B2E">
        <w:pPr>
          <w:pStyle w:val="Footer"/>
          <w:jc w:val="center"/>
          <w:rPr>
            <w:sz w:val="20"/>
            <w:szCs w:val="20"/>
          </w:rPr>
        </w:pPr>
        <w:r w:rsidRPr="00F63B2E">
          <w:rPr>
            <w:sz w:val="20"/>
            <w:szCs w:val="20"/>
          </w:rPr>
          <w:fldChar w:fldCharType="begin"/>
        </w:r>
        <w:r w:rsidRPr="00F63B2E">
          <w:rPr>
            <w:sz w:val="20"/>
            <w:szCs w:val="20"/>
          </w:rPr>
          <w:instrText xml:space="preserve"> PAGE   \* MERGEFORMAT </w:instrText>
        </w:r>
        <w:r w:rsidRPr="00F63B2E">
          <w:rPr>
            <w:sz w:val="20"/>
            <w:szCs w:val="20"/>
          </w:rPr>
          <w:fldChar w:fldCharType="separate"/>
        </w:r>
        <w:r w:rsidR="00D95E0B">
          <w:rPr>
            <w:noProof/>
            <w:sz w:val="20"/>
            <w:szCs w:val="20"/>
          </w:rPr>
          <w:t>12</w:t>
        </w:r>
        <w:r w:rsidRPr="00F63B2E">
          <w:rPr>
            <w:sz w:val="20"/>
            <w:szCs w:val="20"/>
          </w:rPr>
          <w:fldChar w:fldCharType="end"/>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793396"/>
      <w:docPartObj>
        <w:docPartGallery w:val="Page Numbers (Bottom of Page)"/>
        <w:docPartUnique/>
      </w:docPartObj>
    </w:sdtPr>
    <w:sdtEndPr>
      <w:rPr>
        <w:sz w:val="20"/>
        <w:szCs w:val="20"/>
      </w:rPr>
    </w:sdtEndPr>
    <w:sdtContent>
      <w:p w:rsidR="00BB4C43" w:rsidRPr="00BB4C43" w:rsidRDefault="00BB4C43">
        <w:pPr>
          <w:pStyle w:val="Footer"/>
          <w:jc w:val="center"/>
          <w:rPr>
            <w:sz w:val="20"/>
            <w:szCs w:val="20"/>
          </w:rPr>
        </w:pPr>
        <w:r w:rsidRPr="00BB4C43">
          <w:rPr>
            <w:sz w:val="20"/>
            <w:szCs w:val="20"/>
          </w:rPr>
          <w:fldChar w:fldCharType="begin"/>
        </w:r>
        <w:r w:rsidRPr="00BB4C43">
          <w:rPr>
            <w:sz w:val="20"/>
            <w:szCs w:val="20"/>
          </w:rPr>
          <w:instrText xml:space="preserve"> PAGE   \* MERGEFORMAT </w:instrText>
        </w:r>
        <w:r w:rsidRPr="00BB4C43">
          <w:rPr>
            <w:sz w:val="20"/>
            <w:szCs w:val="20"/>
          </w:rPr>
          <w:fldChar w:fldCharType="separate"/>
        </w:r>
        <w:r w:rsidR="00D95E0B">
          <w:rPr>
            <w:noProof/>
            <w:sz w:val="20"/>
            <w:szCs w:val="20"/>
          </w:rPr>
          <w:t>4</w:t>
        </w:r>
        <w:r w:rsidRPr="00BB4C43">
          <w:rPr>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EF1" w:rsidRDefault="006E7EF1" w:rsidP="00395105">
      <w:r>
        <w:separator/>
      </w:r>
    </w:p>
  </w:footnote>
  <w:footnote w:type="continuationSeparator" w:id="0">
    <w:p w:rsidR="006E7EF1" w:rsidRDefault="006E7EF1" w:rsidP="00395105">
      <w:r>
        <w:continuationSeparator/>
      </w:r>
    </w:p>
  </w:footnote>
  <w:footnote w:id="1">
    <w:p w:rsidR="00324F10" w:rsidRDefault="00324F10" w:rsidP="00395105">
      <w:pPr>
        <w:pStyle w:val="FootnoteText"/>
        <w:ind w:firstLine="720"/>
      </w:pPr>
      <w:r>
        <w:rPr>
          <w:rStyle w:val="FootnoteReference"/>
        </w:rPr>
        <w:footnoteRef/>
      </w:r>
      <w:r>
        <w:t xml:space="preserve"> </w:t>
      </w:r>
      <w:r>
        <w:tab/>
      </w:r>
      <w:r w:rsidRPr="00E219B9">
        <w:t>Duquesne Light is a public utility and an electric distribution company (“EDC”) as defined in Sections 102 and 2803 of the Pennsylvania Public Utility Code, 66 Pa. C.S. §§102, 2803.  Duquesne Light furnishes electric distribution and provider of last resort (“POLR”) electric supply services to approximately 579,000 customers throughout its certificated service territory, which includes all or portions of the City of Pittsburgh and Allegheny and Beaver Counties, Pennsylvania.</w:t>
      </w:r>
    </w:p>
    <w:p w:rsidR="00324F10" w:rsidRDefault="00324F10" w:rsidP="00395105">
      <w:pPr>
        <w:pStyle w:val="FootnoteText"/>
        <w:ind w:firstLine="720"/>
      </w:pPr>
    </w:p>
  </w:footnote>
  <w:footnote w:id="2">
    <w:p w:rsidR="00324F10" w:rsidRDefault="00324F10" w:rsidP="00E219B9">
      <w:pPr>
        <w:pStyle w:val="FootnoteText"/>
        <w:ind w:firstLine="720"/>
      </w:pPr>
      <w:r>
        <w:rPr>
          <w:rStyle w:val="FootnoteReference"/>
        </w:rPr>
        <w:footnoteRef/>
      </w:r>
      <w:r>
        <w:t xml:space="preserve"> </w:t>
      </w:r>
      <w:r>
        <w:tab/>
      </w:r>
      <w:r w:rsidRPr="005A3334">
        <w:t xml:space="preserve">The EE&amp;C Plan was further revised by </w:t>
      </w:r>
      <w:r w:rsidRPr="005A3334">
        <w:rPr>
          <w:u w:val="single"/>
        </w:rPr>
        <w:t>Petition of Duquesne Light Company for Approval of its Energy Efficiency and Conservation Plan</w:t>
      </w:r>
      <w:r w:rsidRPr="005A3334">
        <w:t>, Docket No. M-2009-2093217 (Order Entered January 28, 2011).</w:t>
      </w:r>
    </w:p>
    <w:p w:rsidR="00324F10" w:rsidRDefault="00324F10" w:rsidP="00E219B9">
      <w:pPr>
        <w:pStyle w:val="FootnoteText"/>
        <w:ind w:firstLine="720"/>
      </w:pPr>
    </w:p>
  </w:footnote>
  <w:footnote w:id="3">
    <w:p w:rsidR="00324F10" w:rsidRDefault="00324F10" w:rsidP="009F0931">
      <w:pPr>
        <w:pStyle w:val="FootnoteText"/>
        <w:ind w:firstLine="720"/>
      </w:pPr>
      <w:r>
        <w:rPr>
          <w:rStyle w:val="FootnoteReference"/>
        </w:rPr>
        <w:footnoteRef/>
      </w:r>
      <w:r>
        <w:t xml:space="preserve"> </w:t>
      </w:r>
      <w:r>
        <w:tab/>
      </w:r>
      <w:r w:rsidRPr="008B54F4">
        <w:t>Duquesne Light’s EE&amp;C Plan includes a broad portfolio of energy efficiency, conservation practices and peak load reductions, and energy education initiatives.  Duquesne Light’s portfolio of programs is designed to provide customer benefits and to meet the energy saving and peak load reduction goals set forth in Act 129.  The EE&amp;C Plan includes a range of energy efficiency and demand response programs that include every customer segment in Duquesne Light’s service territory.  These programs are the key components of a comprehensive electric energy efficiency initiative designed to achieve the 422,565 megawatt hours (“</w:t>
      </w:r>
      <w:proofErr w:type="spellStart"/>
      <w:r w:rsidRPr="008B54F4">
        <w:t>MWh</w:t>
      </w:r>
      <w:proofErr w:type="spellEnd"/>
      <w:r w:rsidRPr="008B54F4">
        <w:t>”) of reduced energy consumption and 113 megawatts (“MW”) of peak demand reductions required by Act 129.</w:t>
      </w:r>
    </w:p>
  </w:footnote>
  <w:footnote w:id="4">
    <w:p w:rsidR="00324F10" w:rsidRPr="00770E97" w:rsidRDefault="00324F10" w:rsidP="00963AFB">
      <w:pPr>
        <w:pStyle w:val="FootnoteText"/>
        <w:ind w:firstLine="720"/>
      </w:pPr>
      <w:r>
        <w:rPr>
          <w:rStyle w:val="FootnoteReference"/>
        </w:rPr>
        <w:footnoteRef/>
      </w:r>
      <w:r>
        <w:t xml:space="preserve"> </w:t>
      </w:r>
      <w:r>
        <w:tab/>
      </w:r>
      <w:r w:rsidRPr="00770E97">
        <w:t>The OSBA has indicated that it does not object to the Settlement.</w:t>
      </w:r>
      <w:r>
        <w:t xml:space="preserve">  </w:t>
      </w:r>
      <w:r>
        <w:rPr>
          <w:i/>
        </w:rPr>
        <w:t>See</w:t>
      </w:r>
      <w:r>
        <w:t>, Settlement at 4, n. 3.</w:t>
      </w:r>
    </w:p>
  </w:footnote>
  <w:footnote w:id="5">
    <w:p w:rsidR="00324F10" w:rsidRDefault="00324F10" w:rsidP="00653657">
      <w:pPr>
        <w:pStyle w:val="FootnoteText"/>
        <w:ind w:firstLine="720"/>
      </w:pPr>
      <w:r>
        <w:rPr>
          <w:rStyle w:val="FootnoteReference"/>
        </w:rPr>
        <w:footnoteRef/>
      </w:r>
      <w:r>
        <w:t xml:space="preserve"> </w:t>
      </w:r>
      <w:r>
        <w:tab/>
      </w:r>
      <w:r w:rsidRPr="008C2621">
        <w:t>On October 15, 2008, Governor Rendell signed House Bill No. 2200, subsequently identified as Act No. 129.  Act 129 created an energy efficiency and conservation program, codified in the Pennsylvania Public Utility Code at Sections 2806.1 and 2806.2, 66 Pa.</w:t>
      </w:r>
      <w:r>
        <w:t xml:space="preserve"> </w:t>
      </w:r>
      <w:r w:rsidRPr="008C2621">
        <w:t>C.S. §§2806.1 and 2806.2.</w:t>
      </w:r>
    </w:p>
  </w:footnote>
  <w:footnote w:id="6">
    <w:p w:rsidR="00A37682" w:rsidRDefault="00A37682" w:rsidP="00A37682">
      <w:pPr>
        <w:pStyle w:val="FootnoteText"/>
        <w:ind w:firstLine="720"/>
      </w:pPr>
      <w:r>
        <w:rPr>
          <w:rStyle w:val="FootnoteReference"/>
        </w:rPr>
        <w:footnoteRef/>
      </w:r>
      <w:r>
        <w:t xml:space="preserve"> </w:t>
      </w:r>
      <w:r>
        <w:tab/>
      </w:r>
      <w:proofErr w:type="spellStart"/>
      <w:r w:rsidR="009632B8" w:rsidRPr="009632B8">
        <w:t>Comverge</w:t>
      </w:r>
      <w:proofErr w:type="spellEnd"/>
      <w:r w:rsidR="009632B8" w:rsidRPr="009632B8">
        <w:t xml:space="preserve"> is a demand response provider providing direct load control devices and services through PECO and PPL Act 129 programs.  In addition, </w:t>
      </w:r>
      <w:proofErr w:type="spellStart"/>
      <w:r w:rsidR="009632B8" w:rsidRPr="009632B8">
        <w:t>Comverge</w:t>
      </w:r>
      <w:proofErr w:type="spellEnd"/>
      <w:r w:rsidR="009632B8" w:rsidRPr="009632B8">
        <w:t xml:space="preserve"> provides demand response aggregation of megawatts in the PJM open market.  Moreover, </w:t>
      </w:r>
      <w:proofErr w:type="spellStart"/>
      <w:r w:rsidR="009632B8" w:rsidRPr="009632B8">
        <w:t>Comverge</w:t>
      </w:r>
      <w:proofErr w:type="spellEnd"/>
      <w:r w:rsidR="009632B8" w:rsidRPr="009632B8">
        <w:t>, through its wholly</w:t>
      </w:r>
      <w:r w:rsidR="00A14D7C">
        <w:t>-</w:t>
      </w:r>
      <w:r w:rsidR="009632B8" w:rsidRPr="009632B8">
        <w:t>owned subsidiary</w:t>
      </w:r>
      <w:r w:rsidR="009632B8">
        <w:t>,</w:t>
      </w:r>
      <w:r w:rsidR="009632B8" w:rsidRPr="009632B8">
        <w:t xml:space="preserve"> </w:t>
      </w:r>
      <w:proofErr w:type="spellStart"/>
      <w:r w:rsidR="009632B8" w:rsidRPr="009632B8">
        <w:t>Enerwise</w:t>
      </w:r>
      <w:proofErr w:type="spellEnd"/>
      <w:r w:rsidR="009632B8" w:rsidRPr="009632B8">
        <w:t xml:space="preserve"> Global Technologies, is a registered Curtailment Ser</w:t>
      </w:r>
      <w:r w:rsidR="009632B8">
        <w:t>vice Provider in the PJM market (Settlement, Appendix D at 1, n. 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2723"/>
    <w:multiLevelType w:val="hybridMultilevel"/>
    <w:tmpl w:val="9C04EF40"/>
    <w:lvl w:ilvl="0" w:tplc="5DA6154E">
      <w:start w:val="4"/>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0240F79"/>
    <w:multiLevelType w:val="hybridMultilevel"/>
    <w:tmpl w:val="42D43FAC"/>
    <w:lvl w:ilvl="0" w:tplc="312A725A">
      <w:start w:val="4"/>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A704B0"/>
    <w:multiLevelType w:val="hybridMultilevel"/>
    <w:tmpl w:val="0E30B338"/>
    <w:lvl w:ilvl="0" w:tplc="C6623802">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416CB"/>
    <w:multiLevelType w:val="hybridMultilevel"/>
    <w:tmpl w:val="9C82BCB0"/>
    <w:lvl w:ilvl="0" w:tplc="C29A01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05D72F9"/>
    <w:multiLevelType w:val="hybridMultilevel"/>
    <w:tmpl w:val="D2769350"/>
    <w:lvl w:ilvl="0" w:tplc="2C5897A4">
      <w:start w:val="4"/>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6FB528F"/>
    <w:multiLevelType w:val="hybridMultilevel"/>
    <w:tmpl w:val="224075C8"/>
    <w:lvl w:ilvl="0" w:tplc="EBFE0D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EC63C2F"/>
    <w:multiLevelType w:val="hybridMultilevel"/>
    <w:tmpl w:val="8B888C4E"/>
    <w:lvl w:ilvl="0" w:tplc="4B84580E">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2B4D73"/>
    <w:multiLevelType w:val="hybridMultilevel"/>
    <w:tmpl w:val="9E6E8B44"/>
    <w:lvl w:ilvl="0" w:tplc="0409000F">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6F02F46"/>
    <w:multiLevelType w:val="hybridMultilevel"/>
    <w:tmpl w:val="C49E842A"/>
    <w:lvl w:ilvl="0" w:tplc="0409000F">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4754D72"/>
    <w:multiLevelType w:val="hybridMultilevel"/>
    <w:tmpl w:val="A968A4F0"/>
    <w:lvl w:ilvl="0" w:tplc="D0F86C20">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071BB3"/>
    <w:multiLevelType w:val="hybridMultilevel"/>
    <w:tmpl w:val="1736CA30"/>
    <w:lvl w:ilvl="0" w:tplc="8C840BB2">
      <w:start w:val="4"/>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8457C96"/>
    <w:multiLevelType w:val="hybridMultilevel"/>
    <w:tmpl w:val="B07E53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10"/>
  </w:num>
  <w:num w:numId="4">
    <w:abstractNumId w:val="0"/>
  </w:num>
  <w:num w:numId="5">
    <w:abstractNumId w:val="1"/>
  </w:num>
  <w:num w:numId="6">
    <w:abstractNumId w:val="4"/>
  </w:num>
  <w:num w:numId="7">
    <w:abstractNumId w:val="8"/>
  </w:num>
  <w:num w:numId="8">
    <w:abstractNumId w:val="7"/>
  </w:num>
  <w:num w:numId="9">
    <w:abstractNumId w:val="2"/>
  </w:num>
  <w:num w:numId="10">
    <w:abstractNumId w:val="5"/>
  </w:num>
  <w:num w:numId="11">
    <w:abstractNumId w:val="9"/>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16386"/>
  </w:hdrShapeDefaults>
  <w:footnotePr>
    <w:footnote w:id="-1"/>
    <w:footnote w:id="0"/>
  </w:footnotePr>
  <w:endnotePr>
    <w:endnote w:id="-1"/>
    <w:endnote w:id="0"/>
  </w:endnotePr>
  <w:compat/>
  <w:rsids>
    <w:rsidRoot w:val="00816748"/>
    <w:rsid w:val="00001422"/>
    <w:rsid w:val="00002E71"/>
    <w:rsid w:val="0000610B"/>
    <w:rsid w:val="0001444C"/>
    <w:rsid w:val="000158F5"/>
    <w:rsid w:val="00015C87"/>
    <w:rsid w:val="000200B5"/>
    <w:rsid w:val="00022031"/>
    <w:rsid w:val="00022664"/>
    <w:rsid w:val="00024AA5"/>
    <w:rsid w:val="00026709"/>
    <w:rsid w:val="00027171"/>
    <w:rsid w:val="00027E4C"/>
    <w:rsid w:val="0003505B"/>
    <w:rsid w:val="00035D88"/>
    <w:rsid w:val="000404B5"/>
    <w:rsid w:val="00041450"/>
    <w:rsid w:val="00041943"/>
    <w:rsid w:val="00042860"/>
    <w:rsid w:val="00044944"/>
    <w:rsid w:val="0004591A"/>
    <w:rsid w:val="00047F6E"/>
    <w:rsid w:val="0005471E"/>
    <w:rsid w:val="00056339"/>
    <w:rsid w:val="00062F95"/>
    <w:rsid w:val="00063896"/>
    <w:rsid w:val="0006554F"/>
    <w:rsid w:val="0006681E"/>
    <w:rsid w:val="00067C8F"/>
    <w:rsid w:val="00070D98"/>
    <w:rsid w:val="000716B7"/>
    <w:rsid w:val="000767FF"/>
    <w:rsid w:val="00077061"/>
    <w:rsid w:val="0008135A"/>
    <w:rsid w:val="0008257A"/>
    <w:rsid w:val="00085610"/>
    <w:rsid w:val="00087540"/>
    <w:rsid w:val="00087CC5"/>
    <w:rsid w:val="0009005C"/>
    <w:rsid w:val="000921BC"/>
    <w:rsid w:val="00093449"/>
    <w:rsid w:val="00095B50"/>
    <w:rsid w:val="00096F74"/>
    <w:rsid w:val="000A0A7F"/>
    <w:rsid w:val="000A510C"/>
    <w:rsid w:val="000A56B6"/>
    <w:rsid w:val="000A5F55"/>
    <w:rsid w:val="000A79CC"/>
    <w:rsid w:val="000A7EFE"/>
    <w:rsid w:val="000B3598"/>
    <w:rsid w:val="000B53F0"/>
    <w:rsid w:val="000B629F"/>
    <w:rsid w:val="000B6D95"/>
    <w:rsid w:val="000C1A6B"/>
    <w:rsid w:val="000C269C"/>
    <w:rsid w:val="000C5510"/>
    <w:rsid w:val="000C6152"/>
    <w:rsid w:val="000C71B2"/>
    <w:rsid w:val="000C76C7"/>
    <w:rsid w:val="000D0A51"/>
    <w:rsid w:val="000D1336"/>
    <w:rsid w:val="000D715A"/>
    <w:rsid w:val="000D7906"/>
    <w:rsid w:val="000E0C64"/>
    <w:rsid w:val="000E1700"/>
    <w:rsid w:val="000E4E82"/>
    <w:rsid w:val="000E6C36"/>
    <w:rsid w:val="000E74A9"/>
    <w:rsid w:val="000F0CB0"/>
    <w:rsid w:val="000F1E2C"/>
    <w:rsid w:val="000F1E94"/>
    <w:rsid w:val="000F22AD"/>
    <w:rsid w:val="000F331D"/>
    <w:rsid w:val="000F6BCB"/>
    <w:rsid w:val="0010180F"/>
    <w:rsid w:val="00101DFE"/>
    <w:rsid w:val="00105690"/>
    <w:rsid w:val="001059C3"/>
    <w:rsid w:val="001079C3"/>
    <w:rsid w:val="0011082D"/>
    <w:rsid w:val="00111B90"/>
    <w:rsid w:val="00113C50"/>
    <w:rsid w:val="00114A5C"/>
    <w:rsid w:val="00114D69"/>
    <w:rsid w:val="001163B8"/>
    <w:rsid w:val="00117158"/>
    <w:rsid w:val="0012337D"/>
    <w:rsid w:val="00126555"/>
    <w:rsid w:val="0013358A"/>
    <w:rsid w:val="001336B2"/>
    <w:rsid w:val="00135581"/>
    <w:rsid w:val="00135CE8"/>
    <w:rsid w:val="0013746C"/>
    <w:rsid w:val="00140ED5"/>
    <w:rsid w:val="001422C9"/>
    <w:rsid w:val="00145A19"/>
    <w:rsid w:val="0014695E"/>
    <w:rsid w:val="00146E1E"/>
    <w:rsid w:val="00147A1C"/>
    <w:rsid w:val="00150F38"/>
    <w:rsid w:val="00151828"/>
    <w:rsid w:val="00152DD8"/>
    <w:rsid w:val="001534FA"/>
    <w:rsid w:val="00153BB2"/>
    <w:rsid w:val="001551FE"/>
    <w:rsid w:val="00157F7C"/>
    <w:rsid w:val="001616B5"/>
    <w:rsid w:val="00162E3E"/>
    <w:rsid w:val="00163667"/>
    <w:rsid w:val="00170529"/>
    <w:rsid w:val="00171BA7"/>
    <w:rsid w:val="00173D3B"/>
    <w:rsid w:val="00177B41"/>
    <w:rsid w:val="00177C22"/>
    <w:rsid w:val="0018502A"/>
    <w:rsid w:val="00185134"/>
    <w:rsid w:val="00186713"/>
    <w:rsid w:val="00190B52"/>
    <w:rsid w:val="00192F81"/>
    <w:rsid w:val="00194EDA"/>
    <w:rsid w:val="00197214"/>
    <w:rsid w:val="00197FE7"/>
    <w:rsid w:val="001A517C"/>
    <w:rsid w:val="001A6616"/>
    <w:rsid w:val="001B0FE0"/>
    <w:rsid w:val="001B1283"/>
    <w:rsid w:val="001B15CB"/>
    <w:rsid w:val="001B37F9"/>
    <w:rsid w:val="001B389A"/>
    <w:rsid w:val="001B6147"/>
    <w:rsid w:val="001B669F"/>
    <w:rsid w:val="001B6767"/>
    <w:rsid w:val="001B703A"/>
    <w:rsid w:val="001B7B44"/>
    <w:rsid w:val="001C16F1"/>
    <w:rsid w:val="001C1DA4"/>
    <w:rsid w:val="001D0B3C"/>
    <w:rsid w:val="001D4EAA"/>
    <w:rsid w:val="001E13F6"/>
    <w:rsid w:val="001E4606"/>
    <w:rsid w:val="001E480F"/>
    <w:rsid w:val="001E493D"/>
    <w:rsid w:val="001E49BB"/>
    <w:rsid w:val="001E6760"/>
    <w:rsid w:val="001E6948"/>
    <w:rsid w:val="001E6AC2"/>
    <w:rsid w:val="001E7A10"/>
    <w:rsid w:val="001F183C"/>
    <w:rsid w:val="001F1F9D"/>
    <w:rsid w:val="001F1FC5"/>
    <w:rsid w:val="001F372E"/>
    <w:rsid w:val="001F5E84"/>
    <w:rsid w:val="001F73E8"/>
    <w:rsid w:val="002002ED"/>
    <w:rsid w:val="00200980"/>
    <w:rsid w:val="00202271"/>
    <w:rsid w:val="00205676"/>
    <w:rsid w:val="0020746B"/>
    <w:rsid w:val="002107F3"/>
    <w:rsid w:val="00212F85"/>
    <w:rsid w:val="00213B19"/>
    <w:rsid w:val="0021472B"/>
    <w:rsid w:val="00215CE0"/>
    <w:rsid w:val="00216054"/>
    <w:rsid w:val="00221630"/>
    <w:rsid w:val="00222675"/>
    <w:rsid w:val="00222A1D"/>
    <w:rsid w:val="002231E7"/>
    <w:rsid w:val="00224D1A"/>
    <w:rsid w:val="00225F5E"/>
    <w:rsid w:val="0022623F"/>
    <w:rsid w:val="002270C7"/>
    <w:rsid w:val="00234986"/>
    <w:rsid w:val="0023594C"/>
    <w:rsid w:val="00237F95"/>
    <w:rsid w:val="002432B5"/>
    <w:rsid w:val="00244DC3"/>
    <w:rsid w:val="00247310"/>
    <w:rsid w:val="00254AC4"/>
    <w:rsid w:val="0025505D"/>
    <w:rsid w:val="0025568C"/>
    <w:rsid w:val="0025624A"/>
    <w:rsid w:val="00256602"/>
    <w:rsid w:val="002569D2"/>
    <w:rsid w:val="00256F15"/>
    <w:rsid w:val="002575A5"/>
    <w:rsid w:val="00262909"/>
    <w:rsid w:val="00264827"/>
    <w:rsid w:val="002659C1"/>
    <w:rsid w:val="00265F08"/>
    <w:rsid w:val="00266EEA"/>
    <w:rsid w:val="002705F3"/>
    <w:rsid w:val="002715D6"/>
    <w:rsid w:val="0027273C"/>
    <w:rsid w:val="00273113"/>
    <w:rsid w:val="00273CD5"/>
    <w:rsid w:val="00274AEB"/>
    <w:rsid w:val="0028196A"/>
    <w:rsid w:val="00282A55"/>
    <w:rsid w:val="00282E72"/>
    <w:rsid w:val="00283C32"/>
    <w:rsid w:val="00286013"/>
    <w:rsid w:val="00286E18"/>
    <w:rsid w:val="00287DD5"/>
    <w:rsid w:val="0029182B"/>
    <w:rsid w:val="002919ED"/>
    <w:rsid w:val="00292413"/>
    <w:rsid w:val="00292C52"/>
    <w:rsid w:val="0029312D"/>
    <w:rsid w:val="00297007"/>
    <w:rsid w:val="002973C4"/>
    <w:rsid w:val="002A08AE"/>
    <w:rsid w:val="002A0C6D"/>
    <w:rsid w:val="002A5634"/>
    <w:rsid w:val="002B080D"/>
    <w:rsid w:val="002B43C8"/>
    <w:rsid w:val="002B693E"/>
    <w:rsid w:val="002C0A83"/>
    <w:rsid w:val="002C0CF4"/>
    <w:rsid w:val="002C420F"/>
    <w:rsid w:val="002C4F65"/>
    <w:rsid w:val="002C5195"/>
    <w:rsid w:val="002C6736"/>
    <w:rsid w:val="002D15FF"/>
    <w:rsid w:val="002D291C"/>
    <w:rsid w:val="002D3212"/>
    <w:rsid w:val="002D46AD"/>
    <w:rsid w:val="002D50E8"/>
    <w:rsid w:val="002D5461"/>
    <w:rsid w:val="002D6565"/>
    <w:rsid w:val="002E414F"/>
    <w:rsid w:val="002E50B7"/>
    <w:rsid w:val="002E62AE"/>
    <w:rsid w:val="002E7B4F"/>
    <w:rsid w:val="002E7CBD"/>
    <w:rsid w:val="002F0988"/>
    <w:rsid w:val="002F0CDC"/>
    <w:rsid w:val="002F58C1"/>
    <w:rsid w:val="003009B5"/>
    <w:rsid w:val="00303C1E"/>
    <w:rsid w:val="003065A6"/>
    <w:rsid w:val="003105EB"/>
    <w:rsid w:val="00313224"/>
    <w:rsid w:val="00314634"/>
    <w:rsid w:val="0031504C"/>
    <w:rsid w:val="003152FC"/>
    <w:rsid w:val="00320C3C"/>
    <w:rsid w:val="0032184B"/>
    <w:rsid w:val="00322AAB"/>
    <w:rsid w:val="00323CE9"/>
    <w:rsid w:val="00324F10"/>
    <w:rsid w:val="0032536B"/>
    <w:rsid w:val="0032582D"/>
    <w:rsid w:val="003329E9"/>
    <w:rsid w:val="00333093"/>
    <w:rsid w:val="0033498E"/>
    <w:rsid w:val="003367D1"/>
    <w:rsid w:val="003377C8"/>
    <w:rsid w:val="003413E4"/>
    <w:rsid w:val="00343DF7"/>
    <w:rsid w:val="00344BBD"/>
    <w:rsid w:val="00347D4D"/>
    <w:rsid w:val="00354367"/>
    <w:rsid w:val="003560A1"/>
    <w:rsid w:val="003567DC"/>
    <w:rsid w:val="0036055F"/>
    <w:rsid w:val="00363FC4"/>
    <w:rsid w:val="00364892"/>
    <w:rsid w:val="00367840"/>
    <w:rsid w:val="00372BCE"/>
    <w:rsid w:val="00375FC7"/>
    <w:rsid w:val="00376FD2"/>
    <w:rsid w:val="00377219"/>
    <w:rsid w:val="00383E9E"/>
    <w:rsid w:val="00386EC2"/>
    <w:rsid w:val="003903D9"/>
    <w:rsid w:val="003914A1"/>
    <w:rsid w:val="003915CD"/>
    <w:rsid w:val="0039207A"/>
    <w:rsid w:val="003928FD"/>
    <w:rsid w:val="00393A51"/>
    <w:rsid w:val="00394D3A"/>
    <w:rsid w:val="00395105"/>
    <w:rsid w:val="003A0EB3"/>
    <w:rsid w:val="003A51FD"/>
    <w:rsid w:val="003A5775"/>
    <w:rsid w:val="003A5BC7"/>
    <w:rsid w:val="003A645A"/>
    <w:rsid w:val="003A7731"/>
    <w:rsid w:val="003B0F7E"/>
    <w:rsid w:val="003B5554"/>
    <w:rsid w:val="003C0F08"/>
    <w:rsid w:val="003C49C9"/>
    <w:rsid w:val="003C4FBC"/>
    <w:rsid w:val="003D00C1"/>
    <w:rsid w:val="003D15D0"/>
    <w:rsid w:val="003D38F7"/>
    <w:rsid w:val="003D42D0"/>
    <w:rsid w:val="003D55B4"/>
    <w:rsid w:val="003D58B6"/>
    <w:rsid w:val="003D5AB0"/>
    <w:rsid w:val="003D6669"/>
    <w:rsid w:val="003D6830"/>
    <w:rsid w:val="003D782D"/>
    <w:rsid w:val="003E5628"/>
    <w:rsid w:val="003E5D1E"/>
    <w:rsid w:val="003F100E"/>
    <w:rsid w:val="003F347A"/>
    <w:rsid w:val="003F69AF"/>
    <w:rsid w:val="003F69C5"/>
    <w:rsid w:val="00402B61"/>
    <w:rsid w:val="0040464B"/>
    <w:rsid w:val="00405757"/>
    <w:rsid w:val="00407348"/>
    <w:rsid w:val="00407E2D"/>
    <w:rsid w:val="00415484"/>
    <w:rsid w:val="0041758B"/>
    <w:rsid w:val="00417A48"/>
    <w:rsid w:val="00417FB9"/>
    <w:rsid w:val="004255AD"/>
    <w:rsid w:val="00425F5E"/>
    <w:rsid w:val="00427446"/>
    <w:rsid w:val="00427731"/>
    <w:rsid w:val="00430C09"/>
    <w:rsid w:val="00431ED9"/>
    <w:rsid w:val="0043213F"/>
    <w:rsid w:val="004345F2"/>
    <w:rsid w:val="00441E8C"/>
    <w:rsid w:val="00443FC3"/>
    <w:rsid w:val="004447F3"/>
    <w:rsid w:val="00444F84"/>
    <w:rsid w:val="00447594"/>
    <w:rsid w:val="00447DAD"/>
    <w:rsid w:val="00451BB3"/>
    <w:rsid w:val="00456B68"/>
    <w:rsid w:val="0045723E"/>
    <w:rsid w:val="004606F8"/>
    <w:rsid w:val="004610DD"/>
    <w:rsid w:val="00465CA9"/>
    <w:rsid w:val="00466EEB"/>
    <w:rsid w:val="00470764"/>
    <w:rsid w:val="00471E7C"/>
    <w:rsid w:val="004763CF"/>
    <w:rsid w:val="00476406"/>
    <w:rsid w:val="004801CF"/>
    <w:rsid w:val="00492902"/>
    <w:rsid w:val="00493B06"/>
    <w:rsid w:val="004973FA"/>
    <w:rsid w:val="004A0D2F"/>
    <w:rsid w:val="004A3A17"/>
    <w:rsid w:val="004A4379"/>
    <w:rsid w:val="004A4472"/>
    <w:rsid w:val="004A5F2D"/>
    <w:rsid w:val="004A5F6F"/>
    <w:rsid w:val="004B07B7"/>
    <w:rsid w:val="004B1125"/>
    <w:rsid w:val="004B1E4E"/>
    <w:rsid w:val="004B35C3"/>
    <w:rsid w:val="004B4793"/>
    <w:rsid w:val="004B58A0"/>
    <w:rsid w:val="004B6AF9"/>
    <w:rsid w:val="004C0903"/>
    <w:rsid w:val="004C1ADF"/>
    <w:rsid w:val="004C231D"/>
    <w:rsid w:val="004C3351"/>
    <w:rsid w:val="004C6ACC"/>
    <w:rsid w:val="004D0F86"/>
    <w:rsid w:val="004D17EE"/>
    <w:rsid w:val="004D1AF6"/>
    <w:rsid w:val="004D26B3"/>
    <w:rsid w:val="004D3CF4"/>
    <w:rsid w:val="004D5571"/>
    <w:rsid w:val="004D6A84"/>
    <w:rsid w:val="004D772B"/>
    <w:rsid w:val="004E1384"/>
    <w:rsid w:val="004E1A31"/>
    <w:rsid w:val="004E1AA7"/>
    <w:rsid w:val="004E1D74"/>
    <w:rsid w:val="004E26DE"/>
    <w:rsid w:val="004E2DEE"/>
    <w:rsid w:val="004E3130"/>
    <w:rsid w:val="004E3916"/>
    <w:rsid w:val="004E43F0"/>
    <w:rsid w:val="004E48B8"/>
    <w:rsid w:val="004E56E5"/>
    <w:rsid w:val="004F3674"/>
    <w:rsid w:val="004F52CA"/>
    <w:rsid w:val="004F7DA4"/>
    <w:rsid w:val="00500E04"/>
    <w:rsid w:val="00501290"/>
    <w:rsid w:val="005013AB"/>
    <w:rsid w:val="005024BB"/>
    <w:rsid w:val="00503B65"/>
    <w:rsid w:val="005055FD"/>
    <w:rsid w:val="005062B4"/>
    <w:rsid w:val="005071E6"/>
    <w:rsid w:val="00510387"/>
    <w:rsid w:val="00510BCD"/>
    <w:rsid w:val="00513A0D"/>
    <w:rsid w:val="00513E78"/>
    <w:rsid w:val="0051628E"/>
    <w:rsid w:val="0051728F"/>
    <w:rsid w:val="00520B4D"/>
    <w:rsid w:val="00522C06"/>
    <w:rsid w:val="00522F41"/>
    <w:rsid w:val="005235D3"/>
    <w:rsid w:val="005245B1"/>
    <w:rsid w:val="00526125"/>
    <w:rsid w:val="0052693F"/>
    <w:rsid w:val="005319D7"/>
    <w:rsid w:val="005355A0"/>
    <w:rsid w:val="005374D0"/>
    <w:rsid w:val="0053799C"/>
    <w:rsid w:val="00544B49"/>
    <w:rsid w:val="005463A9"/>
    <w:rsid w:val="00546F57"/>
    <w:rsid w:val="005474D6"/>
    <w:rsid w:val="0055234E"/>
    <w:rsid w:val="00553A47"/>
    <w:rsid w:val="00562BF1"/>
    <w:rsid w:val="0056301D"/>
    <w:rsid w:val="00570324"/>
    <w:rsid w:val="0057174D"/>
    <w:rsid w:val="005756A2"/>
    <w:rsid w:val="005756F9"/>
    <w:rsid w:val="00575B38"/>
    <w:rsid w:val="00576844"/>
    <w:rsid w:val="005773BD"/>
    <w:rsid w:val="00580C5C"/>
    <w:rsid w:val="0058134C"/>
    <w:rsid w:val="00581E78"/>
    <w:rsid w:val="0058593F"/>
    <w:rsid w:val="00587011"/>
    <w:rsid w:val="00590615"/>
    <w:rsid w:val="005945F6"/>
    <w:rsid w:val="00595C07"/>
    <w:rsid w:val="005963C4"/>
    <w:rsid w:val="005A127F"/>
    <w:rsid w:val="005A3334"/>
    <w:rsid w:val="005A33D7"/>
    <w:rsid w:val="005A560D"/>
    <w:rsid w:val="005B0099"/>
    <w:rsid w:val="005B04D0"/>
    <w:rsid w:val="005B4EAA"/>
    <w:rsid w:val="005B7AAB"/>
    <w:rsid w:val="005C0EBA"/>
    <w:rsid w:val="005C46B6"/>
    <w:rsid w:val="005C5138"/>
    <w:rsid w:val="005C5ED9"/>
    <w:rsid w:val="005C6FAE"/>
    <w:rsid w:val="005C7904"/>
    <w:rsid w:val="005D141F"/>
    <w:rsid w:val="005D45C9"/>
    <w:rsid w:val="005D5EE7"/>
    <w:rsid w:val="005D7FCC"/>
    <w:rsid w:val="005E3C0F"/>
    <w:rsid w:val="005E45BD"/>
    <w:rsid w:val="005E6C7E"/>
    <w:rsid w:val="005F2583"/>
    <w:rsid w:val="005F33E4"/>
    <w:rsid w:val="005F4331"/>
    <w:rsid w:val="005F4AA1"/>
    <w:rsid w:val="0060255E"/>
    <w:rsid w:val="00603FCF"/>
    <w:rsid w:val="00605A5C"/>
    <w:rsid w:val="00611B45"/>
    <w:rsid w:val="00613876"/>
    <w:rsid w:val="00613DA8"/>
    <w:rsid w:val="00614058"/>
    <w:rsid w:val="00614B07"/>
    <w:rsid w:val="006168E8"/>
    <w:rsid w:val="00616AF6"/>
    <w:rsid w:val="00616EF1"/>
    <w:rsid w:val="0062040F"/>
    <w:rsid w:val="00621B26"/>
    <w:rsid w:val="00622936"/>
    <w:rsid w:val="0062391C"/>
    <w:rsid w:val="00630E08"/>
    <w:rsid w:val="00630FE9"/>
    <w:rsid w:val="00631809"/>
    <w:rsid w:val="00631CED"/>
    <w:rsid w:val="006352C1"/>
    <w:rsid w:val="00635E6D"/>
    <w:rsid w:val="00636172"/>
    <w:rsid w:val="0064016B"/>
    <w:rsid w:val="00641282"/>
    <w:rsid w:val="006503D8"/>
    <w:rsid w:val="00651BF9"/>
    <w:rsid w:val="00653657"/>
    <w:rsid w:val="0065430A"/>
    <w:rsid w:val="0065501C"/>
    <w:rsid w:val="0065509C"/>
    <w:rsid w:val="00655A67"/>
    <w:rsid w:val="0065674E"/>
    <w:rsid w:val="00657F07"/>
    <w:rsid w:val="00661B4E"/>
    <w:rsid w:val="0066267F"/>
    <w:rsid w:val="00662C19"/>
    <w:rsid w:val="006646A6"/>
    <w:rsid w:val="00670276"/>
    <w:rsid w:val="00670458"/>
    <w:rsid w:val="0067080A"/>
    <w:rsid w:val="00670B1B"/>
    <w:rsid w:val="006729FF"/>
    <w:rsid w:val="006734EC"/>
    <w:rsid w:val="00675F41"/>
    <w:rsid w:val="00676400"/>
    <w:rsid w:val="00677E47"/>
    <w:rsid w:val="0068098C"/>
    <w:rsid w:val="00686666"/>
    <w:rsid w:val="00692D9A"/>
    <w:rsid w:val="00694B4C"/>
    <w:rsid w:val="00695F35"/>
    <w:rsid w:val="006A1BB3"/>
    <w:rsid w:val="006A3C03"/>
    <w:rsid w:val="006A4740"/>
    <w:rsid w:val="006A6097"/>
    <w:rsid w:val="006A64F2"/>
    <w:rsid w:val="006B1252"/>
    <w:rsid w:val="006B3C1B"/>
    <w:rsid w:val="006B3EFB"/>
    <w:rsid w:val="006B56E9"/>
    <w:rsid w:val="006B690F"/>
    <w:rsid w:val="006C245B"/>
    <w:rsid w:val="006C2E08"/>
    <w:rsid w:val="006C3402"/>
    <w:rsid w:val="006C3AD5"/>
    <w:rsid w:val="006C3E8F"/>
    <w:rsid w:val="006C5DA4"/>
    <w:rsid w:val="006C6F08"/>
    <w:rsid w:val="006C7836"/>
    <w:rsid w:val="006D2082"/>
    <w:rsid w:val="006D370E"/>
    <w:rsid w:val="006D3B1F"/>
    <w:rsid w:val="006D491B"/>
    <w:rsid w:val="006D4B7E"/>
    <w:rsid w:val="006D4E8D"/>
    <w:rsid w:val="006D51A2"/>
    <w:rsid w:val="006E1DF2"/>
    <w:rsid w:val="006E57E8"/>
    <w:rsid w:val="006E7EF1"/>
    <w:rsid w:val="006F08AE"/>
    <w:rsid w:val="006F23CD"/>
    <w:rsid w:val="006F28BC"/>
    <w:rsid w:val="006F2ACE"/>
    <w:rsid w:val="007000FB"/>
    <w:rsid w:val="007008E0"/>
    <w:rsid w:val="00705235"/>
    <w:rsid w:val="00706D49"/>
    <w:rsid w:val="007107AD"/>
    <w:rsid w:val="00720E4F"/>
    <w:rsid w:val="0072204D"/>
    <w:rsid w:val="00724153"/>
    <w:rsid w:val="00724A27"/>
    <w:rsid w:val="007257F5"/>
    <w:rsid w:val="007342EA"/>
    <w:rsid w:val="00735001"/>
    <w:rsid w:val="007354F0"/>
    <w:rsid w:val="0073694C"/>
    <w:rsid w:val="00742C25"/>
    <w:rsid w:val="00743300"/>
    <w:rsid w:val="00743871"/>
    <w:rsid w:val="00745364"/>
    <w:rsid w:val="00747A6F"/>
    <w:rsid w:val="007520AB"/>
    <w:rsid w:val="00752308"/>
    <w:rsid w:val="00752B0E"/>
    <w:rsid w:val="00756B4F"/>
    <w:rsid w:val="007575D6"/>
    <w:rsid w:val="00763043"/>
    <w:rsid w:val="00766C21"/>
    <w:rsid w:val="0077010C"/>
    <w:rsid w:val="00770452"/>
    <w:rsid w:val="00770E97"/>
    <w:rsid w:val="00781BAD"/>
    <w:rsid w:val="007853E4"/>
    <w:rsid w:val="007854CF"/>
    <w:rsid w:val="00787B82"/>
    <w:rsid w:val="007900D4"/>
    <w:rsid w:val="00791673"/>
    <w:rsid w:val="00796F08"/>
    <w:rsid w:val="007978E3"/>
    <w:rsid w:val="007A0209"/>
    <w:rsid w:val="007A0FA3"/>
    <w:rsid w:val="007A1A4C"/>
    <w:rsid w:val="007A4181"/>
    <w:rsid w:val="007A46A0"/>
    <w:rsid w:val="007A7CF3"/>
    <w:rsid w:val="007A7EA7"/>
    <w:rsid w:val="007B21DD"/>
    <w:rsid w:val="007B430A"/>
    <w:rsid w:val="007B5630"/>
    <w:rsid w:val="007C0BAC"/>
    <w:rsid w:val="007C37F0"/>
    <w:rsid w:val="007C4D97"/>
    <w:rsid w:val="007C679F"/>
    <w:rsid w:val="007D2137"/>
    <w:rsid w:val="007D2226"/>
    <w:rsid w:val="007D6606"/>
    <w:rsid w:val="007D67D1"/>
    <w:rsid w:val="007D682B"/>
    <w:rsid w:val="007E2A88"/>
    <w:rsid w:val="007E5C59"/>
    <w:rsid w:val="007E6CAF"/>
    <w:rsid w:val="007E73C3"/>
    <w:rsid w:val="007F35D3"/>
    <w:rsid w:val="007F378A"/>
    <w:rsid w:val="007F4E32"/>
    <w:rsid w:val="008046A7"/>
    <w:rsid w:val="00805E1E"/>
    <w:rsid w:val="0080763A"/>
    <w:rsid w:val="008101A5"/>
    <w:rsid w:val="008127DE"/>
    <w:rsid w:val="008132D7"/>
    <w:rsid w:val="00816748"/>
    <w:rsid w:val="00817DB5"/>
    <w:rsid w:val="0082072C"/>
    <w:rsid w:val="00820816"/>
    <w:rsid w:val="008211B6"/>
    <w:rsid w:val="008215F2"/>
    <w:rsid w:val="00821F2F"/>
    <w:rsid w:val="0082561C"/>
    <w:rsid w:val="008314AB"/>
    <w:rsid w:val="00831A19"/>
    <w:rsid w:val="00831EDA"/>
    <w:rsid w:val="008363BD"/>
    <w:rsid w:val="00836A1D"/>
    <w:rsid w:val="00837349"/>
    <w:rsid w:val="00837E80"/>
    <w:rsid w:val="008423F7"/>
    <w:rsid w:val="008433EA"/>
    <w:rsid w:val="00844572"/>
    <w:rsid w:val="008461EA"/>
    <w:rsid w:val="00847619"/>
    <w:rsid w:val="008527AF"/>
    <w:rsid w:val="00853982"/>
    <w:rsid w:val="00854310"/>
    <w:rsid w:val="0085796E"/>
    <w:rsid w:val="00860CE9"/>
    <w:rsid w:val="008652BC"/>
    <w:rsid w:val="00867E22"/>
    <w:rsid w:val="00870493"/>
    <w:rsid w:val="008733F2"/>
    <w:rsid w:val="008739F3"/>
    <w:rsid w:val="00875888"/>
    <w:rsid w:val="00875A7F"/>
    <w:rsid w:val="00877335"/>
    <w:rsid w:val="00877C4A"/>
    <w:rsid w:val="00881A7C"/>
    <w:rsid w:val="00884320"/>
    <w:rsid w:val="00885412"/>
    <w:rsid w:val="0088764D"/>
    <w:rsid w:val="00887954"/>
    <w:rsid w:val="0089092B"/>
    <w:rsid w:val="00890FD6"/>
    <w:rsid w:val="0089104A"/>
    <w:rsid w:val="00891D27"/>
    <w:rsid w:val="00895B38"/>
    <w:rsid w:val="008979D0"/>
    <w:rsid w:val="008A3128"/>
    <w:rsid w:val="008A344B"/>
    <w:rsid w:val="008A348A"/>
    <w:rsid w:val="008A53F1"/>
    <w:rsid w:val="008B0677"/>
    <w:rsid w:val="008B1B1E"/>
    <w:rsid w:val="008B54F4"/>
    <w:rsid w:val="008B629C"/>
    <w:rsid w:val="008B6C35"/>
    <w:rsid w:val="008B6C4F"/>
    <w:rsid w:val="008C0A8C"/>
    <w:rsid w:val="008C181F"/>
    <w:rsid w:val="008C1CCC"/>
    <w:rsid w:val="008C2621"/>
    <w:rsid w:val="008C4B08"/>
    <w:rsid w:val="008C4DAE"/>
    <w:rsid w:val="008C6C90"/>
    <w:rsid w:val="008C6CD3"/>
    <w:rsid w:val="008D25CC"/>
    <w:rsid w:val="008D261D"/>
    <w:rsid w:val="008D3E8B"/>
    <w:rsid w:val="008D409A"/>
    <w:rsid w:val="008D52BA"/>
    <w:rsid w:val="008D6C5A"/>
    <w:rsid w:val="008D70A6"/>
    <w:rsid w:val="008E121E"/>
    <w:rsid w:val="008E31F7"/>
    <w:rsid w:val="008F6929"/>
    <w:rsid w:val="00904091"/>
    <w:rsid w:val="009044B7"/>
    <w:rsid w:val="009058EE"/>
    <w:rsid w:val="00906E26"/>
    <w:rsid w:val="00910E60"/>
    <w:rsid w:val="00912360"/>
    <w:rsid w:val="00912C0C"/>
    <w:rsid w:val="00914472"/>
    <w:rsid w:val="00914E23"/>
    <w:rsid w:val="00915F96"/>
    <w:rsid w:val="00916A58"/>
    <w:rsid w:val="00917AE9"/>
    <w:rsid w:val="0092041D"/>
    <w:rsid w:val="00921DA9"/>
    <w:rsid w:val="00922734"/>
    <w:rsid w:val="00923457"/>
    <w:rsid w:val="00924324"/>
    <w:rsid w:val="009262AC"/>
    <w:rsid w:val="0093372D"/>
    <w:rsid w:val="0093663B"/>
    <w:rsid w:val="0094137F"/>
    <w:rsid w:val="00941BFF"/>
    <w:rsid w:val="00941E0A"/>
    <w:rsid w:val="009420B7"/>
    <w:rsid w:val="00942B3C"/>
    <w:rsid w:val="00945A38"/>
    <w:rsid w:val="00946231"/>
    <w:rsid w:val="00950A70"/>
    <w:rsid w:val="009515F6"/>
    <w:rsid w:val="00951681"/>
    <w:rsid w:val="00951BC4"/>
    <w:rsid w:val="009603C9"/>
    <w:rsid w:val="00960B87"/>
    <w:rsid w:val="00960DCA"/>
    <w:rsid w:val="00962AAD"/>
    <w:rsid w:val="009632B8"/>
    <w:rsid w:val="009635AB"/>
    <w:rsid w:val="00963AFB"/>
    <w:rsid w:val="00964ECF"/>
    <w:rsid w:val="0096529B"/>
    <w:rsid w:val="009661D5"/>
    <w:rsid w:val="00971A09"/>
    <w:rsid w:val="0097213D"/>
    <w:rsid w:val="009758CE"/>
    <w:rsid w:val="00975E03"/>
    <w:rsid w:val="009803DF"/>
    <w:rsid w:val="00980566"/>
    <w:rsid w:val="00982ED8"/>
    <w:rsid w:val="00984A9D"/>
    <w:rsid w:val="00986732"/>
    <w:rsid w:val="00986ECD"/>
    <w:rsid w:val="009903E3"/>
    <w:rsid w:val="0099176B"/>
    <w:rsid w:val="0099459B"/>
    <w:rsid w:val="009966EF"/>
    <w:rsid w:val="009972E5"/>
    <w:rsid w:val="009A2737"/>
    <w:rsid w:val="009A2A70"/>
    <w:rsid w:val="009A3BBF"/>
    <w:rsid w:val="009A3D45"/>
    <w:rsid w:val="009A68DE"/>
    <w:rsid w:val="009A7D1A"/>
    <w:rsid w:val="009B3268"/>
    <w:rsid w:val="009B5FBB"/>
    <w:rsid w:val="009B64C4"/>
    <w:rsid w:val="009C104E"/>
    <w:rsid w:val="009C68FE"/>
    <w:rsid w:val="009D0659"/>
    <w:rsid w:val="009D119A"/>
    <w:rsid w:val="009D353E"/>
    <w:rsid w:val="009E047A"/>
    <w:rsid w:val="009E0743"/>
    <w:rsid w:val="009E0762"/>
    <w:rsid w:val="009E0D5F"/>
    <w:rsid w:val="009E16BB"/>
    <w:rsid w:val="009E19B7"/>
    <w:rsid w:val="009E1CE0"/>
    <w:rsid w:val="009E3575"/>
    <w:rsid w:val="009E3DB9"/>
    <w:rsid w:val="009E558C"/>
    <w:rsid w:val="009E6878"/>
    <w:rsid w:val="009F07ED"/>
    <w:rsid w:val="009F0931"/>
    <w:rsid w:val="009F17FE"/>
    <w:rsid w:val="009F3479"/>
    <w:rsid w:val="009F34A1"/>
    <w:rsid w:val="009F4221"/>
    <w:rsid w:val="009F4617"/>
    <w:rsid w:val="009F47A7"/>
    <w:rsid w:val="009F5718"/>
    <w:rsid w:val="009F61DA"/>
    <w:rsid w:val="009F707B"/>
    <w:rsid w:val="009F7990"/>
    <w:rsid w:val="009F7A6D"/>
    <w:rsid w:val="00A009D4"/>
    <w:rsid w:val="00A0320E"/>
    <w:rsid w:val="00A0489B"/>
    <w:rsid w:val="00A04E00"/>
    <w:rsid w:val="00A05D48"/>
    <w:rsid w:val="00A10C08"/>
    <w:rsid w:val="00A12944"/>
    <w:rsid w:val="00A14499"/>
    <w:rsid w:val="00A14D7C"/>
    <w:rsid w:val="00A14EFC"/>
    <w:rsid w:val="00A1691E"/>
    <w:rsid w:val="00A22BE0"/>
    <w:rsid w:val="00A22FF3"/>
    <w:rsid w:val="00A2365D"/>
    <w:rsid w:val="00A24980"/>
    <w:rsid w:val="00A24C4F"/>
    <w:rsid w:val="00A2719F"/>
    <w:rsid w:val="00A312B8"/>
    <w:rsid w:val="00A32C82"/>
    <w:rsid w:val="00A33A9C"/>
    <w:rsid w:val="00A3408C"/>
    <w:rsid w:val="00A35315"/>
    <w:rsid w:val="00A37682"/>
    <w:rsid w:val="00A442C3"/>
    <w:rsid w:val="00A4684B"/>
    <w:rsid w:val="00A474D4"/>
    <w:rsid w:val="00A50F6C"/>
    <w:rsid w:val="00A51EA7"/>
    <w:rsid w:val="00A5372D"/>
    <w:rsid w:val="00A54E03"/>
    <w:rsid w:val="00A65653"/>
    <w:rsid w:val="00A6600B"/>
    <w:rsid w:val="00A66018"/>
    <w:rsid w:val="00A66558"/>
    <w:rsid w:val="00A7014D"/>
    <w:rsid w:val="00A71047"/>
    <w:rsid w:val="00A72D1A"/>
    <w:rsid w:val="00A751B8"/>
    <w:rsid w:val="00A835FF"/>
    <w:rsid w:val="00A83846"/>
    <w:rsid w:val="00A83E30"/>
    <w:rsid w:val="00A85EA9"/>
    <w:rsid w:val="00A916E8"/>
    <w:rsid w:val="00A92349"/>
    <w:rsid w:val="00A944BC"/>
    <w:rsid w:val="00AA1CCA"/>
    <w:rsid w:val="00AB0007"/>
    <w:rsid w:val="00AB07B5"/>
    <w:rsid w:val="00AB0B25"/>
    <w:rsid w:val="00AB6557"/>
    <w:rsid w:val="00AC0550"/>
    <w:rsid w:val="00AC3607"/>
    <w:rsid w:val="00AC54FF"/>
    <w:rsid w:val="00AC7B96"/>
    <w:rsid w:val="00AD066A"/>
    <w:rsid w:val="00AD069F"/>
    <w:rsid w:val="00AD5BB2"/>
    <w:rsid w:val="00AD6C0F"/>
    <w:rsid w:val="00AE3450"/>
    <w:rsid w:val="00AE3903"/>
    <w:rsid w:val="00AE5055"/>
    <w:rsid w:val="00AE5C35"/>
    <w:rsid w:val="00AE699D"/>
    <w:rsid w:val="00AF0886"/>
    <w:rsid w:val="00AF1477"/>
    <w:rsid w:val="00AF33FC"/>
    <w:rsid w:val="00AF4C7A"/>
    <w:rsid w:val="00AF5D5B"/>
    <w:rsid w:val="00AF6B9A"/>
    <w:rsid w:val="00B00AA3"/>
    <w:rsid w:val="00B020CF"/>
    <w:rsid w:val="00B026D9"/>
    <w:rsid w:val="00B05442"/>
    <w:rsid w:val="00B072ED"/>
    <w:rsid w:val="00B10BF4"/>
    <w:rsid w:val="00B1170E"/>
    <w:rsid w:val="00B11A62"/>
    <w:rsid w:val="00B14A97"/>
    <w:rsid w:val="00B15030"/>
    <w:rsid w:val="00B150FA"/>
    <w:rsid w:val="00B17B1E"/>
    <w:rsid w:val="00B20661"/>
    <w:rsid w:val="00B20D8C"/>
    <w:rsid w:val="00B20EE3"/>
    <w:rsid w:val="00B21B7C"/>
    <w:rsid w:val="00B226CE"/>
    <w:rsid w:val="00B22AC5"/>
    <w:rsid w:val="00B249CD"/>
    <w:rsid w:val="00B24C6D"/>
    <w:rsid w:val="00B273CB"/>
    <w:rsid w:val="00B323F0"/>
    <w:rsid w:val="00B34146"/>
    <w:rsid w:val="00B3465A"/>
    <w:rsid w:val="00B37E41"/>
    <w:rsid w:val="00B42D49"/>
    <w:rsid w:val="00B43E1A"/>
    <w:rsid w:val="00B47709"/>
    <w:rsid w:val="00B50794"/>
    <w:rsid w:val="00B51738"/>
    <w:rsid w:val="00B51E90"/>
    <w:rsid w:val="00B57380"/>
    <w:rsid w:val="00B67C1A"/>
    <w:rsid w:val="00B7271C"/>
    <w:rsid w:val="00B763C7"/>
    <w:rsid w:val="00B763FA"/>
    <w:rsid w:val="00B774A8"/>
    <w:rsid w:val="00B816DD"/>
    <w:rsid w:val="00B81A18"/>
    <w:rsid w:val="00B81D8F"/>
    <w:rsid w:val="00B82AC2"/>
    <w:rsid w:val="00B83C4A"/>
    <w:rsid w:val="00B8497F"/>
    <w:rsid w:val="00B85B59"/>
    <w:rsid w:val="00B91A4A"/>
    <w:rsid w:val="00B9497B"/>
    <w:rsid w:val="00B95D21"/>
    <w:rsid w:val="00B97B9F"/>
    <w:rsid w:val="00BA3333"/>
    <w:rsid w:val="00BA36B3"/>
    <w:rsid w:val="00BA5B1F"/>
    <w:rsid w:val="00BA66B1"/>
    <w:rsid w:val="00BA6EBC"/>
    <w:rsid w:val="00BB1638"/>
    <w:rsid w:val="00BB34F9"/>
    <w:rsid w:val="00BB4BAF"/>
    <w:rsid w:val="00BB4C43"/>
    <w:rsid w:val="00BB7E8B"/>
    <w:rsid w:val="00BC0B12"/>
    <w:rsid w:val="00BC0E96"/>
    <w:rsid w:val="00BC12E2"/>
    <w:rsid w:val="00BC1DCF"/>
    <w:rsid w:val="00BC346D"/>
    <w:rsid w:val="00BC35D4"/>
    <w:rsid w:val="00BC3D16"/>
    <w:rsid w:val="00BD4345"/>
    <w:rsid w:val="00BD4DFB"/>
    <w:rsid w:val="00BE3510"/>
    <w:rsid w:val="00BE4CCA"/>
    <w:rsid w:val="00BE6F43"/>
    <w:rsid w:val="00BE74C8"/>
    <w:rsid w:val="00BE761E"/>
    <w:rsid w:val="00BF0827"/>
    <w:rsid w:val="00BF0A35"/>
    <w:rsid w:val="00BF2F4A"/>
    <w:rsid w:val="00BF3093"/>
    <w:rsid w:val="00BF3C89"/>
    <w:rsid w:val="00BF5CDF"/>
    <w:rsid w:val="00C04531"/>
    <w:rsid w:val="00C04558"/>
    <w:rsid w:val="00C04EA1"/>
    <w:rsid w:val="00C06BDF"/>
    <w:rsid w:val="00C07088"/>
    <w:rsid w:val="00C07C80"/>
    <w:rsid w:val="00C11AAF"/>
    <w:rsid w:val="00C11EFF"/>
    <w:rsid w:val="00C124E6"/>
    <w:rsid w:val="00C1294D"/>
    <w:rsid w:val="00C12F1D"/>
    <w:rsid w:val="00C13F83"/>
    <w:rsid w:val="00C15382"/>
    <w:rsid w:val="00C15ECA"/>
    <w:rsid w:val="00C1633C"/>
    <w:rsid w:val="00C17E8D"/>
    <w:rsid w:val="00C20E93"/>
    <w:rsid w:val="00C21DF1"/>
    <w:rsid w:val="00C222F3"/>
    <w:rsid w:val="00C23BF2"/>
    <w:rsid w:val="00C24004"/>
    <w:rsid w:val="00C24455"/>
    <w:rsid w:val="00C254F0"/>
    <w:rsid w:val="00C27855"/>
    <w:rsid w:val="00C3350C"/>
    <w:rsid w:val="00C34B23"/>
    <w:rsid w:val="00C374CC"/>
    <w:rsid w:val="00C379FE"/>
    <w:rsid w:val="00C37CD0"/>
    <w:rsid w:val="00C43CFE"/>
    <w:rsid w:val="00C46557"/>
    <w:rsid w:val="00C46DC6"/>
    <w:rsid w:val="00C4789A"/>
    <w:rsid w:val="00C5077F"/>
    <w:rsid w:val="00C5093C"/>
    <w:rsid w:val="00C52731"/>
    <w:rsid w:val="00C530DF"/>
    <w:rsid w:val="00C55401"/>
    <w:rsid w:val="00C558CF"/>
    <w:rsid w:val="00C60CCE"/>
    <w:rsid w:val="00C6215B"/>
    <w:rsid w:val="00C669E5"/>
    <w:rsid w:val="00C679CE"/>
    <w:rsid w:val="00C704C9"/>
    <w:rsid w:val="00C71914"/>
    <w:rsid w:val="00C72992"/>
    <w:rsid w:val="00C7784C"/>
    <w:rsid w:val="00C80F04"/>
    <w:rsid w:val="00C81090"/>
    <w:rsid w:val="00C81C16"/>
    <w:rsid w:val="00C84715"/>
    <w:rsid w:val="00C84856"/>
    <w:rsid w:val="00C86564"/>
    <w:rsid w:val="00C90531"/>
    <w:rsid w:val="00C93740"/>
    <w:rsid w:val="00CA06B1"/>
    <w:rsid w:val="00CA4330"/>
    <w:rsid w:val="00CA6B55"/>
    <w:rsid w:val="00CA743A"/>
    <w:rsid w:val="00CB1707"/>
    <w:rsid w:val="00CB2664"/>
    <w:rsid w:val="00CB5838"/>
    <w:rsid w:val="00CB5961"/>
    <w:rsid w:val="00CB5F63"/>
    <w:rsid w:val="00CB75FF"/>
    <w:rsid w:val="00CB7B6B"/>
    <w:rsid w:val="00CC0060"/>
    <w:rsid w:val="00CC0503"/>
    <w:rsid w:val="00CC0BE8"/>
    <w:rsid w:val="00CC147D"/>
    <w:rsid w:val="00CC3E11"/>
    <w:rsid w:val="00CC486B"/>
    <w:rsid w:val="00CC6237"/>
    <w:rsid w:val="00CC6700"/>
    <w:rsid w:val="00CC6D89"/>
    <w:rsid w:val="00CC6F63"/>
    <w:rsid w:val="00CD20F8"/>
    <w:rsid w:val="00CD3316"/>
    <w:rsid w:val="00CD34E9"/>
    <w:rsid w:val="00CD3706"/>
    <w:rsid w:val="00CE116F"/>
    <w:rsid w:val="00CE1403"/>
    <w:rsid w:val="00CE2FD5"/>
    <w:rsid w:val="00CE4A48"/>
    <w:rsid w:val="00CF1A8C"/>
    <w:rsid w:val="00CF35E9"/>
    <w:rsid w:val="00CF43F2"/>
    <w:rsid w:val="00CF4B8D"/>
    <w:rsid w:val="00CF543F"/>
    <w:rsid w:val="00D00D62"/>
    <w:rsid w:val="00D02312"/>
    <w:rsid w:val="00D045C0"/>
    <w:rsid w:val="00D0622E"/>
    <w:rsid w:val="00D06CF4"/>
    <w:rsid w:val="00D1088E"/>
    <w:rsid w:val="00D12BD9"/>
    <w:rsid w:val="00D1378B"/>
    <w:rsid w:val="00D15B09"/>
    <w:rsid w:val="00D162BC"/>
    <w:rsid w:val="00D167BB"/>
    <w:rsid w:val="00D16D6E"/>
    <w:rsid w:val="00D205BA"/>
    <w:rsid w:val="00D22110"/>
    <w:rsid w:val="00D22216"/>
    <w:rsid w:val="00D25F59"/>
    <w:rsid w:val="00D266C2"/>
    <w:rsid w:val="00D3255C"/>
    <w:rsid w:val="00D32D57"/>
    <w:rsid w:val="00D3420E"/>
    <w:rsid w:val="00D3478E"/>
    <w:rsid w:val="00D356CF"/>
    <w:rsid w:val="00D4206A"/>
    <w:rsid w:val="00D44DA6"/>
    <w:rsid w:val="00D4620B"/>
    <w:rsid w:val="00D50C61"/>
    <w:rsid w:val="00D52C71"/>
    <w:rsid w:val="00D5467C"/>
    <w:rsid w:val="00D60C48"/>
    <w:rsid w:val="00D621DA"/>
    <w:rsid w:val="00D64876"/>
    <w:rsid w:val="00D648E0"/>
    <w:rsid w:val="00D65AC8"/>
    <w:rsid w:val="00D66346"/>
    <w:rsid w:val="00D7008E"/>
    <w:rsid w:val="00D722CD"/>
    <w:rsid w:val="00D72F00"/>
    <w:rsid w:val="00D753D9"/>
    <w:rsid w:val="00D7641A"/>
    <w:rsid w:val="00D807D1"/>
    <w:rsid w:val="00D80AEF"/>
    <w:rsid w:val="00D8224F"/>
    <w:rsid w:val="00D857FB"/>
    <w:rsid w:val="00D85BF7"/>
    <w:rsid w:val="00D86802"/>
    <w:rsid w:val="00D878C2"/>
    <w:rsid w:val="00D90A8A"/>
    <w:rsid w:val="00D90DCC"/>
    <w:rsid w:val="00D91676"/>
    <w:rsid w:val="00D9281D"/>
    <w:rsid w:val="00D93E70"/>
    <w:rsid w:val="00D94FA1"/>
    <w:rsid w:val="00D95E0B"/>
    <w:rsid w:val="00D969EB"/>
    <w:rsid w:val="00D974FF"/>
    <w:rsid w:val="00DA0270"/>
    <w:rsid w:val="00DA04D6"/>
    <w:rsid w:val="00DA06FC"/>
    <w:rsid w:val="00DA56F0"/>
    <w:rsid w:val="00DA5F0B"/>
    <w:rsid w:val="00DA7A60"/>
    <w:rsid w:val="00DB226C"/>
    <w:rsid w:val="00DB4818"/>
    <w:rsid w:val="00DB5F13"/>
    <w:rsid w:val="00DC5B32"/>
    <w:rsid w:val="00DD173D"/>
    <w:rsid w:val="00DD40C0"/>
    <w:rsid w:val="00DD6B82"/>
    <w:rsid w:val="00DE2FEA"/>
    <w:rsid w:val="00DE4AC1"/>
    <w:rsid w:val="00DE4EA3"/>
    <w:rsid w:val="00DE5630"/>
    <w:rsid w:val="00DE5FF0"/>
    <w:rsid w:val="00DF0EC6"/>
    <w:rsid w:val="00DF26E7"/>
    <w:rsid w:val="00DF4B57"/>
    <w:rsid w:val="00DF54D3"/>
    <w:rsid w:val="00DF6DBF"/>
    <w:rsid w:val="00E00D73"/>
    <w:rsid w:val="00E02E3B"/>
    <w:rsid w:val="00E049A4"/>
    <w:rsid w:val="00E04D8F"/>
    <w:rsid w:val="00E072AC"/>
    <w:rsid w:val="00E078FD"/>
    <w:rsid w:val="00E11477"/>
    <w:rsid w:val="00E11B0F"/>
    <w:rsid w:val="00E125AF"/>
    <w:rsid w:val="00E13082"/>
    <w:rsid w:val="00E13259"/>
    <w:rsid w:val="00E1342A"/>
    <w:rsid w:val="00E14388"/>
    <w:rsid w:val="00E1687C"/>
    <w:rsid w:val="00E2017C"/>
    <w:rsid w:val="00E2076C"/>
    <w:rsid w:val="00E21788"/>
    <w:rsid w:val="00E219B9"/>
    <w:rsid w:val="00E242D3"/>
    <w:rsid w:val="00E24CA4"/>
    <w:rsid w:val="00E27A3B"/>
    <w:rsid w:val="00E322FF"/>
    <w:rsid w:val="00E32889"/>
    <w:rsid w:val="00E33AFF"/>
    <w:rsid w:val="00E36C6E"/>
    <w:rsid w:val="00E37FA1"/>
    <w:rsid w:val="00E414F8"/>
    <w:rsid w:val="00E43A15"/>
    <w:rsid w:val="00E4472A"/>
    <w:rsid w:val="00E47077"/>
    <w:rsid w:val="00E51C4C"/>
    <w:rsid w:val="00E52101"/>
    <w:rsid w:val="00E52622"/>
    <w:rsid w:val="00E52779"/>
    <w:rsid w:val="00E53A28"/>
    <w:rsid w:val="00E53C53"/>
    <w:rsid w:val="00E553D5"/>
    <w:rsid w:val="00E56ADF"/>
    <w:rsid w:val="00E626F1"/>
    <w:rsid w:val="00E63303"/>
    <w:rsid w:val="00E63B4A"/>
    <w:rsid w:val="00E641A6"/>
    <w:rsid w:val="00E65624"/>
    <w:rsid w:val="00E6714F"/>
    <w:rsid w:val="00E705D3"/>
    <w:rsid w:val="00E7317F"/>
    <w:rsid w:val="00E73276"/>
    <w:rsid w:val="00E737FA"/>
    <w:rsid w:val="00E76ACE"/>
    <w:rsid w:val="00E84012"/>
    <w:rsid w:val="00E861DA"/>
    <w:rsid w:val="00E86364"/>
    <w:rsid w:val="00E904E5"/>
    <w:rsid w:val="00E91234"/>
    <w:rsid w:val="00E959E8"/>
    <w:rsid w:val="00E96A0E"/>
    <w:rsid w:val="00EA174A"/>
    <w:rsid w:val="00EA2724"/>
    <w:rsid w:val="00EA4441"/>
    <w:rsid w:val="00EA460D"/>
    <w:rsid w:val="00EA7897"/>
    <w:rsid w:val="00EB154E"/>
    <w:rsid w:val="00EB1B66"/>
    <w:rsid w:val="00EB208A"/>
    <w:rsid w:val="00EB2FB3"/>
    <w:rsid w:val="00EB4B99"/>
    <w:rsid w:val="00EB7E3D"/>
    <w:rsid w:val="00EC11E4"/>
    <w:rsid w:val="00EC1AE7"/>
    <w:rsid w:val="00EC439F"/>
    <w:rsid w:val="00EC7FD4"/>
    <w:rsid w:val="00ED1EC3"/>
    <w:rsid w:val="00ED2F45"/>
    <w:rsid w:val="00ED4012"/>
    <w:rsid w:val="00ED45A8"/>
    <w:rsid w:val="00ED55A2"/>
    <w:rsid w:val="00EE010A"/>
    <w:rsid w:val="00EE2367"/>
    <w:rsid w:val="00EF0A65"/>
    <w:rsid w:val="00EF12CB"/>
    <w:rsid w:val="00EF1A98"/>
    <w:rsid w:val="00EF331C"/>
    <w:rsid w:val="00EF3332"/>
    <w:rsid w:val="00EF41AC"/>
    <w:rsid w:val="00EF4AB1"/>
    <w:rsid w:val="00EF4F0C"/>
    <w:rsid w:val="00EF7456"/>
    <w:rsid w:val="00F0033E"/>
    <w:rsid w:val="00F02A7A"/>
    <w:rsid w:val="00F03624"/>
    <w:rsid w:val="00F06057"/>
    <w:rsid w:val="00F071F3"/>
    <w:rsid w:val="00F11771"/>
    <w:rsid w:val="00F253C8"/>
    <w:rsid w:val="00F26B72"/>
    <w:rsid w:val="00F3014C"/>
    <w:rsid w:val="00F32E6F"/>
    <w:rsid w:val="00F353CE"/>
    <w:rsid w:val="00F3651B"/>
    <w:rsid w:val="00F36710"/>
    <w:rsid w:val="00F37163"/>
    <w:rsid w:val="00F41D83"/>
    <w:rsid w:val="00F435F1"/>
    <w:rsid w:val="00F43AEB"/>
    <w:rsid w:val="00F4518A"/>
    <w:rsid w:val="00F45F9D"/>
    <w:rsid w:val="00F476EB"/>
    <w:rsid w:val="00F47958"/>
    <w:rsid w:val="00F51224"/>
    <w:rsid w:val="00F56248"/>
    <w:rsid w:val="00F6014A"/>
    <w:rsid w:val="00F61397"/>
    <w:rsid w:val="00F61F43"/>
    <w:rsid w:val="00F63B2E"/>
    <w:rsid w:val="00F64EF7"/>
    <w:rsid w:val="00F65411"/>
    <w:rsid w:val="00F66425"/>
    <w:rsid w:val="00F66C87"/>
    <w:rsid w:val="00F710FC"/>
    <w:rsid w:val="00F7161F"/>
    <w:rsid w:val="00F73B08"/>
    <w:rsid w:val="00F73E58"/>
    <w:rsid w:val="00F7406E"/>
    <w:rsid w:val="00F74249"/>
    <w:rsid w:val="00F75473"/>
    <w:rsid w:val="00F82733"/>
    <w:rsid w:val="00F838BA"/>
    <w:rsid w:val="00F839BB"/>
    <w:rsid w:val="00F84751"/>
    <w:rsid w:val="00F84FC3"/>
    <w:rsid w:val="00F85075"/>
    <w:rsid w:val="00F85AD4"/>
    <w:rsid w:val="00F93A91"/>
    <w:rsid w:val="00F93E48"/>
    <w:rsid w:val="00F94C4E"/>
    <w:rsid w:val="00F950DB"/>
    <w:rsid w:val="00F95D50"/>
    <w:rsid w:val="00F96AA9"/>
    <w:rsid w:val="00FA2073"/>
    <w:rsid w:val="00FA2A0D"/>
    <w:rsid w:val="00FA521B"/>
    <w:rsid w:val="00FA606A"/>
    <w:rsid w:val="00FA7E0A"/>
    <w:rsid w:val="00FB0B72"/>
    <w:rsid w:val="00FB0CB0"/>
    <w:rsid w:val="00FB1797"/>
    <w:rsid w:val="00FC3830"/>
    <w:rsid w:val="00FC789F"/>
    <w:rsid w:val="00FD2416"/>
    <w:rsid w:val="00FD241B"/>
    <w:rsid w:val="00FD3AAB"/>
    <w:rsid w:val="00FD4B19"/>
    <w:rsid w:val="00FD6D4E"/>
    <w:rsid w:val="00FE0A6D"/>
    <w:rsid w:val="00FE2301"/>
    <w:rsid w:val="00FE251E"/>
    <w:rsid w:val="00FE2D9A"/>
    <w:rsid w:val="00FE3202"/>
    <w:rsid w:val="00FE33A9"/>
    <w:rsid w:val="00FE3976"/>
    <w:rsid w:val="00FE3C14"/>
    <w:rsid w:val="00FE4274"/>
    <w:rsid w:val="00FE4DA5"/>
    <w:rsid w:val="00FE5327"/>
    <w:rsid w:val="00FE6A03"/>
    <w:rsid w:val="00FE6FF7"/>
    <w:rsid w:val="00FF0501"/>
    <w:rsid w:val="00FF1912"/>
    <w:rsid w:val="00FF6210"/>
    <w:rsid w:val="00FF73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C0C"/>
    <w:pPr>
      <w:ind w:left="720"/>
      <w:contextualSpacing/>
    </w:pPr>
  </w:style>
  <w:style w:type="paragraph" w:styleId="FootnoteText">
    <w:name w:val="footnote text"/>
    <w:basedOn w:val="Normal"/>
    <w:link w:val="FootnoteTextChar"/>
    <w:rsid w:val="00395105"/>
    <w:rPr>
      <w:sz w:val="20"/>
      <w:szCs w:val="20"/>
    </w:rPr>
  </w:style>
  <w:style w:type="character" w:customStyle="1" w:styleId="FootnoteTextChar">
    <w:name w:val="Footnote Text Char"/>
    <w:basedOn w:val="DefaultParagraphFont"/>
    <w:link w:val="FootnoteText"/>
    <w:rsid w:val="00395105"/>
  </w:style>
  <w:style w:type="character" w:styleId="FootnoteReference">
    <w:name w:val="footnote reference"/>
    <w:basedOn w:val="DefaultParagraphFont"/>
    <w:rsid w:val="00395105"/>
    <w:rPr>
      <w:vertAlign w:val="superscript"/>
    </w:rPr>
  </w:style>
  <w:style w:type="paragraph" w:styleId="Header">
    <w:name w:val="header"/>
    <w:basedOn w:val="Normal"/>
    <w:link w:val="HeaderChar"/>
    <w:rsid w:val="008B1B1E"/>
    <w:pPr>
      <w:tabs>
        <w:tab w:val="center" w:pos="4680"/>
        <w:tab w:val="right" w:pos="9360"/>
      </w:tabs>
    </w:pPr>
  </w:style>
  <w:style w:type="character" w:customStyle="1" w:styleId="HeaderChar">
    <w:name w:val="Header Char"/>
    <w:basedOn w:val="DefaultParagraphFont"/>
    <w:link w:val="Header"/>
    <w:rsid w:val="008B1B1E"/>
    <w:rPr>
      <w:sz w:val="24"/>
      <w:szCs w:val="24"/>
    </w:rPr>
  </w:style>
  <w:style w:type="paragraph" w:styleId="Footer">
    <w:name w:val="footer"/>
    <w:basedOn w:val="Normal"/>
    <w:link w:val="FooterChar"/>
    <w:uiPriority w:val="99"/>
    <w:rsid w:val="008B1B1E"/>
    <w:pPr>
      <w:tabs>
        <w:tab w:val="center" w:pos="4680"/>
        <w:tab w:val="right" w:pos="9360"/>
      </w:tabs>
    </w:pPr>
  </w:style>
  <w:style w:type="character" w:customStyle="1" w:styleId="FooterChar">
    <w:name w:val="Footer Char"/>
    <w:basedOn w:val="DefaultParagraphFont"/>
    <w:link w:val="Footer"/>
    <w:uiPriority w:val="99"/>
    <w:rsid w:val="008B1B1E"/>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5920C-2EFD-4A08-8678-BE83B6D04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6739</Words>
  <Characters>38418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45067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johcorbett</dc:creator>
  <cp:keywords/>
  <dc:description/>
  <cp:lastModifiedBy>shoffner</cp:lastModifiedBy>
  <cp:revision>6</cp:revision>
  <cp:lastPrinted>2011-09-16T16:55:00Z</cp:lastPrinted>
  <dcterms:created xsi:type="dcterms:W3CDTF">2011-09-14T13:00:00Z</dcterms:created>
  <dcterms:modified xsi:type="dcterms:W3CDTF">2011-09-16T17:00:00Z</dcterms:modified>
</cp:coreProperties>
</file>