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A78" w:rsidRPr="00612C26" w:rsidRDefault="003D2A78" w:rsidP="00612C26">
      <w:pPr>
        <w:jc w:val="center"/>
        <w:rPr>
          <w:b/>
        </w:rPr>
      </w:pPr>
      <w:r w:rsidRPr="00612C26">
        <w:rPr>
          <w:b/>
        </w:rPr>
        <w:t>BEFORE THE</w:t>
      </w:r>
    </w:p>
    <w:p w:rsidR="003D2A78" w:rsidRPr="00612C26" w:rsidRDefault="003D2A78" w:rsidP="00612C26">
      <w:pPr>
        <w:jc w:val="center"/>
        <w:rPr>
          <w:b/>
        </w:rPr>
      </w:pPr>
      <w:r w:rsidRPr="00612C26">
        <w:rPr>
          <w:b/>
        </w:rPr>
        <w:t>PENNSYVANIA PUBLIC UTILITY COMMISSION</w:t>
      </w:r>
    </w:p>
    <w:p w:rsidR="003D2A78" w:rsidRPr="00612C26" w:rsidRDefault="003D2A78" w:rsidP="00612C26">
      <w:pPr>
        <w:jc w:val="center"/>
        <w:rPr>
          <w:b/>
        </w:rPr>
      </w:pPr>
    </w:p>
    <w:p w:rsidR="003D2A78" w:rsidRPr="00612C26" w:rsidRDefault="003D2A78" w:rsidP="00612C26">
      <w:pPr>
        <w:jc w:val="center"/>
        <w:rPr>
          <w:b/>
        </w:rPr>
      </w:pPr>
    </w:p>
    <w:p w:rsidR="003D2A78" w:rsidRPr="00612C26" w:rsidRDefault="003D2A78" w:rsidP="00612C26">
      <w:pPr>
        <w:jc w:val="center"/>
        <w:rPr>
          <w:b/>
        </w:rPr>
      </w:pPr>
    </w:p>
    <w:p w:rsidR="003D2A78" w:rsidRPr="00612C26" w:rsidRDefault="00A51C64" w:rsidP="00612C26">
      <w:r w:rsidRPr="00612C26">
        <w:t>Avery Mumford</w:t>
      </w:r>
      <w:r w:rsidR="003D2A78" w:rsidRPr="00612C26">
        <w:tab/>
      </w:r>
      <w:r w:rsidR="003D2A78" w:rsidRPr="00612C26">
        <w:tab/>
      </w:r>
      <w:r w:rsidR="003D2A78" w:rsidRPr="00612C26">
        <w:tab/>
      </w:r>
      <w:r w:rsidR="003D2A78" w:rsidRPr="00612C26">
        <w:tab/>
      </w:r>
      <w:r w:rsidR="00612C26">
        <w:tab/>
      </w:r>
      <w:r w:rsidR="003D2A78" w:rsidRPr="00612C26">
        <w:t>:</w:t>
      </w:r>
    </w:p>
    <w:p w:rsidR="003D2A78" w:rsidRPr="00612C26" w:rsidRDefault="003D2A78" w:rsidP="00612C26">
      <w:r w:rsidRPr="00612C26">
        <w:tab/>
      </w:r>
      <w:r w:rsidRPr="00612C26">
        <w:tab/>
      </w:r>
      <w:r w:rsidRPr="00612C26">
        <w:tab/>
      </w:r>
      <w:r w:rsidRPr="00612C26">
        <w:tab/>
      </w:r>
      <w:r w:rsidRPr="00612C26">
        <w:tab/>
      </w:r>
      <w:r w:rsidRPr="00612C26">
        <w:tab/>
      </w:r>
      <w:r w:rsidR="00612C26">
        <w:tab/>
      </w:r>
      <w:r w:rsidRPr="00612C26">
        <w:t>:</w:t>
      </w:r>
    </w:p>
    <w:p w:rsidR="003D2A78" w:rsidRPr="00612C26" w:rsidRDefault="00612C26" w:rsidP="00612C26">
      <w:r>
        <w:tab/>
        <w:t>v.</w:t>
      </w:r>
      <w:r>
        <w:tab/>
      </w:r>
      <w:r>
        <w:tab/>
      </w:r>
      <w:r>
        <w:tab/>
      </w:r>
      <w:r>
        <w:tab/>
      </w:r>
      <w:r>
        <w:tab/>
      </w:r>
      <w:r>
        <w:tab/>
        <w:t>:</w:t>
      </w:r>
      <w:r>
        <w:tab/>
      </w:r>
      <w:r>
        <w:tab/>
      </w:r>
      <w:r w:rsidR="00A51C64" w:rsidRPr="00612C26">
        <w:t>F-2010-2170449</w:t>
      </w:r>
    </w:p>
    <w:p w:rsidR="003D2A78" w:rsidRPr="00612C26" w:rsidRDefault="003D2A78" w:rsidP="00612C26">
      <w:r w:rsidRPr="00612C26">
        <w:tab/>
      </w:r>
      <w:r w:rsidRPr="00612C26">
        <w:tab/>
      </w:r>
      <w:r w:rsidRPr="00612C26">
        <w:tab/>
      </w:r>
      <w:r w:rsidRPr="00612C26">
        <w:tab/>
      </w:r>
      <w:r w:rsidRPr="00612C26">
        <w:tab/>
      </w:r>
      <w:r w:rsidRPr="00612C26">
        <w:tab/>
      </w:r>
      <w:r w:rsidR="00612C26">
        <w:tab/>
      </w:r>
      <w:r w:rsidRPr="00612C26">
        <w:t>:</w:t>
      </w:r>
    </w:p>
    <w:p w:rsidR="003D2A78" w:rsidRPr="00612C26" w:rsidRDefault="00A51C64" w:rsidP="00612C26">
      <w:pPr>
        <w:rPr>
          <w:b/>
          <w:u w:val="single"/>
        </w:rPr>
      </w:pPr>
      <w:r w:rsidRPr="00612C26">
        <w:t>Philadelphia Gas Works</w:t>
      </w:r>
      <w:r w:rsidR="003D2A78" w:rsidRPr="00612C26">
        <w:tab/>
      </w:r>
      <w:r w:rsidR="003D2A78" w:rsidRPr="00612C26">
        <w:tab/>
      </w:r>
      <w:r w:rsidR="003D2A78" w:rsidRPr="00612C26">
        <w:tab/>
      </w:r>
      <w:r w:rsidR="00612C26">
        <w:tab/>
      </w:r>
      <w:r w:rsidR="003D2A78" w:rsidRPr="00612C26">
        <w:t>:</w:t>
      </w:r>
    </w:p>
    <w:p w:rsidR="003D2A78" w:rsidRPr="00612C26" w:rsidRDefault="003D2A78" w:rsidP="00612C26">
      <w:pPr>
        <w:jc w:val="center"/>
        <w:rPr>
          <w:b/>
          <w:u w:val="single"/>
        </w:rPr>
      </w:pPr>
    </w:p>
    <w:p w:rsidR="003D2A78" w:rsidRPr="00612C26" w:rsidRDefault="003D2A78" w:rsidP="00612C26">
      <w:pPr>
        <w:jc w:val="center"/>
        <w:rPr>
          <w:b/>
          <w:u w:val="single"/>
        </w:rPr>
      </w:pPr>
    </w:p>
    <w:p w:rsidR="003D2A78" w:rsidRPr="00612C26" w:rsidRDefault="003D2A78" w:rsidP="00612C26">
      <w:pPr>
        <w:jc w:val="center"/>
        <w:rPr>
          <w:b/>
          <w:u w:val="single"/>
        </w:rPr>
      </w:pPr>
    </w:p>
    <w:p w:rsidR="003D2A78" w:rsidRPr="00612C26" w:rsidRDefault="003D2A78" w:rsidP="00612C26">
      <w:pPr>
        <w:jc w:val="center"/>
        <w:rPr>
          <w:b/>
          <w:u w:val="single"/>
        </w:rPr>
      </w:pPr>
      <w:r w:rsidRPr="00612C26">
        <w:rPr>
          <w:b/>
          <w:u w:val="single"/>
        </w:rPr>
        <w:t>INITIAL DECISION</w:t>
      </w:r>
    </w:p>
    <w:p w:rsidR="003D2A78" w:rsidRPr="00612C26" w:rsidRDefault="003D2A78" w:rsidP="00612C26">
      <w:pPr>
        <w:jc w:val="center"/>
        <w:rPr>
          <w:b/>
        </w:rPr>
      </w:pPr>
    </w:p>
    <w:p w:rsidR="003D2A78" w:rsidRPr="00612C26" w:rsidRDefault="003D2A78" w:rsidP="00612C26">
      <w:pPr>
        <w:jc w:val="center"/>
        <w:rPr>
          <w:b/>
        </w:rPr>
      </w:pPr>
    </w:p>
    <w:p w:rsidR="003D2A78" w:rsidRPr="00612C26" w:rsidRDefault="003D2A78" w:rsidP="00612C26">
      <w:pPr>
        <w:contextualSpacing/>
        <w:jc w:val="center"/>
      </w:pPr>
      <w:r w:rsidRPr="00612C26">
        <w:t>Before</w:t>
      </w:r>
    </w:p>
    <w:p w:rsidR="003D2A78" w:rsidRPr="00612C26" w:rsidRDefault="00F42B07" w:rsidP="00612C26">
      <w:pPr>
        <w:contextualSpacing/>
        <w:jc w:val="center"/>
      </w:pPr>
      <w:r w:rsidRPr="00612C26">
        <w:t>Dennis J. Buckley</w:t>
      </w:r>
    </w:p>
    <w:p w:rsidR="003D2A78" w:rsidRPr="00612C26" w:rsidRDefault="003D2A78" w:rsidP="00612C26">
      <w:pPr>
        <w:contextualSpacing/>
        <w:jc w:val="center"/>
      </w:pPr>
      <w:r w:rsidRPr="00612C26">
        <w:t>Administrative Law Judge</w:t>
      </w:r>
    </w:p>
    <w:p w:rsidR="003D2A78" w:rsidRPr="00612C26" w:rsidRDefault="003D2A78" w:rsidP="00612C26">
      <w:pPr>
        <w:contextualSpacing/>
        <w:jc w:val="center"/>
      </w:pPr>
    </w:p>
    <w:p w:rsidR="003D2A78" w:rsidRPr="00612C26" w:rsidRDefault="003D2A78" w:rsidP="00612C26">
      <w:pPr>
        <w:jc w:val="center"/>
      </w:pPr>
    </w:p>
    <w:p w:rsidR="003D2A78" w:rsidRPr="00612C26" w:rsidRDefault="003D2A78" w:rsidP="00612C26">
      <w:pPr>
        <w:jc w:val="center"/>
        <w:rPr>
          <w:u w:val="single"/>
        </w:rPr>
      </w:pPr>
      <w:r w:rsidRPr="00612C26">
        <w:rPr>
          <w:u w:val="single"/>
        </w:rPr>
        <w:t>HISTORY OF THE PROCEEDING</w:t>
      </w:r>
    </w:p>
    <w:p w:rsidR="003D2A78" w:rsidRPr="00612C26" w:rsidRDefault="003D2A78" w:rsidP="00612C26">
      <w:pPr>
        <w:jc w:val="center"/>
      </w:pPr>
    </w:p>
    <w:p w:rsidR="003D2A78" w:rsidRPr="00612C26" w:rsidRDefault="003D2A78" w:rsidP="00612C26">
      <w:pPr>
        <w:jc w:val="center"/>
      </w:pPr>
    </w:p>
    <w:p w:rsidR="003D2A78" w:rsidRPr="00612C26" w:rsidRDefault="003D2A78" w:rsidP="00612C26">
      <w:pPr>
        <w:spacing w:line="360" w:lineRule="auto"/>
      </w:pPr>
      <w:r w:rsidRPr="00612C26">
        <w:tab/>
      </w:r>
      <w:r w:rsidRPr="00612C26">
        <w:tab/>
        <w:t>On A</w:t>
      </w:r>
      <w:r w:rsidR="00A51C64" w:rsidRPr="00612C26">
        <w:t>pril 13, 2010</w:t>
      </w:r>
      <w:r w:rsidRPr="00612C26">
        <w:t xml:space="preserve">, </w:t>
      </w:r>
      <w:r w:rsidR="00A51C64" w:rsidRPr="00612C26">
        <w:t>Avery Mumford</w:t>
      </w:r>
      <w:r w:rsidRPr="00612C26">
        <w:t xml:space="preserve"> (Complainant) filed a formal Complaint</w:t>
      </w:r>
      <w:r w:rsidR="00A51C64" w:rsidRPr="00612C26">
        <w:t xml:space="preserve"> (Complaint) with the Pennsylvania Public Utilities Commission (Commission) </w:t>
      </w:r>
      <w:r w:rsidRPr="00612C26">
        <w:t xml:space="preserve">against </w:t>
      </w:r>
      <w:r w:rsidR="00A51C64" w:rsidRPr="00612C26">
        <w:t>Philadelphia Gas Works</w:t>
      </w:r>
      <w:r w:rsidRPr="00612C26">
        <w:t xml:space="preserve"> (P</w:t>
      </w:r>
      <w:r w:rsidR="00392108" w:rsidRPr="00612C26">
        <w:t>GW</w:t>
      </w:r>
      <w:r w:rsidRPr="00612C26">
        <w:t xml:space="preserve"> or Respondent), </w:t>
      </w:r>
      <w:r w:rsidR="002F66C9" w:rsidRPr="00612C26">
        <w:t>and checked the box marked “Other” and wrote “Bill change to owed of Home</w:t>
      </w:r>
      <w:r w:rsidR="00F42B07" w:rsidRPr="00612C26">
        <w:t>,</w:t>
      </w:r>
      <w:r w:rsidR="002F66C9" w:rsidRPr="00612C26">
        <w:t>”</w:t>
      </w:r>
      <w:r w:rsidR="00F42B07" w:rsidRPr="00612C26">
        <w:t xml:space="preserve"> [sic].</w:t>
      </w:r>
      <w:r w:rsidRPr="00612C26">
        <w:t xml:space="preserve">   </w:t>
      </w:r>
      <w:r w:rsidR="0040167C" w:rsidRPr="00612C26">
        <w:t>The Complaint was a timely appeal of Bureau of Consumer Services Case No. 2579261.</w:t>
      </w:r>
      <w:r w:rsidR="0040167C" w:rsidRPr="00612C26">
        <w:rPr>
          <w:rStyle w:val="FootnoteReference"/>
        </w:rPr>
        <w:footnoteReference w:id="1"/>
      </w:r>
    </w:p>
    <w:p w:rsidR="003D2A78" w:rsidRPr="00612C26" w:rsidRDefault="003D2A78" w:rsidP="00612C26">
      <w:pPr>
        <w:spacing w:line="360" w:lineRule="auto"/>
      </w:pPr>
    </w:p>
    <w:p w:rsidR="003D2A78" w:rsidRPr="00612C26" w:rsidRDefault="003D2A78" w:rsidP="00612C26">
      <w:pPr>
        <w:spacing w:line="360" w:lineRule="auto"/>
      </w:pPr>
      <w:r w:rsidRPr="00612C26">
        <w:tab/>
      </w:r>
      <w:r w:rsidRPr="00612C26">
        <w:tab/>
        <w:t xml:space="preserve">On </w:t>
      </w:r>
      <w:r w:rsidR="00392108" w:rsidRPr="00612C26">
        <w:t>or about May 6, 2010</w:t>
      </w:r>
      <w:r w:rsidRPr="00612C26">
        <w:t xml:space="preserve">, </w:t>
      </w:r>
      <w:r w:rsidR="00392108" w:rsidRPr="00612C26">
        <w:t>PGW</w:t>
      </w:r>
      <w:r w:rsidRPr="00612C26">
        <w:t xml:space="preserve"> filed Preliminary Objections </w:t>
      </w:r>
      <w:r w:rsidR="00392108" w:rsidRPr="00612C26">
        <w:t>which averred</w:t>
      </w:r>
      <w:r w:rsidRPr="00612C26">
        <w:t xml:space="preserve"> that the Complaint d</w:t>
      </w:r>
      <w:r w:rsidR="0040167C" w:rsidRPr="00612C26">
        <w:t>id</w:t>
      </w:r>
      <w:r w:rsidRPr="00612C26">
        <w:t xml:space="preserve"> not conform to the regulatory requirements for a formal complaint </w:t>
      </w:r>
      <w:r w:rsidR="0040167C" w:rsidRPr="00612C26">
        <w:t>in that the Complaint did not provide informa</w:t>
      </w:r>
      <w:r w:rsidR="007555D0">
        <w:t>tion sufficient to permit PGW to</w:t>
      </w:r>
      <w:r w:rsidR="0040167C" w:rsidRPr="00612C26">
        <w:t xml:space="preserve"> formulate an Answer and which </w:t>
      </w:r>
      <w:r w:rsidRPr="00612C26">
        <w:t>s</w:t>
      </w:r>
      <w:r w:rsidR="00392108" w:rsidRPr="00612C26">
        <w:t>ought</w:t>
      </w:r>
      <w:r w:rsidR="003A2DF3" w:rsidRPr="00612C26">
        <w:t xml:space="preserve"> an order </w:t>
      </w:r>
      <w:r w:rsidRPr="00612C26">
        <w:t xml:space="preserve">directing a more specific pleading.    </w:t>
      </w:r>
    </w:p>
    <w:p w:rsidR="003D2A78" w:rsidRPr="00612C26" w:rsidRDefault="003D2A78" w:rsidP="00612C26">
      <w:pPr>
        <w:spacing w:line="360" w:lineRule="auto"/>
      </w:pPr>
      <w:r w:rsidRPr="00612C26">
        <w:tab/>
      </w:r>
      <w:r w:rsidRPr="00612C26">
        <w:tab/>
        <w:t xml:space="preserve"> </w:t>
      </w:r>
    </w:p>
    <w:p w:rsidR="00301E49" w:rsidRPr="00612C26" w:rsidRDefault="003D2A78" w:rsidP="00612C26">
      <w:pPr>
        <w:spacing w:line="360" w:lineRule="auto"/>
      </w:pPr>
      <w:r w:rsidRPr="00612C26">
        <w:tab/>
      </w:r>
      <w:r w:rsidRPr="00612C26">
        <w:tab/>
        <w:t xml:space="preserve">On </w:t>
      </w:r>
      <w:r w:rsidR="003A2DF3" w:rsidRPr="00612C26">
        <w:t>May 19, 2010</w:t>
      </w:r>
      <w:r w:rsidRPr="00612C26">
        <w:t>, a Motion Judge Assignment Notice was issued which assigned the case to the</w:t>
      </w:r>
      <w:r w:rsidR="00392108" w:rsidRPr="00612C26">
        <w:t xml:space="preserve">n </w:t>
      </w:r>
      <w:r w:rsidR="00865456" w:rsidRPr="00612C26">
        <w:t xml:space="preserve">Chief Administrative Law Judge </w:t>
      </w:r>
      <w:r w:rsidR="003A2DF3" w:rsidRPr="00612C26">
        <w:t xml:space="preserve">(CALJ) </w:t>
      </w:r>
      <w:r w:rsidR="00865456" w:rsidRPr="00612C26">
        <w:t>V</w:t>
      </w:r>
      <w:r w:rsidR="00392108" w:rsidRPr="00612C26">
        <w:t xml:space="preserve">eronica </w:t>
      </w:r>
      <w:r w:rsidR="00865456" w:rsidRPr="00612C26">
        <w:t xml:space="preserve">A. </w:t>
      </w:r>
      <w:r w:rsidR="003A2DF3" w:rsidRPr="00612C26">
        <w:t xml:space="preserve">Smith </w:t>
      </w:r>
      <w:r w:rsidRPr="00612C26">
        <w:t xml:space="preserve">for </w:t>
      </w:r>
      <w:r w:rsidR="000C63D0" w:rsidRPr="00612C26">
        <w:t xml:space="preserve">the </w:t>
      </w:r>
      <w:r w:rsidRPr="00612C26">
        <w:t xml:space="preserve">purposes of addressing the Preliminary Objections.  The time for filing a response to the Preliminary </w:t>
      </w:r>
      <w:r w:rsidRPr="00612C26">
        <w:lastRenderedPageBreak/>
        <w:t xml:space="preserve">Objections </w:t>
      </w:r>
      <w:r w:rsidR="00F42B07" w:rsidRPr="00612C26">
        <w:t>passed</w:t>
      </w:r>
      <w:r w:rsidRPr="00612C26">
        <w:t xml:space="preserve"> and no response </w:t>
      </w:r>
      <w:r w:rsidR="00F42B07" w:rsidRPr="00612C26">
        <w:t>was</w:t>
      </w:r>
      <w:r w:rsidRPr="00612C26">
        <w:t xml:space="preserve"> filed.  </w:t>
      </w:r>
      <w:r w:rsidR="000C63D0" w:rsidRPr="00612C26">
        <w:t>By Order dated June 10, 2010</w:t>
      </w:r>
      <w:r w:rsidRPr="00612C26">
        <w:t xml:space="preserve">, </w:t>
      </w:r>
      <w:r w:rsidR="003A2DF3" w:rsidRPr="00612C26">
        <w:t xml:space="preserve">CALJ Smith </w:t>
      </w:r>
      <w:r w:rsidR="00F42B07" w:rsidRPr="00612C26">
        <w:t>issued an O</w:t>
      </w:r>
      <w:r w:rsidRPr="00612C26">
        <w:t xml:space="preserve">rder </w:t>
      </w:r>
      <w:r w:rsidR="003A2DF3" w:rsidRPr="00612C26">
        <w:t>which granted</w:t>
      </w:r>
      <w:r w:rsidRPr="00612C26">
        <w:t xml:space="preserve"> the Preliminary Objections and direct</w:t>
      </w:r>
      <w:r w:rsidR="003A2DF3" w:rsidRPr="00612C26">
        <w:t>ed</w:t>
      </w:r>
      <w:r w:rsidRPr="00612C26">
        <w:t xml:space="preserve"> </w:t>
      </w:r>
      <w:r w:rsidR="003A2DF3" w:rsidRPr="00612C26">
        <w:t>th</w:t>
      </w:r>
      <w:r w:rsidR="00196076" w:rsidRPr="00612C26">
        <w:t>e</w:t>
      </w:r>
      <w:r w:rsidR="003A2DF3" w:rsidRPr="00612C26">
        <w:t xml:space="preserve"> </w:t>
      </w:r>
      <w:r w:rsidR="001250F0" w:rsidRPr="00612C26">
        <w:t>Complainant to file an Amended C</w:t>
      </w:r>
      <w:r w:rsidRPr="00612C26">
        <w:t>omplaint within t</w:t>
      </w:r>
      <w:r w:rsidR="003A2DF3" w:rsidRPr="00612C26">
        <w:t>wenty</w:t>
      </w:r>
      <w:r w:rsidRPr="00612C26">
        <w:t xml:space="preserve"> days.  </w:t>
      </w:r>
      <w:r w:rsidR="003A2DF3" w:rsidRPr="00612C26">
        <w:t>To date, n</w:t>
      </w:r>
      <w:r w:rsidRPr="00612C26">
        <w:t xml:space="preserve">o </w:t>
      </w:r>
      <w:r w:rsidR="001250F0" w:rsidRPr="00612C26">
        <w:t>Amended C</w:t>
      </w:r>
      <w:r w:rsidRPr="00612C26">
        <w:t>omplaint has been filed.</w:t>
      </w:r>
    </w:p>
    <w:p w:rsidR="00301E49" w:rsidRPr="00612C26" w:rsidRDefault="00301E49" w:rsidP="00612C26">
      <w:pPr>
        <w:spacing w:line="360" w:lineRule="auto"/>
      </w:pPr>
    </w:p>
    <w:p w:rsidR="003D2A78" w:rsidRPr="00612C26" w:rsidRDefault="00301E49" w:rsidP="00612C26">
      <w:pPr>
        <w:spacing w:line="360" w:lineRule="auto"/>
      </w:pPr>
      <w:r w:rsidRPr="00612C26">
        <w:tab/>
      </w:r>
      <w:r w:rsidRPr="00612C26">
        <w:tab/>
        <w:t>On August 23, 2011, the undersigned was assigned as Motion Judge in this case.</w:t>
      </w:r>
      <w:r w:rsidR="003D2A78" w:rsidRPr="00612C26">
        <w:t xml:space="preserve">    </w:t>
      </w:r>
    </w:p>
    <w:p w:rsidR="003D2A78" w:rsidRPr="00612C26" w:rsidRDefault="003D2A78" w:rsidP="00612C26">
      <w:pPr>
        <w:spacing w:line="360" w:lineRule="auto"/>
      </w:pPr>
    </w:p>
    <w:p w:rsidR="003D2A78" w:rsidRPr="00612C26" w:rsidRDefault="003D2A78" w:rsidP="00612C26">
      <w:pPr>
        <w:spacing w:line="360" w:lineRule="auto"/>
        <w:jc w:val="center"/>
        <w:rPr>
          <w:u w:val="single"/>
        </w:rPr>
      </w:pPr>
      <w:r w:rsidRPr="00612C26">
        <w:rPr>
          <w:u w:val="single"/>
        </w:rPr>
        <w:t>FINDINGS OF FACT</w:t>
      </w:r>
    </w:p>
    <w:p w:rsidR="003D2A78" w:rsidRPr="00612C26" w:rsidRDefault="003D2A78" w:rsidP="00612C26">
      <w:pPr>
        <w:spacing w:line="360" w:lineRule="auto"/>
        <w:jc w:val="center"/>
        <w:rPr>
          <w:u w:val="single"/>
        </w:rPr>
      </w:pPr>
    </w:p>
    <w:p w:rsidR="003D2A78" w:rsidRPr="00612C26" w:rsidRDefault="003D2A78" w:rsidP="00612C26">
      <w:pPr>
        <w:spacing w:line="360" w:lineRule="auto"/>
      </w:pPr>
      <w:r w:rsidRPr="00612C26">
        <w:tab/>
      </w:r>
      <w:r w:rsidRPr="00612C26">
        <w:tab/>
        <w:t>1.</w:t>
      </w:r>
      <w:r w:rsidRPr="00612C26">
        <w:tab/>
        <w:t xml:space="preserve">Complainant is </w:t>
      </w:r>
      <w:r w:rsidR="00A51C64" w:rsidRPr="00612C26">
        <w:t>Avery Mumford</w:t>
      </w:r>
      <w:r w:rsidRPr="00612C26">
        <w:t xml:space="preserve">, </w:t>
      </w:r>
      <w:r w:rsidR="003A2DF3" w:rsidRPr="00612C26">
        <w:t>who re</w:t>
      </w:r>
      <w:r w:rsidR="00A72615" w:rsidRPr="00612C26">
        <w:t>sides</w:t>
      </w:r>
      <w:r w:rsidR="003A2DF3" w:rsidRPr="00612C26">
        <w:t xml:space="preserve"> at </w:t>
      </w:r>
      <w:r w:rsidR="00A72615" w:rsidRPr="00612C26">
        <w:t>1210 Melrose</w:t>
      </w:r>
      <w:r w:rsidR="001250F0" w:rsidRPr="00612C26">
        <w:t xml:space="preserve"> Avenue</w:t>
      </w:r>
      <w:r w:rsidR="00A72615" w:rsidRPr="00612C26">
        <w:t xml:space="preserve">, </w:t>
      </w:r>
      <w:r w:rsidR="00301E49" w:rsidRPr="00612C26">
        <w:t>Melrose</w:t>
      </w:r>
      <w:r w:rsidR="001250F0" w:rsidRPr="00612C26">
        <w:t xml:space="preserve"> Park,</w:t>
      </w:r>
      <w:r w:rsidR="00A72615" w:rsidRPr="00612C26">
        <w:t xml:space="preserve"> PA 19027</w:t>
      </w:r>
      <w:r w:rsidRPr="00612C26">
        <w:t>.</w:t>
      </w:r>
      <w:r w:rsidR="00A72615" w:rsidRPr="00612C26">
        <w:t xml:space="preserve">  </w:t>
      </w:r>
      <w:r w:rsidR="00196076" w:rsidRPr="00612C26">
        <w:t xml:space="preserve">The Complaint, however, lists </w:t>
      </w:r>
      <w:r w:rsidR="00A72615" w:rsidRPr="00612C26">
        <w:t>5600 Boyer Street, Philadelphia, PA</w:t>
      </w:r>
      <w:r w:rsidR="00196076" w:rsidRPr="00612C26">
        <w:t xml:space="preserve"> as the address where utility service is provided</w:t>
      </w:r>
      <w:r w:rsidR="00A72615" w:rsidRPr="00612C26">
        <w:t xml:space="preserve">. </w:t>
      </w:r>
    </w:p>
    <w:p w:rsidR="003D2A78" w:rsidRPr="00612C26" w:rsidRDefault="003D2A78" w:rsidP="00612C26">
      <w:pPr>
        <w:spacing w:line="360" w:lineRule="auto"/>
      </w:pPr>
    </w:p>
    <w:p w:rsidR="003D2A78" w:rsidRPr="00612C26" w:rsidRDefault="003D2A78" w:rsidP="00612C26">
      <w:pPr>
        <w:spacing w:line="360" w:lineRule="auto"/>
      </w:pPr>
      <w:r w:rsidRPr="00612C26">
        <w:tab/>
      </w:r>
      <w:r w:rsidRPr="00612C26">
        <w:tab/>
        <w:t>2.</w:t>
      </w:r>
      <w:r w:rsidRPr="00612C26">
        <w:tab/>
        <w:t xml:space="preserve">Respondent is </w:t>
      </w:r>
      <w:r w:rsidR="00A51C64" w:rsidRPr="00612C26">
        <w:t>Philadelphia Gas Works</w:t>
      </w:r>
      <w:r w:rsidRPr="00612C26">
        <w:t xml:space="preserve">, a jurisdictional </w:t>
      </w:r>
      <w:r w:rsidR="00A72615" w:rsidRPr="00612C26">
        <w:t xml:space="preserve">public utility providing </w:t>
      </w:r>
      <w:r w:rsidR="00A51C64" w:rsidRPr="00612C26">
        <w:t>natural gas</w:t>
      </w:r>
      <w:r w:rsidRPr="00612C26">
        <w:t xml:space="preserve"> </w:t>
      </w:r>
      <w:r w:rsidR="00A72615" w:rsidRPr="00612C26">
        <w:t>utility</w:t>
      </w:r>
      <w:r w:rsidR="002F66C9" w:rsidRPr="00612C26">
        <w:t xml:space="preserve"> </w:t>
      </w:r>
      <w:r w:rsidRPr="00612C26">
        <w:t>in the Commonwealth of Pennsylvania.</w:t>
      </w:r>
    </w:p>
    <w:p w:rsidR="003D2A78" w:rsidRPr="00612C26" w:rsidRDefault="003D2A78" w:rsidP="00612C26">
      <w:pPr>
        <w:spacing w:line="360" w:lineRule="auto"/>
      </w:pPr>
    </w:p>
    <w:p w:rsidR="003D2A78" w:rsidRPr="00612C26" w:rsidRDefault="003D2A78" w:rsidP="00612C26">
      <w:pPr>
        <w:spacing w:line="360" w:lineRule="auto"/>
      </w:pPr>
      <w:r w:rsidRPr="00612C26">
        <w:tab/>
      </w:r>
      <w:r w:rsidRPr="00612C26">
        <w:tab/>
        <w:t>3.</w:t>
      </w:r>
      <w:r w:rsidRPr="00612C26">
        <w:tab/>
        <w:t>On A</w:t>
      </w:r>
      <w:r w:rsidR="002F66C9" w:rsidRPr="00612C26">
        <w:t>pril 13, 2010</w:t>
      </w:r>
      <w:r w:rsidRPr="00612C26">
        <w:t xml:space="preserve">, Complainant filed a Formal Complaint </w:t>
      </w:r>
      <w:r w:rsidR="00A72615" w:rsidRPr="00612C26">
        <w:t xml:space="preserve">and checked the box marked “Other” on the formal Complaint form and wrote “Bill change to </w:t>
      </w:r>
      <w:proofErr w:type="gramStart"/>
      <w:r w:rsidR="00A72615" w:rsidRPr="00612C26">
        <w:t>owed</w:t>
      </w:r>
      <w:proofErr w:type="gramEnd"/>
      <w:r w:rsidR="00A72615" w:rsidRPr="00612C26">
        <w:t xml:space="preserve"> of Home.”</w:t>
      </w:r>
      <w:r w:rsidRPr="00612C26">
        <w:t xml:space="preserve">  </w:t>
      </w:r>
    </w:p>
    <w:p w:rsidR="003D2A78" w:rsidRPr="00612C26" w:rsidRDefault="003D2A78" w:rsidP="00612C26">
      <w:pPr>
        <w:spacing w:line="360" w:lineRule="auto"/>
      </w:pPr>
    </w:p>
    <w:p w:rsidR="003D2A78" w:rsidRPr="00612C26" w:rsidRDefault="003D2A78" w:rsidP="00612C26">
      <w:pPr>
        <w:spacing w:line="360" w:lineRule="auto"/>
      </w:pPr>
      <w:r w:rsidRPr="00612C26">
        <w:tab/>
      </w:r>
      <w:r w:rsidRPr="00612C26">
        <w:tab/>
        <w:t>4.</w:t>
      </w:r>
      <w:r w:rsidRPr="00612C26">
        <w:tab/>
        <w:t>The Complaint d</w:t>
      </w:r>
      <w:r w:rsidR="00BC4498" w:rsidRPr="00612C26">
        <w:t>id</w:t>
      </w:r>
      <w:r w:rsidRPr="00612C26">
        <w:t xml:space="preserve"> not provide any facts or allegations.</w:t>
      </w:r>
    </w:p>
    <w:p w:rsidR="003D2A78" w:rsidRPr="00612C26" w:rsidRDefault="003D2A78" w:rsidP="00612C26">
      <w:pPr>
        <w:spacing w:line="360" w:lineRule="auto"/>
      </w:pPr>
    </w:p>
    <w:p w:rsidR="003D2A78" w:rsidRPr="00612C26" w:rsidRDefault="003D2A78" w:rsidP="00612C26">
      <w:pPr>
        <w:spacing w:line="360" w:lineRule="auto"/>
      </w:pPr>
      <w:r w:rsidRPr="00612C26">
        <w:tab/>
      </w:r>
      <w:r w:rsidRPr="00612C26">
        <w:tab/>
        <w:t>5.</w:t>
      </w:r>
      <w:r w:rsidRPr="00612C26">
        <w:tab/>
        <w:t xml:space="preserve">On </w:t>
      </w:r>
      <w:r w:rsidR="00BC4498" w:rsidRPr="00612C26">
        <w:t>May 6, 2010</w:t>
      </w:r>
      <w:r w:rsidRPr="00612C26">
        <w:t xml:space="preserve">, </w:t>
      </w:r>
      <w:r w:rsidR="00392108" w:rsidRPr="00612C26">
        <w:t>PGW</w:t>
      </w:r>
      <w:r w:rsidRPr="00612C26">
        <w:t xml:space="preserve"> filed Preliminary Objections seeking an order directing Complainant to file a more specific pleading. </w:t>
      </w:r>
    </w:p>
    <w:p w:rsidR="003D2A78" w:rsidRPr="00612C26" w:rsidRDefault="003D2A78" w:rsidP="00612C26">
      <w:pPr>
        <w:spacing w:line="360" w:lineRule="auto"/>
      </w:pPr>
    </w:p>
    <w:p w:rsidR="003D2A78" w:rsidRPr="00612C26" w:rsidRDefault="003D2A78" w:rsidP="00612C26">
      <w:pPr>
        <w:spacing w:line="360" w:lineRule="auto"/>
      </w:pPr>
      <w:r w:rsidRPr="00612C26">
        <w:tab/>
      </w:r>
      <w:r w:rsidRPr="00612C26">
        <w:tab/>
        <w:t>6.</w:t>
      </w:r>
      <w:r w:rsidRPr="00612C26">
        <w:tab/>
        <w:t xml:space="preserve">No response was filed to the Preliminary Objections.  </w:t>
      </w:r>
    </w:p>
    <w:p w:rsidR="003D2A78" w:rsidRPr="00612C26" w:rsidRDefault="003D2A78" w:rsidP="00612C26">
      <w:pPr>
        <w:spacing w:line="360" w:lineRule="auto"/>
      </w:pPr>
    </w:p>
    <w:p w:rsidR="003D2A78" w:rsidRPr="00612C26" w:rsidRDefault="003D2A78" w:rsidP="00612C26">
      <w:pPr>
        <w:spacing w:line="360" w:lineRule="auto"/>
      </w:pPr>
      <w:r w:rsidRPr="00612C26">
        <w:tab/>
      </w:r>
      <w:r w:rsidRPr="00612C26">
        <w:tab/>
        <w:t>7.</w:t>
      </w:r>
      <w:r w:rsidRPr="00612C26">
        <w:tab/>
        <w:t xml:space="preserve">An Order </w:t>
      </w:r>
      <w:r w:rsidR="00C7737B" w:rsidRPr="00612C26">
        <w:t xml:space="preserve">issued by then-Chief Administrative Law Judge Veronica A. Smith, </w:t>
      </w:r>
      <w:r w:rsidR="00BC4498" w:rsidRPr="00612C26">
        <w:t xml:space="preserve">dated June 10, 2010, </w:t>
      </w:r>
      <w:r w:rsidRPr="00612C26">
        <w:t>direct</w:t>
      </w:r>
      <w:r w:rsidR="00BC4498" w:rsidRPr="00612C26">
        <w:t>ed</w:t>
      </w:r>
      <w:r w:rsidRPr="00612C26">
        <w:t xml:space="preserve"> the Complainant to file an Amended Complaint.</w:t>
      </w:r>
    </w:p>
    <w:p w:rsidR="003D2A78" w:rsidRPr="00612C26" w:rsidRDefault="003D2A78" w:rsidP="00612C26">
      <w:pPr>
        <w:spacing w:line="360" w:lineRule="auto"/>
      </w:pPr>
    </w:p>
    <w:p w:rsidR="003D2A78" w:rsidRPr="00612C26" w:rsidRDefault="003D2A78" w:rsidP="00612C26">
      <w:pPr>
        <w:spacing w:line="360" w:lineRule="auto"/>
      </w:pPr>
      <w:r w:rsidRPr="00612C26">
        <w:tab/>
      </w:r>
      <w:r w:rsidRPr="00612C26">
        <w:tab/>
        <w:t>8.</w:t>
      </w:r>
      <w:r w:rsidRPr="00612C26">
        <w:tab/>
        <w:t>No Amended Complaint has been filed.</w:t>
      </w:r>
    </w:p>
    <w:p w:rsidR="00C7737B" w:rsidRPr="00612C26" w:rsidRDefault="00C7737B" w:rsidP="00612C26">
      <w:pPr>
        <w:spacing w:line="360" w:lineRule="auto"/>
      </w:pPr>
    </w:p>
    <w:p w:rsidR="003D2A78" w:rsidRPr="00612C26" w:rsidRDefault="003D2A78" w:rsidP="00612C26">
      <w:pPr>
        <w:spacing w:line="360" w:lineRule="auto"/>
        <w:jc w:val="center"/>
        <w:rPr>
          <w:u w:val="single"/>
        </w:rPr>
      </w:pPr>
      <w:r w:rsidRPr="00612C26">
        <w:rPr>
          <w:u w:val="single"/>
        </w:rPr>
        <w:lastRenderedPageBreak/>
        <w:t>DISCUSSION</w:t>
      </w:r>
    </w:p>
    <w:p w:rsidR="003D2A78" w:rsidRPr="00612C26" w:rsidRDefault="003D2A78" w:rsidP="00612C26">
      <w:pPr>
        <w:spacing w:line="360" w:lineRule="auto"/>
      </w:pPr>
      <w:r w:rsidRPr="00612C26">
        <w:tab/>
      </w:r>
      <w:r w:rsidRPr="00612C26">
        <w:tab/>
      </w:r>
    </w:p>
    <w:p w:rsidR="003D2A78" w:rsidRPr="00612C26" w:rsidRDefault="003D2A78" w:rsidP="00612C26">
      <w:pPr>
        <w:spacing w:line="360" w:lineRule="auto"/>
      </w:pPr>
      <w:r w:rsidRPr="00612C26">
        <w:tab/>
      </w:r>
      <w:r w:rsidRPr="00612C26">
        <w:tab/>
        <w:t xml:space="preserve">The averments in the Complaint are limited to a check mark in a box </w:t>
      </w:r>
      <w:r w:rsidR="00BC4498" w:rsidRPr="00612C26">
        <w:t xml:space="preserve">“Other” and </w:t>
      </w:r>
      <w:r w:rsidRPr="00612C26">
        <w:t>the statement:</w:t>
      </w:r>
      <w:r w:rsidR="00BC4498" w:rsidRPr="00612C26">
        <w:t xml:space="preserve"> “Bill change to owed of Home.” </w:t>
      </w:r>
      <w:r w:rsidRPr="00612C26">
        <w:t xml:space="preserve">  </w:t>
      </w:r>
    </w:p>
    <w:p w:rsidR="003D2A78" w:rsidRPr="00612C26" w:rsidRDefault="003D2A78" w:rsidP="00612C26">
      <w:pPr>
        <w:spacing w:line="360" w:lineRule="auto"/>
      </w:pPr>
    </w:p>
    <w:p w:rsidR="003D2A78" w:rsidRPr="00612C26" w:rsidRDefault="003D2A78" w:rsidP="00612C26">
      <w:pPr>
        <w:spacing w:line="360" w:lineRule="auto"/>
      </w:pPr>
      <w:r w:rsidRPr="00612C26">
        <w:tab/>
      </w:r>
      <w:r w:rsidRPr="00612C26">
        <w:tab/>
        <w:t>This l</w:t>
      </w:r>
      <w:r w:rsidR="00C7737B" w:rsidRPr="00612C26">
        <w:t>ack</w:t>
      </w:r>
      <w:r w:rsidRPr="00612C26">
        <w:t xml:space="preserve"> of specificity d</w:t>
      </w:r>
      <w:r w:rsidR="00BC4498" w:rsidRPr="00612C26">
        <w:t>id</w:t>
      </w:r>
      <w:r w:rsidRPr="00612C26">
        <w:t xml:space="preserve"> not permit </w:t>
      </w:r>
      <w:r w:rsidR="00392108" w:rsidRPr="00612C26">
        <w:t>PGW</w:t>
      </w:r>
      <w:r w:rsidRPr="00612C26">
        <w:t xml:space="preserve"> to provide a meaningful answer to the Complaint.  </w:t>
      </w:r>
      <w:r w:rsidR="00392108" w:rsidRPr="00612C26">
        <w:t>PGW</w:t>
      </w:r>
      <w:r w:rsidRPr="00612C26">
        <w:t xml:space="preserve"> cannot determine the nature of the alleged problem with its service from a check mark, and it cannot discern what relief the Complainant seeks by his statement </w:t>
      </w:r>
      <w:r w:rsidR="00BC4498" w:rsidRPr="00612C26">
        <w:t>“Bill change t</w:t>
      </w:r>
      <w:r w:rsidR="007555D0">
        <w:t xml:space="preserve">o </w:t>
      </w:r>
      <w:proofErr w:type="gramStart"/>
      <w:r w:rsidR="00BC4498" w:rsidRPr="00612C26">
        <w:t>owed</w:t>
      </w:r>
      <w:proofErr w:type="gramEnd"/>
      <w:r w:rsidR="00BC4498" w:rsidRPr="00612C26">
        <w:t xml:space="preserve"> of Home</w:t>
      </w:r>
      <w:r w:rsidRPr="00612C26">
        <w:t>.</w:t>
      </w:r>
      <w:r w:rsidR="00BC4498" w:rsidRPr="00612C26">
        <w:t>”</w:t>
      </w:r>
      <w:r w:rsidRPr="00612C26">
        <w:t xml:space="preserve">  More detail w</w:t>
      </w:r>
      <w:r w:rsidR="00BC4498" w:rsidRPr="00612C26">
        <w:t>ould have</w:t>
      </w:r>
      <w:r w:rsidRPr="00612C26">
        <w:t xml:space="preserve"> permi</w:t>
      </w:r>
      <w:r w:rsidR="00AA05DC" w:rsidRPr="00612C26">
        <w:t>t</w:t>
      </w:r>
      <w:r w:rsidRPr="00612C26">
        <w:t>t</w:t>
      </w:r>
      <w:r w:rsidR="00BC4498" w:rsidRPr="00612C26">
        <w:t>ed</w:t>
      </w:r>
      <w:r w:rsidRPr="00612C26">
        <w:t xml:space="preserve"> </w:t>
      </w:r>
      <w:r w:rsidR="00392108" w:rsidRPr="00612C26">
        <w:t>PGW</w:t>
      </w:r>
      <w:r w:rsidRPr="00612C26">
        <w:t xml:space="preserve"> to address the perceived problem and </w:t>
      </w:r>
      <w:r w:rsidR="00C7737B" w:rsidRPr="00612C26">
        <w:t xml:space="preserve">to </w:t>
      </w:r>
      <w:r w:rsidRPr="00612C26">
        <w:t xml:space="preserve">pursue a possible settlement of the matter.  The original Complaint did not provide sufficient specificity to permit </w:t>
      </w:r>
      <w:r w:rsidR="00392108" w:rsidRPr="00612C26">
        <w:t>PGW</w:t>
      </w:r>
      <w:r w:rsidRPr="00612C26">
        <w:t xml:space="preserve"> to formulate a meaningful answer.  </w:t>
      </w:r>
    </w:p>
    <w:p w:rsidR="003D2A78" w:rsidRPr="00612C26" w:rsidRDefault="003D2A78" w:rsidP="00612C26">
      <w:pPr>
        <w:spacing w:line="360" w:lineRule="auto"/>
      </w:pPr>
    </w:p>
    <w:p w:rsidR="003D2A78" w:rsidRPr="00612C26" w:rsidRDefault="003D2A78" w:rsidP="00612C26">
      <w:pPr>
        <w:spacing w:line="360" w:lineRule="auto"/>
      </w:pPr>
      <w:r w:rsidRPr="00612C26">
        <w:tab/>
      </w:r>
      <w:r w:rsidRPr="00612C26">
        <w:tab/>
      </w:r>
      <w:r w:rsidR="002252B7" w:rsidRPr="00612C26">
        <w:t>PGW’s</w:t>
      </w:r>
      <w:r w:rsidRPr="00612C26">
        <w:t xml:space="preserve"> Preliminary Objections </w:t>
      </w:r>
      <w:r w:rsidR="002252B7" w:rsidRPr="00612C26">
        <w:t>were</w:t>
      </w:r>
      <w:r w:rsidRPr="00612C26">
        <w:t xml:space="preserve"> served upon the Complainant along with a Notice to Plead, </w:t>
      </w:r>
      <w:r w:rsidR="002252B7" w:rsidRPr="00612C26">
        <w:t>but</w:t>
      </w:r>
      <w:r w:rsidRPr="00612C26">
        <w:t xml:space="preserve"> </w:t>
      </w:r>
      <w:r w:rsidR="00470107" w:rsidRPr="00612C26">
        <w:t>the</w:t>
      </w:r>
      <w:r w:rsidRPr="00612C26">
        <w:t xml:space="preserve"> Complainant did not file a response.  </w:t>
      </w:r>
      <w:r w:rsidR="00470107" w:rsidRPr="00612C26">
        <w:t>CALJ Smith’s</w:t>
      </w:r>
      <w:r w:rsidRPr="00612C26">
        <w:t xml:space="preserve"> </w:t>
      </w:r>
      <w:r w:rsidR="002252B7" w:rsidRPr="00612C26">
        <w:t xml:space="preserve">June 10, 2010 </w:t>
      </w:r>
      <w:r w:rsidRPr="00612C26">
        <w:t xml:space="preserve">Order granting the Preliminary Objections directed the Complainant to file and serve an Amended Complaint.  </w:t>
      </w:r>
      <w:r w:rsidR="00470107" w:rsidRPr="00612C26">
        <w:t xml:space="preserve">That Order </w:t>
      </w:r>
      <w:r w:rsidRPr="00612C26">
        <w:t>stated:</w:t>
      </w:r>
    </w:p>
    <w:p w:rsidR="00C7694D" w:rsidRPr="00612C26" w:rsidRDefault="00C7694D" w:rsidP="00EF3E42">
      <w:pPr>
        <w:pStyle w:val="FootnoteText"/>
        <w:spacing w:line="360" w:lineRule="auto"/>
        <w:ind w:left="1440" w:right="1440"/>
        <w:rPr>
          <w:sz w:val="24"/>
          <w:szCs w:val="24"/>
        </w:rPr>
      </w:pPr>
    </w:p>
    <w:p w:rsidR="00C7694D" w:rsidRPr="00612C26" w:rsidRDefault="00C7694D" w:rsidP="00EF3E42">
      <w:pPr>
        <w:pStyle w:val="FootnoteText"/>
        <w:ind w:left="1440" w:right="1440"/>
        <w:rPr>
          <w:b/>
          <w:sz w:val="24"/>
          <w:szCs w:val="24"/>
        </w:rPr>
      </w:pPr>
      <w:r w:rsidRPr="00612C26">
        <w:rPr>
          <w:sz w:val="24"/>
          <w:szCs w:val="24"/>
        </w:rPr>
        <w:t>A formal complaint must set forth “the act or thing done or omitted to be done” by a public utility “in violation, or claimed violation, of any law which the commission has jurisdiction to administer, or of any regulation or order of the commission.”  66 Pa. C.S. § 701; 52 Pa. Code § 5.22(a</w:t>
      </w:r>
      <w:proofErr w:type="gramStart"/>
      <w:r w:rsidRPr="00612C26">
        <w:rPr>
          <w:sz w:val="24"/>
          <w:szCs w:val="24"/>
        </w:rPr>
        <w:t>)(</w:t>
      </w:r>
      <w:proofErr w:type="gramEnd"/>
      <w:r w:rsidRPr="00612C26">
        <w:rPr>
          <w:sz w:val="24"/>
          <w:szCs w:val="24"/>
        </w:rPr>
        <w:t>4).  Despite the manner in which a complainant chooses to state his claim, a complaint should contain information specific enough to allow the Respondent to understand the allegations against it, in order to conduct a meaningful investigation of the allegations and to prepare a coherent response or defense.</w:t>
      </w:r>
    </w:p>
    <w:p w:rsidR="00C7694D" w:rsidRPr="00612C26" w:rsidRDefault="00C7694D" w:rsidP="00EF3E42">
      <w:pPr>
        <w:pStyle w:val="FootnoteText"/>
        <w:ind w:left="1440" w:right="1440"/>
        <w:rPr>
          <w:sz w:val="24"/>
          <w:szCs w:val="24"/>
        </w:rPr>
      </w:pPr>
    </w:p>
    <w:p w:rsidR="00C7694D" w:rsidRPr="00612C26" w:rsidRDefault="00C7694D" w:rsidP="00EF3E42">
      <w:pPr>
        <w:ind w:left="1440" w:right="1440"/>
      </w:pPr>
      <w:r w:rsidRPr="00612C26">
        <w:t xml:space="preserve">I agree with Respondent that the Complaint is vague and incomplete, and it lacks the necessary clarity and specificity to present the underlying disputes.  Complainant’s single statement “Bill changed to owed of Home” leaves PGW to speculate as to what charges are allegedly incorrect or what the meaning of that statement.  Complainant has not provided any information about his billing dispute.  Upon close review of the Complaint, I find that Respondent cannot prepare a meaningful and coherent response and/or defense to the incomplete allegations constituting the </w:t>
      </w:r>
      <w:r w:rsidRPr="00612C26">
        <w:lastRenderedPageBreak/>
        <w:t>present Complaint without additional information about the disputes.</w:t>
      </w:r>
    </w:p>
    <w:p w:rsidR="003D2A78" w:rsidRPr="00612C26" w:rsidRDefault="003D2A78" w:rsidP="00612C26">
      <w:pPr>
        <w:spacing w:line="360" w:lineRule="auto"/>
      </w:pPr>
    </w:p>
    <w:p w:rsidR="003D2A78" w:rsidRPr="00612C26" w:rsidRDefault="003D2A78" w:rsidP="00612C26">
      <w:pPr>
        <w:spacing w:line="360" w:lineRule="auto"/>
        <w:ind w:firstLine="720"/>
      </w:pPr>
    </w:p>
    <w:p w:rsidR="003D2A78" w:rsidRPr="00612C26" w:rsidRDefault="003D2A78" w:rsidP="00612C26">
      <w:pPr>
        <w:spacing w:line="360" w:lineRule="auto"/>
      </w:pPr>
      <w:r w:rsidRPr="00612C26">
        <w:tab/>
      </w:r>
      <w:r w:rsidRPr="00612C26">
        <w:tab/>
      </w:r>
      <w:r w:rsidR="00380533" w:rsidRPr="00612C26">
        <w:t xml:space="preserve">The </w:t>
      </w:r>
      <w:r w:rsidRPr="00612C26">
        <w:t xml:space="preserve">Complainant </w:t>
      </w:r>
      <w:r w:rsidR="00470107" w:rsidRPr="00612C26">
        <w:t xml:space="preserve">never </w:t>
      </w:r>
      <w:r w:rsidRPr="00612C26">
        <w:t>file</w:t>
      </w:r>
      <w:r w:rsidR="00470107" w:rsidRPr="00612C26">
        <w:t>d</w:t>
      </w:r>
      <w:r w:rsidRPr="00612C26">
        <w:t xml:space="preserve"> an Amended Complaint.  The Complainant has had ample opportunity to respond to both the Preliminary Objections and the Order </w:t>
      </w:r>
      <w:r w:rsidR="00470107" w:rsidRPr="00612C26">
        <w:t xml:space="preserve">of June 10, 2010, but he </w:t>
      </w:r>
      <w:r w:rsidRPr="00612C26">
        <w:t xml:space="preserve">has failed to take advantage of those opportunities.  Therefore, the Complaint will be dismissed and the docket closed.  </w:t>
      </w:r>
    </w:p>
    <w:p w:rsidR="003D2A78" w:rsidRPr="00612C26" w:rsidRDefault="003D2A78" w:rsidP="00612C26">
      <w:pPr>
        <w:spacing w:line="360" w:lineRule="auto"/>
      </w:pPr>
    </w:p>
    <w:p w:rsidR="003D2A78" w:rsidRPr="00612C26" w:rsidRDefault="003D2A78" w:rsidP="00612C26">
      <w:pPr>
        <w:spacing w:line="360" w:lineRule="auto"/>
        <w:jc w:val="center"/>
        <w:rPr>
          <w:u w:val="single"/>
        </w:rPr>
      </w:pPr>
      <w:r w:rsidRPr="00612C26">
        <w:rPr>
          <w:u w:val="single"/>
        </w:rPr>
        <w:t>CONCLUSIONS OF LAW</w:t>
      </w:r>
    </w:p>
    <w:p w:rsidR="003D2A78" w:rsidRPr="00612C26" w:rsidRDefault="003D2A78" w:rsidP="00612C26">
      <w:pPr>
        <w:spacing w:line="360" w:lineRule="auto"/>
        <w:jc w:val="center"/>
        <w:rPr>
          <w:u w:val="single"/>
        </w:rPr>
      </w:pPr>
    </w:p>
    <w:p w:rsidR="003D2A78" w:rsidRPr="00612C26" w:rsidRDefault="003D2A78" w:rsidP="00612C26">
      <w:pPr>
        <w:spacing w:line="360" w:lineRule="auto"/>
        <w:rPr>
          <w:spacing w:val="-3"/>
        </w:rPr>
      </w:pPr>
      <w:r w:rsidRPr="00612C26">
        <w:tab/>
      </w:r>
      <w:r w:rsidRPr="00612C26">
        <w:tab/>
        <w:t>1.</w:t>
      </w:r>
      <w:r w:rsidRPr="00612C26">
        <w:tab/>
        <w:t xml:space="preserve">The Commission has jurisdiction over the subject matter and parties to this case. </w:t>
      </w:r>
      <w:r w:rsidR="00E02963" w:rsidRPr="00612C26">
        <w:t xml:space="preserve"> </w:t>
      </w:r>
      <w:proofErr w:type="gramStart"/>
      <w:r w:rsidR="00E71810" w:rsidRPr="00612C26">
        <w:rPr>
          <w:spacing w:val="-3"/>
        </w:rPr>
        <w:t>66 Pa. C.S. § 701.</w:t>
      </w:r>
      <w:proofErr w:type="gramEnd"/>
    </w:p>
    <w:p w:rsidR="000F7ED4" w:rsidRPr="00612C26" w:rsidRDefault="000F7ED4" w:rsidP="00612C26">
      <w:pPr>
        <w:spacing w:line="360" w:lineRule="auto"/>
        <w:rPr>
          <w:spacing w:val="-3"/>
        </w:rPr>
      </w:pPr>
    </w:p>
    <w:p w:rsidR="000F7ED4" w:rsidRPr="00612C26" w:rsidRDefault="000F7ED4" w:rsidP="00612C26">
      <w:pPr>
        <w:spacing w:line="360" w:lineRule="auto"/>
      </w:pPr>
      <w:r w:rsidRPr="00612C26">
        <w:rPr>
          <w:spacing w:val="-3"/>
        </w:rPr>
        <w:tab/>
      </w:r>
      <w:r w:rsidRPr="00612C26">
        <w:rPr>
          <w:spacing w:val="-3"/>
        </w:rPr>
        <w:tab/>
        <w:t>2.</w:t>
      </w:r>
      <w:r w:rsidRPr="00612C26">
        <w:rPr>
          <w:spacing w:val="-3"/>
        </w:rPr>
        <w:tab/>
        <w:t xml:space="preserve">A Complaint must set forth </w:t>
      </w:r>
      <w:r w:rsidR="00F97F18" w:rsidRPr="00612C26">
        <w:rPr>
          <w:spacing w:val="-3"/>
        </w:rPr>
        <w:t xml:space="preserve">a </w:t>
      </w:r>
      <w:r w:rsidR="00F97F18" w:rsidRPr="00612C26">
        <w:t>clear and concise statement of the act or omission being complained of including the result of any informal complaint or informal investigation, and a clear and concise statement of the relief so</w:t>
      </w:r>
      <w:r w:rsidR="00EF3E42">
        <w:t>ught.  52 Pa. Code § 5.22(a</w:t>
      </w:r>
      <w:proofErr w:type="gramStart"/>
      <w:r w:rsidR="00EF3E42">
        <w:t>)(</w:t>
      </w:r>
      <w:proofErr w:type="gramEnd"/>
      <w:r w:rsidR="00EF3E42">
        <w:t>5)</w:t>
      </w:r>
      <w:r w:rsidR="00EF3E42">
        <w:noBreakHyphen/>
      </w:r>
      <w:r w:rsidR="00F97F18" w:rsidRPr="00612C26">
        <w:t>(6).</w:t>
      </w:r>
    </w:p>
    <w:p w:rsidR="003D2A78" w:rsidRPr="00612C26" w:rsidRDefault="003D2A78" w:rsidP="00612C26">
      <w:pPr>
        <w:spacing w:line="360" w:lineRule="auto"/>
      </w:pPr>
    </w:p>
    <w:p w:rsidR="004848D5" w:rsidRPr="00612C26" w:rsidRDefault="003D2A78" w:rsidP="00612C26">
      <w:pPr>
        <w:spacing w:line="360" w:lineRule="auto"/>
      </w:pPr>
      <w:r w:rsidRPr="00612C26">
        <w:tab/>
      </w:r>
      <w:r w:rsidRPr="00612C26">
        <w:tab/>
      </w:r>
      <w:r w:rsidR="00F97F18" w:rsidRPr="00612C26">
        <w:t>3</w:t>
      </w:r>
      <w:r w:rsidRPr="00612C26">
        <w:t>.</w:t>
      </w:r>
      <w:r w:rsidRPr="00612C26">
        <w:tab/>
      </w:r>
      <w:r w:rsidR="004035D9" w:rsidRPr="00612C26">
        <w:t>Because th</w:t>
      </w:r>
      <w:r w:rsidRPr="00612C26">
        <w:t>e averments in the Complaint are insufficient to enable Respondent to formulate a meaningful response</w:t>
      </w:r>
      <w:r w:rsidR="004848D5" w:rsidRPr="00612C26">
        <w:t xml:space="preserve"> to the Complaint</w:t>
      </w:r>
      <w:r w:rsidR="00E71810" w:rsidRPr="00612C26">
        <w:t xml:space="preserve"> in that t</w:t>
      </w:r>
      <w:r w:rsidR="004848D5" w:rsidRPr="00612C26">
        <w:t xml:space="preserve">he Complaint fails to allege a violation of </w:t>
      </w:r>
      <w:r w:rsidR="00355EEF" w:rsidRPr="00612C26">
        <w:t>the Pennsylvania Public Utility Code</w:t>
      </w:r>
      <w:r w:rsidR="00E02963" w:rsidRPr="00612C26">
        <w:t xml:space="preserve"> or an order or regulation of the Commission</w:t>
      </w:r>
      <w:r w:rsidR="004848D5" w:rsidRPr="00612C26">
        <w:t xml:space="preserve">, there is no remedy available from the Commission.  </w:t>
      </w:r>
      <w:proofErr w:type="gramStart"/>
      <w:r w:rsidR="004848D5" w:rsidRPr="00612C26">
        <w:t>66 Pa. C.S. § 1501.</w:t>
      </w:r>
      <w:proofErr w:type="gramEnd"/>
    </w:p>
    <w:p w:rsidR="003D2A78" w:rsidRPr="00612C26" w:rsidRDefault="003D2A78" w:rsidP="00612C26">
      <w:pPr>
        <w:spacing w:line="360" w:lineRule="auto"/>
      </w:pPr>
    </w:p>
    <w:p w:rsidR="003D2A78" w:rsidRPr="00612C26" w:rsidRDefault="003D2A78" w:rsidP="00612C26">
      <w:pPr>
        <w:spacing w:line="360" w:lineRule="auto"/>
      </w:pPr>
      <w:r w:rsidRPr="00612C26">
        <w:tab/>
      </w:r>
      <w:r w:rsidRPr="00612C26">
        <w:tab/>
      </w:r>
      <w:r w:rsidR="00E71810" w:rsidRPr="00612C26">
        <w:t>4</w:t>
      </w:r>
      <w:r w:rsidRPr="00612C26">
        <w:t>.</w:t>
      </w:r>
      <w:r w:rsidRPr="00612C26">
        <w:tab/>
      </w:r>
      <w:r w:rsidR="00380533" w:rsidRPr="00612C26">
        <w:t xml:space="preserve">The </w:t>
      </w:r>
      <w:r w:rsidRPr="00612C26">
        <w:t xml:space="preserve">Complainant </w:t>
      </w:r>
      <w:r w:rsidR="00380533" w:rsidRPr="00612C26">
        <w:t xml:space="preserve">has </w:t>
      </w:r>
      <w:r w:rsidRPr="00612C26">
        <w:t xml:space="preserve">had sufficient notice that his failure to file an Amended Complaint would result in dismissal of his </w:t>
      </w:r>
      <w:r w:rsidR="00F36381" w:rsidRPr="00612C26">
        <w:t>C</w:t>
      </w:r>
      <w:r w:rsidRPr="00612C26">
        <w:t>omplaint.</w:t>
      </w:r>
      <w:r w:rsidR="00F97F18" w:rsidRPr="00612C26">
        <w:t xml:space="preserve">  </w:t>
      </w:r>
      <w:proofErr w:type="gramStart"/>
      <w:r w:rsidR="004035D9" w:rsidRPr="00612C26">
        <w:t>52 Pa. Code § 5.101.</w:t>
      </w:r>
      <w:proofErr w:type="gramEnd"/>
    </w:p>
    <w:p w:rsidR="003D2A78" w:rsidRPr="00612C26" w:rsidRDefault="003D2A78" w:rsidP="00612C26">
      <w:pPr>
        <w:spacing w:line="360" w:lineRule="auto"/>
      </w:pPr>
    </w:p>
    <w:p w:rsidR="003D2A78" w:rsidRPr="00612C26" w:rsidRDefault="003D2A78" w:rsidP="00612C26">
      <w:pPr>
        <w:spacing w:line="360" w:lineRule="auto"/>
      </w:pPr>
      <w:r w:rsidRPr="00612C26">
        <w:tab/>
      </w:r>
      <w:r w:rsidRPr="00612C26">
        <w:tab/>
      </w:r>
    </w:p>
    <w:p w:rsidR="003D2A78" w:rsidRPr="00612C26" w:rsidRDefault="003D2A78" w:rsidP="00612C26">
      <w:pPr>
        <w:spacing w:line="360" w:lineRule="auto"/>
      </w:pPr>
    </w:p>
    <w:p w:rsidR="00380533" w:rsidRPr="00612C26" w:rsidRDefault="00380533" w:rsidP="00612C26">
      <w:pPr>
        <w:spacing w:line="360" w:lineRule="auto"/>
      </w:pPr>
    </w:p>
    <w:p w:rsidR="00380533" w:rsidRPr="00612C26" w:rsidRDefault="00380533" w:rsidP="00612C26">
      <w:pPr>
        <w:spacing w:line="360" w:lineRule="auto"/>
      </w:pPr>
    </w:p>
    <w:p w:rsidR="00380533" w:rsidRPr="00612C26" w:rsidRDefault="00380533" w:rsidP="00612C26">
      <w:pPr>
        <w:spacing w:line="360" w:lineRule="auto"/>
      </w:pPr>
    </w:p>
    <w:p w:rsidR="003D2A78" w:rsidRPr="00612C26" w:rsidRDefault="003D2A78" w:rsidP="00612C26">
      <w:pPr>
        <w:spacing w:line="360" w:lineRule="auto"/>
        <w:jc w:val="center"/>
        <w:rPr>
          <w:u w:val="single"/>
        </w:rPr>
      </w:pPr>
      <w:r w:rsidRPr="00612C26">
        <w:rPr>
          <w:u w:val="single"/>
        </w:rPr>
        <w:lastRenderedPageBreak/>
        <w:t>ORDER</w:t>
      </w:r>
    </w:p>
    <w:p w:rsidR="003D2A78" w:rsidRDefault="003D2A78" w:rsidP="00EF3E42">
      <w:pPr>
        <w:spacing w:line="360" w:lineRule="auto"/>
        <w:jc w:val="center"/>
        <w:rPr>
          <w:b/>
        </w:rPr>
      </w:pPr>
    </w:p>
    <w:p w:rsidR="00EF3E42" w:rsidRPr="00612C26" w:rsidRDefault="00EF3E42" w:rsidP="00EF3E42">
      <w:pPr>
        <w:spacing w:line="360" w:lineRule="auto"/>
        <w:jc w:val="center"/>
        <w:rPr>
          <w:b/>
        </w:rPr>
      </w:pPr>
    </w:p>
    <w:p w:rsidR="003D2A78" w:rsidRPr="00612C26" w:rsidRDefault="003D2A78" w:rsidP="00612C26">
      <w:pPr>
        <w:spacing w:line="360" w:lineRule="auto"/>
        <w:ind w:firstLine="720"/>
      </w:pPr>
      <w:r w:rsidRPr="00612C26">
        <w:rPr>
          <w:b/>
        </w:rPr>
        <w:tab/>
      </w:r>
      <w:r w:rsidRPr="00612C26">
        <w:t>THEREFORE,</w:t>
      </w:r>
    </w:p>
    <w:p w:rsidR="003D2A78" w:rsidRPr="00612C26" w:rsidRDefault="003D2A78" w:rsidP="00612C26">
      <w:pPr>
        <w:spacing w:line="360" w:lineRule="auto"/>
        <w:ind w:firstLine="720"/>
      </w:pPr>
    </w:p>
    <w:p w:rsidR="003D2A78" w:rsidRPr="00612C26" w:rsidRDefault="003D2A78" w:rsidP="00612C26">
      <w:pPr>
        <w:spacing w:line="360" w:lineRule="auto"/>
        <w:ind w:firstLine="720"/>
      </w:pPr>
      <w:r w:rsidRPr="00612C26">
        <w:tab/>
        <w:t>IT IS ORDERED:</w:t>
      </w:r>
    </w:p>
    <w:p w:rsidR="003D2A78" w:rsidRPr="00612C26" w:rsidRDefault="003D2A78" w:rsidP="00612C26">
      <w:pPr>
        <w:spacing w:line="360" w:lineRule="auto"/>
        <w:ind w:firstLine="720"/>
      </w:pPr>
    </w:p>
    <w:p w:rsidR="003D2A78" w:rsidRPr="00612C26" w:rsidRDefault="003D2A78" w:rsidP="00612C26">
      <w:pPr>
        <w:spacing w:line="360" w:lineRule="auto"/>
        <w:ind w:firstLine="720"/>
      </w:pPr>
      <w:r w:rsidRPr="00612C26">
        <w:tab/>
        <w:t>1.</w:t>
      </w:r>
      <w:r w:rsidRPr="00612C26">
        <w:tab/>
        <w:t xml:space="preserve">That the Complaint filed by </w:t>
      </w:r>
      <w:r w:rsidR="00A51C64" w:rsidRPr="00612C26">
        <w:t>Avery Mumford</w:t>
      </w:r>
      <w:r w:rsidRPr="00612C26">
        <w:t xml:space="preserve"> against </w:t>
      </w:r>
      <w:r w:rsidR="00A51C64" w:rsidRPr="00612C26">
        <w:t>Phil</w:t>
      </w:r>
      <w:r w:rsidR="00C7694D" w:rsidRPr="00612C26">
        <w:t>a</w:t>
      </w:r>
      <w:r w:rsidR="00A51C64" w:rsidRPr="00612C26">
        <w:t>delphia Gas Works</w:t>
      </w:r>
      <w:r w:rsidRPr="00612C26">
        <w:t xml:space="preserve"> at Docket No. </w:t>
      </w:r>
      <w:r w:rsidR="00A51C64" w:rsidRPr="00612C26">
        <w:t>F-2010-2170449</w:t>
      </w:r>
      <w:r w:rsidRPr="00612C26">
        <w:t xml:space="preserve"> is dismissed for failure of </w:t>
      </w:r>
      <w:r w:rsidR="00737F30" w:rsidRPr="00612C26">
        <w:t xml:space="preserve">the </w:t>
      </w:r>
      <w:r w:rsidRPr="00612C26">
        <w:t xml:space="preserve">Complainant to file an Amended Complaint </w:t>
      </w:r>
      <w:r w:rsidR="000D70B8" w:rsidRPr="00612C26">
        <w:t xml:space="preserve">alleging a violation </w:t>
      </w:r>
      <w:r w:rsidR="00380533" w:rsidRPr="00612C26">
        <w:t xml:space="preserve">by Philadelphia Gas Works </w:t>
      </w:r>
      <w:r w:rsidR="000D70B8" w:rsidRPr="00612C26">
        <w:t xml:space="preserve">of the Pennsylvania Public Utility Code or </w:t>
      </w:r>
      <w:r w:rsidR="00380533" w:rsidRPr="00612C26">
        <w:t xml:space="preserve">of </w:t>
      </w:r>
      <w:r w:rsidR="000D70B8" w:rsidRPr="00612C26">
        <w:t>an order or regulation of the Commission</w:t>
      </w:r>
      <w:r w:rsidRPr="00612C26">
        <w:t>.</w:t>
      </w:r>
    </w:p>
    <w:p w:rsidR="003D2A78" w:rsidRPr="00612C26" w:rsidRDefault="003D2A78" w:rsidP="00612C26">
      <w:pPr>
        <w:spacing w:line="360" w:lineRule="auto"/>
        <w:ind w:firstLine="720"/>
      </w:pPr>
    </w:p>
    <w:p w:rsidR="003D2A78" w:rsidRPr="00612C26" w:rsidRDefault="003D2A78" w:rsidP="00612C26">
      <w:pPr>
        <w:spacing w:line="360" w:lineRule="auto"/>
        <w:ind w:firstLine="720"/>
      </w:pPr>
      <w:r w:rsidRPr="00612C26">
        <w:tab/>
        <w:t>2.</w:t>
      </w:r>
      <w:r w:rsidRPr="00612C26">
        <w:tab/>
        <w:t xml:space="preserve">That the Secretary </w:t>
      </w:r>
      <w:r w:rsidR="00737F30" w:rsidRPr="00612C26">
        <w:t xml:space="preserve">of the Commission </w:t>
      </w:r>
      <w:proofErr w:type="gramStart"/>
      <w:r w:rsidRPr="00612C26">
        <w:t>mark</w:t>
      </w:r>
      <w:proofErr w:type="gramEnd"/>
      <w:r w:rsidRPr="00612C26">
        <w:t xml:space="preserve"> this docket closed.</w:t>
      </w:r>
    </w:p>
    <w:p w:rsidR="003D2A78" w:rsidRPr="00612C26" w:rsidRDefault="003D2A78" w:rsidP="00612C26">
      <w:pPr>
        <w:spacing w:line="360" w:lineRule="auto"/>
        <w:ind w:firstLine="720"/>
      </w:pPr>
      <w:r w:rsidRPr="00612C26">
        <w:tab/>
      </w:r>
    </w:p>
    <w:p w:rsidR="003D2A78" w:rsidRPr="00612C26" w:rsidRDefault="003D2A78" w:rsidP="00612C26">
      <w:pPr>
        <w:spacing w:line="360" w:lineRule="auto"/>
        <w:ind w:firstLine="720"/>
      </w:pPr>
      <w:r w:rsidRPr="00612C26">
        <w:tab/>
      </w:r>
    </w:p>
    <w:p w:rsidR="003D2A78" w:rsidRPr="00612C26" w:rsidRDefault="003D2A78" w:rsidP="00612C26">
      <w:r w:rsidRPr="00612C26">
        <w:t>Dated:</w:t>
      </w:r>
      <w:r w:rsidRPr="00612C26">
        <w:tab/>
      </w:r>
      <w:r w:rsidR="004035D9" w:rsidRPr="00612C26">
        <w:t xml:space="preserve"> </w:t>
      </w:r>
      <w:r w:rsidR="004035D9" w:rsidRPr="00612C26">
        <w:rPr>
          <w:u w:val="single"/>
        </w:rPr>
        <w:t>September 2</w:t>
      </w:r>
      <w:r w:rsidR="00C7694D" w:rsidRPr="00612C26">
        <w:rPr>
          <w:u w:val="single"/>
        </w:rPr>
        <w:t>, 2011</w:t>
      </w:r>
      <w:r w:rsidRPr="00612C26">
        <w:tab/>
      </w:r>
      <w:r w:rsidRPr="00612C26">
        <w:tab/>
      </w:r>
      <w:r w:rsidRPr="00612C26">
        <w:tab/>
        <w:t xml:space="preserve"> _____________________________</w:t>
      </w:r>
      <w:r w:rsidR="00C7694D" w:rsidRPr="00612C26">
        <w:t>____</w:t>
      </w:r>
    </w:p>
    <w:p w:rsidR="003D2A78" w:rsidRPr="00612C26" w:rsidRDefault="003D2A78" w:rsidP="00612C26">
      <w:r w:rsidRPr="00612C26">
        <w:tab/>
      </w:r>
      <w:r w:rsidRPr="00612C26">
        <w:tab/>
      </w:r>
      <w:r w:rsidRPr="00612C26">
        <w:tab/>
      </w:r>
      <w:r w:rsidRPr="00612C26">
        <w:tab/>
      </w:r>
      <w:r w:rsidRPr="00612C26">
        <w:tab/>
      </w:r>
      <w:r w:rsidRPr="00612C26">
        <w:tab/>
      </w:r>
      <w:r w:rsidR="004035D9" w:rsidRPr="00612C26">
        <w:t>Dennis J. Buckley</w:t>
      </w:r>
    </w:p>
    <w:p w:rsidR="003D2A78" w:rsidRPr="00612C26" w:rsidRDefault="003D2A78" w:rsidP="00612C26">
      <w:r w:rsidRPr="00612C26">
        <w:tab/>
      </w:r>
      <w:r w:rsidRPr="00612C26">
        <w:tab/>
      </w:r>
      <w:r w:rsidRPr="00612C26">
        <w:tab/>
      </w:r>
      <w:r w:rsidRPr="00612C26">
        <w:tab/>
      </w:r>
      <w:r w:rsidRPr="00612C26">
        <w:tab/>
      </w:r>
      <w:r w:rsidRPr="00612C26">
        <w:tab/>
        <w:t>Administrative Law Judge</w:t>
      </w:r>
    </w:p>
    <w:p w:rsidR="00737D6D" w:rsidRPr="00612C26" w:rsidRDefault="00737D6D" w:rsidP="00612C26"/>
    <w:sectPr w:rsidR="00737D6D" w:rsidRPr="00612C26" w:rsidSect="00E615FC">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BE0" w:rsidRDefault="00880BE0" w:rsidP="00B53049">
      <w:r>
        <w:separator/>
      </w:r>
    </w:p>
  </w:endnote>
  <w:endnote w:type="continuationSeparator" w:id="0">
    <w:p w:rsidR="00880BE0" w:rsidRDefault="00880BE0" w:rsidP="00B530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FC" w:rsidRDefault="00850400">
    <w:pPr>
      <w:pStyle w:val="Footer"/>
      <w:jc w:val="center"/>
    </w:pPr>
    <w:r w:rsidRPr="002E19ED">
      <w:rPr>
        <w:sz w:val="20"/>
        <w:szCs w:val="20"/>
      </w:rPr>
      <w:fldChar w:fldCharType="begin"/>
    </w:r>
    <w:r w:rsidR="006727B7" w:rsidRPr="002E19ED">
      <w:rPr>
        <w:sz w:val="20"/>
        <w:szCs w:val="20"/>
      </w:rPr>
      <w:instrText xml:space="preserve"> PAGE   \* MERGEFORMAT </w:instrText>
    </w:r>
    <w:r w:rsidRPr="002E19ED">
      <w:rPr>
        <w:sz w:val="20"/>
        <w:szCs w:val="20"/>
      </w:rPr>
      <w:fldChar w:fldCharType="separate"/>
    </w:r>
    <w:r w:rsidR="007555D0">
      <w:rPr>
        <w:noProof/>
        <w:sz w:val="20"/>
        <w:szCs w:val="20"/>
      </w:rPr>
      <w:t>5</w:t>
    </w:r>
    <w:r w:rsidRPr="002E19ED">
      <w:rPr>
        <w:sz w:val="20"/>
        <w:szCs w:val="20"/>
      </w:rPr>
      <w:fldChar w:fldCharType="end"/>
    </w:r>
  </w:p>
  <w:p w:rsidR="00E615FC" w:rsidRDefault="00880B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BE0" w:rsidRDefault="00880BE0" w:rsidP="00B53049">
      <w:r>
        <w:separator/>
      </w:r>
    </w:p>
  </w:footnote>
  <w:footnote w:type="continuationSeparator" w:id="0">
    <w:p w:rsidR="00880BE0" w:rsidRDefault="00880BE0" w:rsidP="00B53049">
      <w:r>
        <w:continuationSeparator/>
      </w:r>
    </w:p>
  </w:footnote>
  <w:footnote w:id="1">
    <w:p w:rsidR="0040167C" w:rsidRDefault="0040167C">
      <w:pPr>
        <w:pStyle w:val="FootnoteText"/>
      </w:pPr>
      <w:r>
        <w:tab/>
      </w:r>
      <w:r>
        <w:rPr>
          <w:rStyle w:val="FootnoteReference"/>
        </w:rPr>
        <w:footnoteRef/>
      </w:r>
      <w:r>
        <w:t xml:space="preserve"> Significantly, that case was dismissed due to no information with which to dispute PGW’s claim.</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D2A78"/>
    <w:rsid w:val="000046AB"/>
    <w:rsid w:val="00005967"/>
    <w:rsid w:val="0000790F"/>
    <w:rsid w:val="00017F72"/>
    <w:rsid w:val="00043472"/>
    <w:rsid w:val="00046A80"/>
    <w:rsid w:val="00051137"/>
    <w:rsid w:val="000570CA"/>
    <w:rsid w:val="00060D0C"/>
    <w:rsid w:val="000638FE"/>
    <w:rsid w:val="00071208"/>
    <w:rsid w:val="00075C7D"/>
    <w:rsid w:val="00081C08"/>
    <w:rsid w:val="000976EC"/>
    <w:rsid w:val="000A40A4"/>
    <w:rsid w:val="000A613E"/>
    <w:rsid w:val="000B0FF8"/>
    <w:rsid w:val="000C63D0"/>
    <w:rsid w:val="000D132B"/>
    <w:rsid w:val="000D513F"/>
    <w:rsid w:val="000D70B8"/>
    <w:rsid w:val="000E14D1"/>
    <w:rsid w:val="000E175D"/>
    <w:rsid w:val="000E3246"/>
    <w:rsid w:val="000E3CA0"/>
    <w:rsid w:val="000E3D3D"/>
    <w:rsid w:val="000E4B38"/>
    <w:rsid w:val="000E59EF"/>
    <w:rsid w:val="000E63D3"/>
    <w:rsid w:val="000E78F0"/>
    <w:rsid w:val="000E7C21"/>
    <w:rsid w:val="000E7D13"/>
    <w:rsid w:val="000F4581"/>
    <w:rsid w:val="000F7ED4"/>
    <w:rsid w:val="00105EAB"/>
    <w:rsid w:val="00114C28"/>
    <w:rsid w:val="001250F0"/>
    <w:rsid w:val="0014699B"/>
    <w:rsid w:val="00146E3C"/>
    <w:rsid w:val="00147A0F"/>
    <w:rsid w:val="00150B47"/>
    <w:rsid w:val="00153302"/>
    <w:rsid w:val="001665C9"/>
    <w:rsid w:val="00196076"/>
    <w:rsid w:val="001C4163"/>
    <w:rsid w:val="001C67B0"/>
    <w:rsid w:val="001D0537"/>
    <w:rsid w:val="001D770A"/>
    <w:rsid w:val="001E17AC"/>
    <w:rsid w:val="001E5809"/>
    <w:rsid w:val="001F05A9"/>
    <w:rsid w:val="001F1DEC"/>
    <w:rsid w:val="001F3E79"/>
    <w:rsid w:val="001F462B"/>
    <w:rsid w:val="00200E4F"/>
    <w:rsid w:val="00215951"/>
    <w:rsid w:val="00216446"/>
    <w:rsid w:val="00220A88"/>
    <w:rsid w:val="002252B7"/>
    <w:rsid w:val="00230503"/>
    <w:rsid w:val="00232CE3"/>
    <w:rsid w:val="002345DD"/>
    <w:rsid w:val="002360F6"/>
    <w:rsid w:val="00236ECD"/>
    <w:rsid w:val="00241A4C"/>
    <w:rsid w:val="00252D4F"/>
    <w:rsid w:val="002613A2"/>
    <w:rsid w:val="002663D4"/>
    <w:rsid w:val="00276AB7"/>
    <w:rsid w:val="00284BB8"/>
    <w:rsid w:val="0028624E"/>
    <w:rsid w:val="00290839"/>
    <w:rsid w:val="0029134B"/>
    <w:rsid w:val="00295F58"/>
    <w:rsid w:val="002960A9"/>
    <w:rsid w:val="002A4AE4"/>
    <w:rsid w:val="002A4D14"/>
    <w:rsid w:val="002B25F8"/>
    <w:rsid w:val="002C1286"/>
    <w:rsid w:val="002C165A"/>
    <w:rsid w:val="002D178A"/>
    <w:rsid w:val="002D26FB"/>
    <w:rsid w:val="002D352E"/>
    <w:rsid w:val="002D3607"/>
    <w:rsid w:val="002D47D1"/>
    <w:rsid w:val="002E0BCB"/>
    <w:rsid w:val="002E47B7"/>
    <w:rsid w:val="002E51F3"/>
    <w:rsid w:val="002E71D1"/>
    <w:rsid w:val="002F07C1"/>
    <w:rsid w:val="002F2FFE"/>
    <w:rsid w:val="002F36D6"/>
    <w:rsid w:val="002F66C9"/>
    <w:rsid w:val="002F6A41"/>
    <w:rsid w:val="002F6ADB"/>
    <w:rsid w:val="00301E49"/>
    <w:rsid w:val="00304789"/>
    <w:rsid w:val="00306D32"/>
    <w:rsid w:val="00310116"/>
    <w:rsid w:val="003103AC"/>
    <w:rsid w:val="003111E6"/>
    <w:rsid w:val="00333CBC"/>
    <w:rsid w:val="00345A3A"/>
    <w:rsid w:val="00355EEF"/>
    <w:rsid w:val="00364F77"/>
    <w:rsid w:val="003718D2"/>
    <w:rsid w:val="003775A8"/>
    <w:rsid w:val="00380533"/>
    <w:rsid w:val="003819F9"/>
    <w:rsid w:val="00385E44"/>
    <w:rsid w:val="00387D38"/>
    <w:rsid w:val="00392108"/>
    <w:rsid w:val="0039367F"/>
    <w:rsid w:val="00395FD0"/>
    <w:rsid w:val="00396E48"/>
    <w:rsid w:val="003A2DF3"/>
    <w:rsid w:val="003B0615"/>
    <w:rsid w:val="003C2D33"/>
    <w:rsid w:val="003D177B"/>
    <w:rsid w:val="003D2A78"/>
    <w:rsid w:val="003D5EC0"/>
    <w:rsid w:val="003D7440"/>
    <w:rsid w:val="003E07FB"/>
    <w:rsid w:val="003E74A9"/>
    <w:rsid w:val="003F0092"/>
    <w:rsid w:val="003F12B1"/>
    <w:rsid w:val="003F1E67"/>
    <w:rsid w:val="003F4BD3"/>
    <w:rsid w:val="003F58F9"/>
    <w:rsid w:val="0040167C"/>
    <w:rsid w:val="004035D9"/>
    <w:rsid w:val="00406956"/>
    <w:rsid w:val="0041238E"/>
    <w:rsid w:val="00412631"/>
    <w:rsid w:val="0042561C"/>
    <w:rsid w:val="004504AA"/>
    <w:rsid w:val="00452435"/>
    <w:rsid w:val="00454577"/>
    <w:rsid w:val="00457239"/>
    <w:rsid w:val="00457264"/>
    <w:rsid w:val="00467492"/>
    <w:rsid w:val="00470107"/>
    <w:rsid w:val="00475268"/>
    <w:rsid w:val="00481F56"/>
    <w:rsid w:val="004848D5"/>
    <w:rsid w:val="004954AE"/>
    <w:rsid w:val="004A2EB7"/>
    <w:rsid w:val="004A358B"/>
    <w:rsid w:val="004C196D"/>
    <w:rsid w:val="004D144D"/>
    <w:rsid w:val="004D7EE0"/>
    <w:rsid w:val="004E2C5E"/>
    <w:rsid w:val="004E7E1E"/>
    <w:rsid w:val="004F5465"/>
    <w:rsid w:val="004F574B"/>
    <w:rsid w:val="00520827"/>
    <w:rsid w:val="00527867"/>
    <w:rsid w:val="0053446C"/>
    <w:rsid w:val="00534CB5"/>
    <w:rsid w:val="00537123"/>
    <w:rsid w:val="005402EE"/>
    <w:rsid w:val="00545C90"/>
    <w:rsid w:val="005466D5"/>
    <w:rsid w:val="00547040"/>
    <w:rsid w:val="00561E2D"/>
    <w:rsid w:val="0056363B"/>
    <w:rsid w:val="0056722C"/>
    <w:rsid w:val="00570A6E"/>
    <w:rsid w:val="00582624"/>
    <w:rsid w:val="00582A0E"/>
    <w:rsid w:val="00584838"/>
    <w:rsid w:val="00585A5E"/>
    <w:rsid w:val="00590094"/>
    <w:rsid w:val="00595F2A"/>
    <w:rsid w:val="005A27AB"/>
    <w:rsid w:val="005A3D11"/>
    <w:rsid w:val="005B7EED"/>
    <w:rsid w:val="005D7A76"/>
    <w:rsid w:val="005F08B2"/>
    <w:rsid w:val="005F5B53"/>
    <w:rsid w:val="005F5EA1"/>
    <w:rsid w:val="006018E2"/>
    <w:rsid w:val="00603425"/>
    <w:rsid w:val="00604BE1"/>
    <w:rsid w:val="00607764"/>
    <w:rsid w:val="00607AA5"/>
    <w:rsid w:val="00612C26"/>
    <w:rsid w:val="00615D9B"/>
    <w:rsid w:val="006239B2"/>
    <w:rsid w:val="00624E63"/>
    <w:rsid w:val="00627E0C"/>
    <w:rsid w:val="006308B4"/>
    <w:rsid w:val="006315B8"/>
    <w:rsid w:val="00632D74"/>
    <w:rsid w:val="0063305B"/>
    <w:rsid w:val="00635172"/>
    <w:rsid w:val="00640B50"/>
    <w:rsid w:val="006411EC"/>
    <w:rsid w:val="00644BEC"/>
    <w:rsid w:val="00647F69"/>
    <w:rsid w:val="00655D5C"/>
    <w:rsid w:val="006631F9"/>
    <w:rsid w:val="00665A6F"/>
    <w:rsid w:val="006727B7"/>
    <w:rsid w:val="006737A8"/>
    <w:rsid w:val="00680147"/>
    <w:rsid w:val="00695178"/>
    <w:rsid w:val="006960B4"/>
    <w:rsid w:val="006A5258"/>
    <w:rsid w:val="006A67AC"/>
    <w:rsid w:val="006B1EBC"/>
    <w:rsid w:val="006B46C2"/>
    <w:rsid w:val="006B4AD9"/>
    <w:rsid w:val="006D0A76"/>
    <w:rsid w:val="006D1022"/>
    <w:rsid w:val="006D3C9B"/>
    <w:rsid w:val="006D6A42"/>
    <w:rsid w:val="006E5E3E"/>
    <w:rsid w:val="006E688C"/>
    <w:rsid w:val="006F1C6B"/>
    <w:rsid w:val="006F4830"/>
    <w:rsid w:val="006F6C9A"/>
    <w:rsid w:val="007006A1"/>
    <w:rsid w:val="00706851"/>
    <w:rsid w:val="0071369F"/>
    <w:rsid w:val="00714365"/>
    <w:rsid w:val="00722526"/>
    <w:rsid w:val="00722B00"/>
    <w:rsid w:val="00722B0F"/>
    <w:rsid w:val="007255D4"/>
    <w:rsid w:val="0072610A"/>
    <w:rsid w:val="007308D1"/>
    <w:rsid w:val="00732AB0"/>
    <w:rsid w:val="00733C70"/>
    <w:rsid w:val="007341EF"/>
    <w:rsid w:val="00734531"/>
    <w:rsid w:val="007350A5"/>
    <w:rsid w:val="00737D6D"/>
    <w:rsid w:val="00737F30"/>
    <w:rsid w:val="007404E7"/>
    <w:rsid w:val="0074203E"/>
    <w:rsid w:val="00750725"/>
    <w:rsid w:val="00753CED"/>
    <w:rsid w:val="007555D0"/>
    <w:rsid w:val="00756ACF"/>
    <w:rsid w:val="007629DE"/>
    <w:rsid w:val="0076529E"/>
    <w:rsid w:val="00765DC4"/>
    <w:rsid w:val="00766BDD"/>
    <w:rsid w:val="00767DCC"/>
    <w:rsid w:val="007716F1"/>
    <w:rsid w:val="00775AD7"/>
    <w:rsid w:val="00775C29"/>
    <w:rsid w:val="007765E1"/>
    <w:rsid w:val="00781955"/>
    <w:rsid w:val="00786945"/>
    <w:rsid w:val="00792455"/>
    <w:rsid w:val="007929FC"/>
    <w:rsid w:val="007A0763"/>
    <w:rsid w:val="007A1B14"/>
    <w:rsid w:val="007A24B5"/>
    <w:rsid w:val="007A5383"/>
    <w:rsid w:val="007C7D0C"/>
    <w:rsid w:val="007C7F8D"/>
    <w:rsid w:val="007D0C15"/>
    <w:rsid w:val="007D27AD"/>
    <w:rsid w:val="007D3123"/>
    <w:rsid w:val="007D437F"/>
    <w:rsid w:val="007D500A"/>
    <w:rsid w:val="007E1398"/>
    <w:rsid w:val="007E1AE1"/>
    <w:rsid w:val="007E5EC3"/>
    <w:rsid w:val="007F10A0"/>
    <w:rsid w:val="008017CA"/>
    <w:rsid w:val="0080255F"/>
    <w:rsid w:val="008049A9"/>
    <w:rsid w:val="008061BE"/>
    <w:rsid w:val="00814681"/>
    <w:rsid w:val="00814860"/>
    <w:rsid w:val="00814DF4"/>
    <w:rsid w:val="008238CE"/>
    <w:rsid w:val="008241DA"/>
    <w:rsid w:val="00825225"/>
    <w:rsid w:val="00825343"/>
    <w:rsid w:val="00835F30"/>
    <w:rsid w:val="00836890"/>
    <w:rsid w:val="008370E6"/>
    <w:rsid w:val="008414DD"/>
    <w:rsid w:val="00850400"/>
    <w:rsid w:val="0085045E"/>
    <w:rsid w:val="00865456"/>
    <w:rsid w:val="00866A5B"/>
    <w:rsid w:val="00872218"/>
    <w:rsid w:val="00874DB5"/>
    <w:rsid w:val="00880BE0"/>
    <w:rsid w:val="00885FB3"/>
    <w:rsid w:val="00891191"/>
    <w:rsid w:val="00894C74"/>
    <w:rsid w:val="00895E2B"/>
    <w:rsid w:val="00896715"/>
    <w:rsid w:val="008A3D1C"/>
    <w:rsid w:val="008A4702"/>
    <w:rsid w:val="008A6825"/>
    <w:rsid w:val="008B55A6"/>
    <w:rsid w:val="008B6B38"/>
    <w:rsid w:val="008B6F95"/>
    <w:rsid w:val="008C3183"/>
    <w:rsid w:val="008C68CD"/>
    <w:rsid w:val="008E2572"/>
    <w:rsid w:val="008E528F"/>
    <w:rsid w:val="008F57B4"/>
    <w:rsid w:val="008F5F0B"/>
    <w:rsid w:val="008F66F3"/>
    <w:rsid w:val="009024A1"/>
    <w:rsid w:val="00916B4B"/>
    <w:rsid w:val="0092124B"/>
    <w:rsid w:val="009213D7"/>
    <w:rsid w:val="00923217"/>
    <w:rsid w:val="0092495A"/>
    <w:rsid w:val="00925867"/>
    <w:rsid w:val="00932B39"/>
    <w:rsid w:val="00936CC1"/>
    <w:rsid w:val="0093717A"/>
    <w:rsid w:val="009450AA"/>
    <w:rsid w:val="00950569"/>
    <w:rsid w:val="00960B9E"/>
    <w:rsid w:val="00964481"/>
    <w:rsid w:val="009672CE"/>
    <w:rsid w:val="00975AC0"/>
    <w:rsid w:val="00982D36"/>
    <w:rsid w:val="00985C48"/>
    <w:rsid w:val="00987D44"/>
    <w:rsid w:val="009925F1"/>
    <w:rsid w:val="00994722"/>
    <w:rsid w:val="009A14D9"/>
    <w:rsid w:val="009B195B"/>
    <w:rsid w:val="009C07DE"/>
    <w:rsid w:val="009C25D1"/>
    <w:rsid w:val="009C3B4B"/>
    <w:rsid w:val="009C3CBA"/>
    <w:rsid w:val="009D7E55"/>
    <w:rsid w:val="009E2AFD"/>
    <w:rsid w:val="009F1005"/>
    <w:rsid w:val="009F348B"/>
    <w:rsid w:val="009F6E56"/>
    <w:rsid w:val="00A27041"/>
    <w:rsid w:val="00A2763F"/>
    <w:rsid w:val="00A32ECF"/>
    <w:rsid w:val="00A34A62"/>
    <w:rsid w:val="00A35674"/>
    <w:rsid w:val="00A41126"/>
    <w:rsid w:val="00A43E10"/>
    <w:rsid w:val="00A446DD"/>
    <w:rsid w:val="00A50D4C"/>
    <w:rsid w:val="00A51C64"/>
    <w:rsid w:val="00A568BC"/>
    <w:rsid w:val="00A56A3A"/>
    <w:rsid w:val="00A56DE9"/>
    <w:rsid w:val="00A625B5"/>
    <w:rsid w:val="00A72615"/>
    <w:rsid w:val="00A72E25"/>
    <w:rsid w:val="00A80FF3"/>
    <w:rsid w:val="00A85F39"/>
    <w:rsid w:val="00A9496A"/>
    <w:rsid w:val="00AA05DC"/>
    <w:rsid w:val="00AA1502"/>
    <w:rsid w:val="00AA23A9"/>
    <w:rsid w:val="00AC3905"/>
    <w:rsid w:val="00AD0BDF"/>
    <w:rsid w:val="00AD3E4B"/>
    <w:rsid w:val="00AD7991"/>
    <w:rsid w:val="00AF2C07"/>
    <w:rsid w:val="00AF2F24"/>
    <w:rsid w:val="00B019DD"/>
    <w:rsid w:val="00B041E8"/>
    <w:rsid w:val="00B07200"/>
    <w:rsid w:val="00B1211F"/>
    <w:rsid w:val="00B132D6"/>
    <w:rsid w:val="00B13E10"/>
    <w:rsid w:val="00B14D8B"/>
    <w:rsid w:val="00B25C01"/>
    <w:rsid w:val="00B2780D"/>
    <w:rsid w:val="00B31B9C"/>
    <w:rsid w:val="00B32450"/>
    <w:rsid w:val="00B450BD"/>
    <w:rsid w:val="00B47A92"/>
    <w:rsid w:val="00B53049"/>
    <w:rsid w:val="00B530E7"/>
    <w:rsid w:val="00B545F1"/>
    <w:rsid w:val="00B54C4A"/>
    <w:rsid w:val="00B54D86"/>
    <w:rsid w:val="00B56C0C"/>
    <w:rsid w:val="00B56C7F"/>
    <w:rsid w:val="00B61815"/>
    <w:rsid w:val="00B634BE"/>
    <w:rsid w:val="00B63685"/>
    <w:rsid w:val="00B67377"/>
    <w:rsid w:val="00B732C3"/>
    <w:rsid w:val="00B74FC6"/>
    <w:rsid w:val="00B81E61"/>
    <w:rsid w:val="00B93C73"/>
    <w:rsid w:val="00B9684D"/>
    <w:rsid w:val="00BA16BE"/>
    <w:rsid w:val="00BA199F"/>
    <w:rsid w:val="00BA29ED"/>
    <w:rsid w:val="00BA3319"/>
    <w:rsid w:val="00BA55E8"/>
    <w:rsid w:val="00BB266C"/>
    <w:rsid w:val="00BC15AD"/>
    <w:rsid w:val="00BC4498"/>
    <w:rsid w:val="00BD4468"/>
    <w:rsid w:val="00BD70BF"/>
    <w:rsid w:val="00BE3936"/>
    <w:rsid w:val="00BE7DD6"/>
    <w:rsid w:val="00BE7F0F"/>
    <w:rsid w:val="00BF59A0"/>
    <w:rsid w:val="00BF7C2F"/>
    <w:rsid w:val="00C04C53"/>
    <w:rsid w:val="00C114D9"/>
    <w:rsid w:val="00C14E3E"/>
    <w:rsid w:val="00C17516"/>
    <w:rsid w:val="00C207E5"/>
    <w:rsid w:val="00C23812"/>
    <w:rsid w:val="00C23F58"/>
    <w:rsid w:val="00C27246"/>
    <w:rsid w:val="00C31774"/>
    <w:rsid w:val="00C47DDD"/>
    <w:rsid w:val="00C51FAF"/>
    <w:rsid w:val="00C66BB0"/>
    <w:rsid w:val="00C70B15"/>
    <w:rsid w:val="00C7694D"/>
    <w:rsid w:val="00C7737B"/>
    <w:rsid w:val="00CA054F"/>
    <w:rsid w:val="00CA6DD2"/>
    <w:rsid w:val="00CC085F"/>
    <w:rsid w:val="00CC1386"/>
    <w:rsid w:val="00CC4751"/>
    <w:rsid w:val="00CC6AF1"/>
    <w:rsid w:val="00CD7C9A"/>
    <w:rsid w:val="00CE4A0C"/>
    <w:rsid w:val="00CE5047"/>
    <w:rsid w:val="00CF010C"/>
    <w:rsid w:val="00CF046E"/>
    <w:rsid w:val="00CF0D9A"/>
    <w:rsid w:val="00CF75AE"/>
    <w:rsid w:val="00D003CF"/>
    <w:rsid w:val="00D00845"/>
    <w:rsid w:val="00D01D86"/>
    <w:rsid w:val="00D14776"/>
    <w:rsid w:val="00D15356"/>
    <w:rsid w:val="00D224E9"/>
    <w:rsid w:val="00D245CA"/>
    <w:rsid w:val="00D24AF4"/>
    <w:rsid w:val="00D27983"/>
    <w:rsid w:val="00D32251"/>
    <w:rsid w:val="00D32568"/>
    <w:rsid w:val="00D370DD"/>
    <w:rsid w:val="00D45BF1"/>
    <w:rsid w:val="00D5302C"/>
    <w:rsid w:val="00D63279"/>
    <w:rsid w:val="00D634C3"/>
    <w:rsid w:val="00D7739C"/>
    <w:rsid w:val="00D85E11"/>
    <w:rsid w:val="00D87A68"/>
    <w:rsid w:val="00D963F9"/>
    <w:rsid w:val="00D978EC"/>
    <w:rsid w:val="00DA54B2"/>
    <w:rsid w:val="00DA6467"/>
    <w:rsid w:val="00DB1768"/>
    <w:rsid w:val="00DB17FD"/>
    <w:rsid w:val="00DB7E1C"/>
    <w:rsid w:val="00DC0688"/>
    <w:rsid w:val="00DF35CC"/>
    <w:rsid w:val="00DF6AD2"/>
    <w:rsid w:val="00E00956"/>
    <w:rsid w:val="00E01F7D"/>
    <w:rsid w:val="00E02963"/>
    <w:rsid w:val="00E24340"/>
    <w:rsid w:val="00E30898"/>
    <w:rsid w:val="00E30B37"/>
    <w:rsid w:val="00E31329"/>
    <w:rsid w:val="00E3424A"/>
    <w:rsid w:val="00E349C0"/>
    <w:rsid w:val="00E3695B"/>
    <w:rsid w:val="00E41DA7"/>
    <w:rsid w:val="00E51A5A"/>
    <w:rsid w:val="00E5327A"/>
    <w:rsid w:val="00E60965"/>
    <w:rsid w:val="00E61443"/>
    <w:rsid w:val="00E6582E"/>
    <w:rsid w:val="00E71810"/>
    <w:rsid w:val="00E87AB3"/>
    <w:rsid w:val="00E9647B"/>
    <w:rsid w:val="00E975E0"/>
    <w:rsid w:val="00EA297E"/>
    <w:rsid w:val="00EA6AB9"/>
    <w:rsid w:val="00EB0D10"/>
    <w:rsid w:val="00EB19D1"/>
    <w:rsid w:val="00EB286F"/>
    <w:rsid w:val="00EB3CCC"/>
    <w:rsid w:val="00EB5002"/>
    <w:rsid w:val="00EE4D61"/>
    <w:rsid w:val="00EF3E42"/>
    <w:rsid w:val="00F027ED"/>
    <w:rsid w:val="00F07B7F"/>
    <w:rsid w:val="00F145D0"/>
    <w:rsid w:val="00F2286C"/>
    <w:rsid w:val="00F230BA"/>
    <w:rsid w:val="00F23206"/>
    <w:rsid w:val="00F351BC"/>
    <w:rsid w:val="00F36381"/>
    <w:rsid w:val="00F36644"/>
    <w:rsid w:val="00F36757"/>
    <w:rsid w:val="00F403DB"/>
    <w:rsid w:val="00F42B07"/>
    <w:rsid w:val="00F434E9"/>
    <w:rsid w:val="00F605CA"/>
    <w:rsid w:val="00F651F2"/>
    <w:rsid w:val="00F66788"/>
    <w:rsid w:val="00F70143"/>
    <w:rsid w:val="00F759FD"/>
    <w:rsid w:val="00F77D2D"/>
    <w:rsid w:val="00F818ED"/>
    <w:rsid w:val="00F86F4A"/>
    <w:rsid w:val="00F91211"/>
    <w:rsid w:val="00F9429D"/>
    <w:rsid w:val="00F97F18"/>
    <w:rsid w:val="00FA42A5"/>
    <w:rsid w:val="00FA5F49"/>
    <w:rsid w:val="00FC0FB1"/>
    <w:rsid w:val="00FC4EEA"/>
    <w:rsid w:val="00FC7460"/>
    <w:rsid w:val="00FD26CA"/>
    <w:rsid w:val="00FD60F1"/>
    <w:rsid w:val="00FD6120"/>
    <w:rsid w:val="00FD7A66"/>
    <w:rsid w:val="00FE051C"/>
    <w:rsid w:val="00FE0605"/>
    <w:rsid w:val="00FE1391"/>
    <w:rsid w:val="00FF16CB"/>
    <w:rsid w:val="00FF7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A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2A78"/>
    <w:pPr>
      <w:tabs>
        <w:tab w:val="center" w:pos="4680"/>
        <w:tab w:val="right" w:pos="9360"/>
      </w:tabs>
    </w:pPr>
  </w:style>
  <w:style w:type="character" w:customStyle="1" w:styleId="FooterChar">
    <w:name w:val="Footer Char"/>
    <w:basedOn w:val="DefaultParagraphFont"/>
    <w:link w:val="Footer"/>
    <w:uiPriority w:val="99"/>
    <w:rsid w:val="003D2A78"/>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7694D"/>
    <w:rPr>
      <w:sz w:val="20"/>
      <w:szCs w:val="20"/>
    </w:rPr>
  </w:style>
  <w:style w:type="character" w:customStyle="1" w:styleId="FootnoteTextChar">
    <w:name w:val="Footnote Text Char"/>
    <w:basedOn w:val="DefaultParagraphFont"/>
    <w:link w:val="FootnoteText"/>
    <w:uiPriority w:val="99"/>
    <w:semiHidden/>
    <w:rsid w:val="00C7694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727B7"/>
    <w:rPr>
      <w:rFonts w:ascii="Tahoma" w:hAnsi="Tahoma" w:cs="Tahoma"/>
      <w:sz w:val="16"/>
      <w:szCs w:val="16"/>
    </w:rPr>
  </w:style>
  <w:style w:type="character" w:customStyle="1" w:styleId="BalloonTextChar">
    <w:name w:val="Balloon Text Char"/>
    <w:basedOn w:val="DefaultParagraphFont"/>
    <w:link w:val="BalloonText"/>
    <w:uiPriority w:val="99"/>
    <w:semiHidden/>
    <w:rsid w:val="006727B7"/>
    <w:rPr>
      <w:rFonts w:ascii="Tahoma" w:eastAsia="Times New Roman" w:hAnsi="Tahoma" w:cs="Tahoma"/>
      <w:sz w:val="16"/>
      <w:szCs w:val="16"/>
    </w:rPr>
  </w:style>
  <w:style w:type="character" w:styleId="FootnoteReference">
    <w:name w:val="footnote reference"/>
    <w:basedOn w:val="DefaultParagraphFont"/>
    <w:uiPriority w:val="99"/>
    <w:semiHidden/>
    <w:unhideWhenUsed/>
    <w:rsid w:val="0040167C"/>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C72F-9705-4CEE-A888-792F34A6D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shoffner</cp:lastModifiedBy>
  <cp:revision>5</cp:revision>
  <cp:lastPrinted>2011-09-19T16:04:00Z</cp:lastPrinted>
  <dcterms:created xsi:type="dcterms:W3CDTF">2011-09-06T15:44:00Z</dcterms:created>
  <dcterms:modified xsi:type="dcterms:W3CDTF">2011-09-19T16:06:00Z</dcterms:modified>
</cp:coreProperties>
</file>