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F64" w:rsidRPr="00A03D6F" w:rsidRDefault="00D52F64" w:rsidP="0034230C">
      <w:pPr>
        <w:pStyle w:val="Title"/>
        <w:tabs>
          <w:tab w:val="clear" w:pos="360"/>
          <w:tab w:val="left" w:pos="0"/>
        </w:tabs>
      </w:pPr>
      <w:r w:rsidRPr="00A03D6F">
        <w:t>BEFORE THE</w:t>
      </w:r>
    </w:p>
    <w:p w:rsidR="00D52F64" w:rsidRPr="00A03D6F" w:rsidRDefault="00D52F64" w:rsidP="00A03D6F">
      <w:pPr>
        <w:tabs>
          <w:tab w:val="left" w:pos="0"/>
        </w:tabs>
        <w:spacing w:line="233" w:lineRule="auto"/>
        <w:jc w:val="center"/>
        <w:rPr>
          <w:b/>
          <w:sz w:val="24"/>
        </w:rPr>
      </w:pPr>
      <w:r w:rsidRPr="00A03D6F">
        <w:rPr>
          <w:b/>
          <w:sz w:val="24"/>
        </w:rPr>
        <w:t>PENNSYLVANIA PUBLIC UTILITY COMMISSION</w:t>
      </w: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2A66C2" w:rsidRPr="002A66C2" w:rsidRDefault="002A66C2" w:rsidP="002A66C2">
      <w:pPr>
        <w:tabs>
          <w:tab w:val="left" w:pos="-720"/>
        </w:tabs>
        <w:suppressAutoHyphens/>
        <w:rPr>
          <w:b/>
          <w:sz w:val="24"/>
          <w:szCs w:val="24"/>
        </w:rPr>
      </w:pPr>
      <w:r w:rsidRPr="002A66C2">
        <w:rPr>
          <w:spacing w:val="-3"/>
          <w:sz w:val="24"/>
          <w:szCs w:val="24"/>
        </w:rPr>
        <w:t>Pennsylvania Public Utility Commission</w:t>
      </w:r>
      <w:r w:rsidRPr="002A66C2">
        <w:rPr>
          <w:spacing w:val="-3"/>
          <w:sz w:val="24"/>
          <w:szCs w:val="24"/>
        </w:rPr>
        <w:tab/>
      </w:r>
      <w:r w:rsidRPr="002A66C2">
        <w:rPr>
          <w:spacing w:val="-3"/>
          <w:sz w:val="24"/>
          <w:szCs w:val="24"/>
        </w:rPr>
        <w:tab/>
        <w:t>:</w:t>
      </w:r>
      <w:r w:rsidRPr="002A66C2">
        <w:rPr>
          <w:spacing w:val="-3"/>
          <w:sz w:val="24"/>
          <w:szCs w:val="24"/>
        </w:rPr>
        <w:tab/>
      </w:r>
      <w:r w:rsidRPr="002A66C2">
        <w:rPr>
          <w:spacing w:val="-3"/>
          <w:sz w:val="24"/>
          <w:szCs w:val="24"/>
        </w:rPr>
        <w:tab/>
      </w:r>
      <w:r w:rsidRPr="002A66C2">
        <w:rPr>
          <w:bCs/>
          <w:color w:val="000000"/>
          <w:sz w:val="24"/>
          <w:szCs w:val="24"/>
        </w:rPr>
        <w:t>R-2011-2238120</w:t>
      </w:r>
      <w:r w:rsidRPr="002A66C2">
        <w:rPr>
          <w:b/>
          <w:sz w:val="24"/>
          <w:szCs w:val="24"/>
        </w:rPr>
        <w:t xml:space="preserve"> </w:t>
      </w:r>
    </w:p>
    <w:p w:rsidR="002A66C2" w:rsidRPr="002A66C2" w:rsidRDefault="002A66C2" w:rsidP="002A66C2">
      <w:pPr>
        <w:tabs>
          <w:tab w:val="left" w:pos="-720"/>
        </w:tabs>
        <w:suppressAutoHyphens/>
        <w:rPr>
          <w:sz w:val="24"/>
          <w:szCs w:val="24"/>
        </w:rPr>
      </w:pPr>
      <w:r w:rsidRPr="002A66C2">
        <w:rPr>
          <w:sz w:val="24"/>
          <w:szCs w:val="24"/>
        </w:rPr>
        <w:t>Pierre and Marie-José Fortis</w:t>
      </w:r>
      <w:r w:rsidRPr="002A66C2">
        <w:rPr>
          <w:sz w:val="24"/>
          <w:szCs w:val="24"/>
        </w:rPr>
        <w:tab/>
      </w:r>
      <w:r w:rsidRPr="002A66C2">
        <w:rPr>
          <w:b/>
          <w:sz w:val="24"/>
          <w:szCs w:val="24"/>
        </w:rPr>
        <w:tab/>
      </w:r>
      <w:r w:rsidRPr="002A66C2">
        <w:rPr>
          <w:b/>
          <w:sz w:val="24"/>
          <w:szCs w:val="24"/>
        </w:rPr>
        <w:tab/>
      </w:r>
      <w:r w:rsidRPr="002A66C2">
        <w:rPr>
          <w:b/>
          <w:sz w:val="24"/>
          <w:szCs w:val="24"/>
        </w:rPr>
        <w:tab/>
      </w:r>
      <w:r w:rsidRPr="002A66C2">
        <w:rPr>
          <w:sz w:val="24"/>
          <w:szCs w:val="24"/>
        </w:rPr>
        <w:t>:</w:t>
      </w:r>
      <w:r w:rsidRPr="002A66C2">
        <w:rPr>
          <w:b/>
          <w:sz w:val="24"/>
          <w:szCs w:val="24"/>
        </w:rPr>
        <w:tab/>
      </w:r>
      <w:r w:rsidRPr="002A66C2">
        <w:rPr>
          <w:b/>
          <w:sz w:val="24"/>
          <w:szCs w:val="24"/>
        </w:rPr>
        <w:tab/>
      </w:r>
      <w:r w:rsidRPr="002A66C2">
        <w:rPr>
          <w:sz w:val="24"/>
          <w:szCs w:val="24"/>
        </w:rPr>
        <w:t>C-2011-2248101</w:t>
      </w:r>
    </w:p>
    <w:p w:rsidR="002A66C2" w:rsidRPr="002A66C2" w:rsidRDefault="002A66C2" w:rsidP="002A66C2">
      <w:pPr>
        <w:tabs>
          <w:tab w:val="left" w:pos="-720"/>
        </w:tabs>
        <w:suppressAutoHyphens/>
        <w:rPr>
          <w:sz w:val="24"/>
          <w:szCs w:val="24"/>
        </w:rPr>
      </w:pPr>
      <w:r w:rsidRPr="002A66C2">
        <w:rPr>
          <w:sz w:val="24"/>
          <w:szCs w:val="24"/>
        </w:rPr>
        <w:tab/>
      </w:r>
      <w:r w:rsidRPr="002A66C2">
        <w:rPr>
          <w:sz w:val="24"/>
          <w:szCs w:val="24"/>
        </w:rPr>
        <w:tab/>
      </w:r>
      <w:r w:rsidRPr="002A66C2">
        <w:rPr>
          <w:sz w:val="24"/>
          <w:szCs w:val="24"/>
        </w:rPr>
        <w:tab/>
      </w:r>
      <w:r w:rsidRPr="002A66C2">
        <w:rPr>
          <w:sz w:val="24"/>
          <w:szCs w:val="24"/>
        </w:rPr>
        <w:tab/>
      </w:r>
      <w:r w:rsidRPr="002A66C2">
        <w:rPr>
          <w:sz w:val="24"/>
          <w:szCs w:val="24"/>
        </w:rPr>
        <w:tab/>
      </w:r>
      <w:r w:rsidRPr="002A66C2">
        <w:rPr>
          <w:sz w:val="24"/>
          <w:szCs w:val="24"/>
        </w:rPr>
        <w:tab/>
      </w:r>
      <w:r w:rsidRPr="002A66C2">
        <w:rPr>
          <w:sz w:val="24"/>
          <w:szCs w:val="24"/>
        </w:rPr>
        <w:tab/>
        <w:t>:</w:t>
      </w:r>
    </w:p>
    <w:p w:rsidR="002A66C2" w:rsidRPr="002A66C2" w:rsidRDefault="002A66C2" w:rsidP="002A66C2">
      <w:pPr>
        <w:tabs>
          <w:tab w:val="left" w:pos="-720"/>
        </w:tabs>
        <w:suppressAutoHyphens/>
        <w:rPr>
          <w:spacing w:val="-3"/>
          <w:sz w:val="24"/>
          <w:szCs w:val="24"/>
        </w:rPr>
      </w:pPr>
      <w:r w:rsidRPr="002A66C2">
        <w:rPr>
          <w:sz w:val="24"/>
          <w:szCs w:val="24"/>
        </w:rPr>
        <w:tab/>
        <w:t>v.</w:t>
      </w:r>
      <w:r w:rsidRPr="002A66C2">
        <w:rPr>
          <w:sz w:val="24"/>
          <w:szCs w:val="24"/>
        </w:rPr>
        <w:tab/>
      </w:r>
      <w:r w:rsidRPr="002A66C2">
        <w:rPr>
          <w:sz w:val="24"/>
          <w:szCs w:val="24"/>
        </w:rPr>
        <w:tab/>
      </w:r>
      <w:r w:rsidRPr="002A66C2">
        <w:rPr>
          <w:sz w:val="24"/>
          <w:szCs w:val="24"/>
        </w:rPr>
        <w:tab/>
      </w:r>
      <w:r w:rsidRPr="002A66C2">
        <w:rPr>
          <w:sz w:val="24"/>
          <w:szCs w:val="24"/>
        </w:rPr>
        <w:tab/>
      </w:r>
      <w:r w:rsidRPr="002A66C2">
        <w:rPr>
          <w:sz w:val="24"/>
          <w:szCs w:val="24"/>
        </w:rPr>
        <w:tab/>
      </w:r>
      <w:r w:rsidRPr="002A66C2">
        <w:rPr>
          <w:sz w:val="24"/>
          <w:szCs w:val="24"/>
        </w:rPr>
        <w:tab/>
        <w:t>:</w:t>
      </w:r>
    </w:p>
    <w:p w:rsidR="002A66C2" w:rsidRPr="002A66C2" w:rsidRDefault="002A66C2" w:rsidP="002A66C2">
      <w:pPr>
        <w:tabs>
          <w:tab w:val="left" w:pos="-720"/>
        </w:tabs>
        <w:suppressAutoHyphens/>
        <w:rPr>
          <w:spacing w:val="-3"/>
          <w:sz w:val="24"/>
          <w:szCs w:val="24"/>
        </w:rPr>
      </w:pPr>
      <w:r w:rsidRPr="002A66C2">
        <w:rPr>
          <w:spacing w:val="-3"/>
          <w:sz w:val="24"/>
          <w:szCs w:val="24"/>
        </w:rPr>
        <w:tab/>
      </w:r>
      <w:r w:rsidRPr="002A66C2">
        <w:rPr>
          <w:spacing w:val="-3"/>
          <w:sz w:val="24"/>
          <w:szCs w:val="24"/>
        </w:rPr>
        <w:tab/>
      </w:r>
      <w:r w:rsidRPr="002A66C2">
        <w:rPr>
          <w:spacing w:val="-3"/>
          <w:sz w:val="24"/>
          <w:szCs w:val="24"/>
        </w:rPr>
        <w:tab/>
      </w:r>
      <w:r w:rsidRPr="002A66C2">
        <w:rPr>
          <w:spacing w:val="-3"/>
          <w:sz w:val="24"/>
          <w:szCs w:val="24"/>
        </w:rPr>
        <w:tab/>
      </w:r>
      <w:r w:rsidRPr="002A66C2">
        <w:rPr>
          <w:spacing w:val="-3"/>
          <w:sz w:val="24"/>
          <w:szCs w:val="24"/>
        </w:rPr>
        <w:tab/>
      </w:r>
      <w:r w:rsidRPr="002A66C2">
        <w:rPr>
          <w:spacing w:val="-3"/>
          <w:sz w:val="24"/>
          <w:szCs w:val="24"/>
        </w:rPr>
        <w:tab/>
      </w:r>
      <w:r w:rsidRPr="002A66C2">
        <w:rPr>
          <w:spacing w:val="-3"/>
          <w:sz w:val="24"/>
          <w:szCs w:val="24"/>
        </w:rPr>
        <w:tab/>
        <w:t>:</w:t>
      </w:r>
    </w:p>
    <w:p w:rsidR="002A66C2" w:rsidRPr="002A66C2" w:rsidRDefault="002A66C2" w:rsidP="002A66C2">
      <w:pPr>
        <w:tabs>
          <w:tab w:val="left" w:pos="-720"/>
        </w:tabs>
        <w:suppressAutoHyphens/>
        <w:rPr>
          <w:spacing w:val="-3"/>
          <w:sz w:val="24"/>
          <w:szCs w:val="24"/>
        </w:rPr>
      </w:pPr>
      <w:r w:rsidRPr="002A66C2">
        <w:rPr>
          <w:spacing w:val="-3"/>
          <w:sz w:val="24"/>
          <w:szCs w:val="24"/>
        </w:rPr>
        <w:t>Corner Water Supply and Service Corporation</w:t>
      </w:r>
      <w:r w:rsidRPr="002A66C2">
        <w:rPr>
          <w:spacing w:val="-3"/>
          <w:sz w:val="24"/>
          <w:szCs w:val="24"/>
        </w:rPr>
        <w:tab/>
        <w:t>:</w:t>
      </w:r>
    </w:p>
    <w:p w:rsidR="002A66C2" w:rsidRPr="00946663" w:rsidRDefault="002A66C2" w:rsidP="002A66C2">
      <w:pPr>
        <w:tabs>
          <w:tab w:val="left" w:pos="-720"/>
        </w:tabs>
        <w:suppressAutoHyphens/>
        <w:rPr>
          <w:spacing w:val="-3"/>
        </w:rPr>
      </w:pPr>
      <w:r w:rsidRPr="00946663">
        <w:rPr>
          <w:spacing w:val="-3"/>
        </w:rPr>
        <w:tab/>
      </w:r>
    </w:p>
    <w:p w:rsidR="00D52F64" w:rsidRPr="00A03D6F" w:rsidRDefault="00D52F64" w:rsidP="003D1D5E">
      <w:pPr>
        <w:tabs>
          <w:tab w:val="left" w:pos="0"/>
        </w:tabs>
        <w:spacing w:line="233" w:lineRule="auto"/>
        <w:jc w:val="both"/>
        <w:rPr>
          <w:b/>
          <w:sz w:val="24"/>
        </w:rPr>
      </w:pPr>
    </w:p>
    <w:p w:rsidR="00D52F64" w:rsidRPr="00A03D6F" w:rsidRDefault="00D52F64" w:rsidP="003D1D5E">
      <w:pPr>
        <w:tabs>
          <w:tab w:val="left" w:pos="0"/>
        </w:tabs>
        <w:spacing w:line="233" w:lineRule="auto"/>
        <w:jc w:val="both"/>
        <w:rPr>
          <w:b/>
          <w:sz w:val="24"/>
        </w:rPr>
      </w:pPr>
    </w:p>
    <w:p w:rsidR="00D52F64" w:rsidRDefault="00D52F64" w:rsidP="009D5002">
      <w:pPr>
        <w:tabs>
          <w:tab w:val="left" w:pos="0"/>
        </w:tabs>
        <w:jc w:val="center"/>
        <w:rPr>
          <w:b/>
          <w:sz w:val="24"/>
          <w:u w:val="single"/>
        </w:rPr>
      </w:pPr>
      <w:r w:rsidRPr="00A03D6F">
        <w:rPr>
          <w:b/>
          <w:sz w:val="24"/>
          <w:u w:val="single"/>
        </w:rPr>
        <w:t>PREHEARING ORDER</w:t>
      </w:r>
    </w:p>
    <w:p w:rsidR="002A66C2" w:rsidRPr="00A03D6F" w:rsidRDefault="002A66C2" w:rsidP="009D5002">
      <w:pPr>
        <w:tabs>
          <w:tab w:val="left" w:pos="0"/>
        </w:tabs>
        <w:jc w:val="center"/>
        <w:rPr>
          <w:b/>
          <w:sz w:val="24"/>
          <w:u w:val="single"/>
        </w:rPr>
      </w:pPr>
    </w:p>
    <w:p w:rsidR="00D52F64" w:rsidRPr="00A03D6F" w:rsidRDefault="00D52F64" w:rsidP="009D5002">
      <w:pPr>
        <w:tabs>
          <w:tab w:val="left" w:pos="0"/>
        </w:tabs>
        <w:jc w:val="both"/>
        <w:rPr>
          <w:sz w:val="24"/>
        </w:rPr>
      </w:pPr>
    </w:p>
    <w:p w:rsidR="002A66C2" w:rsidRPr="002A66C2" w:rsidRDefault="002A66C2" w:rsidP="002A66C2">
      <w:pPr>
        <w:spacing w:line="360" w:lineRule="auto"/>
        <w:ind w:firstLine="1440"/>
        <w:rPr>
          <w:sz w:val="24"/>
          <w:szCs w:val="24"/>
        </w:rPr>
      </w:pPr>
      <w:r w:rsidRPr="002A66C2">
        <w:rPr>
          <w:sz w:val="24"/>
          <w:szCs w:val="24"/>
        </w:rPr>
        <w:t xml:space="preserve">By letter dated April 29, 2011, the Pennsylvania Public Utility Commission (Commission) granted Corner Water Supply and Service Corporation (Respondent or Corner Water Supply or Company) an extension of time for filing its general rate increase request.  On May 26, 2011, the Company filed Supplement No. 59 to Tariff Water </w:t>
      </w:r>
      <w:r w:rsidR="00215A09" w:rsidRPr="009605AB">
        <w:rPr>
          <w:sz w:val="24"/>
          <w:szCs w:val="24"/>
        </w:rPr>
        <w:t>–</w:t>
      </w:r>
      <w:r w:rsidRPr="002A66C2">
        <w:rPr>
          <w:sz w:val="24"/>
          <w:szCs w:val="24"/>
        </w:rPr>
        <w:t xml:space="preserve"> Pa. P.U.C. No. 1, to become effective August 1, 2011, containing proposed changes in rates, rules, and regulations calculated to produce $38,719 (11.8%) in additional annual revenues based on a</w:t>
      </w:r>
      <w:r w:rsidR="00824309">
        <w:rPr>
          <w:sz w:val="24"/>
          <w:szCs w:val="24"/>
        </w:rPr>
        <w:t>n</w:t>
      </w:r>
      <w:r w:rsidRPr="002A66C2">
        <w:rPr>
          <w:sz w:val="24"/>
          <w:szCs w:val="24"/>
        </w:rPr>
        <w:t xml:space="preserve"> historic test year ending December 31, 2010.  On June 9, 2011, Complainants Dr. Pierre Fortis and Ms.</w:t>
      </w:r>
      <w:r w:rsidR="00824309">
        <w:rPr>
          <w:sz w:val="24"/>
          <w:szCs w:val="24"/>
        </w:rPr>
        <w:t> </w:t>
      </w:r>
      <w:r w:rsidRPr="002A66C2">
        <w:rPr>
          <w:sz w:val="24"/>
          <w:szCs w:val="24"/>
        </w:rPr>
        <w:t xml:space="preserve">Marie-José Fortis, </w:t>
      </w:r>
      <w:r w:rsidRPr="002A66C2">
        <w:rPr>
          <w:i/>
          <w:sz w:val="24"/>
          <w:szCs w:val="24"/>
        </w:rPr>
        <w:t>pro se</w:t>
      </w:r>
      <w:r w:rsidRPr="002A66C2">
        <w:rPr>
          <w:sz w:val="24"/>
          <w:szCs w:val="24"/>
        </w:rPr>
        <w:t xml:space="preserve">, filed a Formal Complaint (Fortis Complaint) against the proposed increase.  On or about July 1, 2011, Respondent filed an Answer to the Fortis Complaint and requested that the matter be addressed within the pending rate increase application. </w:t>
      </w:r>
    </w:p>
    <w:p w:rsidR="002A66C2" w:rsidRPr="002A66C2" w:rsidRDefault="002A66C2" w:rsidP="002A66C2">
      <w:pPr>
        <w:spacing w:line="360" w:lineRule="auto"/>
        <w:ind w:firstLine="1440"/>
        <w:rPr>
          <w:sz w:val="24"/>
          <w:szCs w:val="24"/>
        </w:rPr>
      </w:pPr>
    </w:p>
    <w:p w:rsidR="002A66C2" w:rsidRPr="002A66C2" w:rsidRDefault="002A66C2" w:rsidP="002A66C2">
      <w:pPr>
        <w:spacing w:line="360" w:lineRule="auto"/>
        <w:ind w:firstLine="1440"/>
        <w:rPr>
          <w:sz w:val="24"/>
          <w:szCs w:val="24"/>
        </w:rPr>
      </w:pPr>
      <w:r w:rsidRPr="002A66C2">
        <w:rPr>
          <w:sz w:val="24"/>
          <w:szCs w:val="24"/>
        </w:rPr>
        <w:t xml:space="preserve">By Order entered July 28, 2011, the Commission instituted an investigation to determine the lawfulness, justness and reasonableness of the existing and proposed rates and regulations. </w:t>
      </w:r>
      <w:r w:rsidR="00E40DCA">
        <w:rPr>
          <w:sz w:val="24"/>
          <w:szCs w:val="24"/>
        </w:rPr>
        <w:t xml:space="preserve"> </w:t>
      </w:r>
      <w:r w:rsidRPr="002A66C2">
        <w:rPr>
          <w:sz w:val="24"/>
          <w:szCs w:val="24"/>
        </w:rPr>
        <w:t xml:space="preserve">Pursuant to 66 Pa. C.S. § 1308(d), the filing was suspended by operation of law on August 1, 2011, until March 1, 2012, unless permitted by Commission Order to become effective at an earlier date. </w:t>
      </w:r>
      <w:r w:rsidR="00E40DCA">
        <w:rPr>
          <w:sz w:val="24"/>
          <w:szCs w:val="24"/>
        </w:rPr>
        <w:t xml:space="preserve"> </w:t>
      </w:r>
      <w:r w:rsidRPr="002A66C2">
        <w:rPr>
          <w:sz w:val="24"/>
          <w:szCs w:val="24"/>
        </w:rPr>
        <w:t xml:space="preserve">Said Order directed assignment of the case to the Office of Administrative Law Judge for prompt scheduling of such hearings as may be necessary culminating in the issuance of a Recommended Decision. </w:t>
      </w:r>
      <w:r w:rsidR="00E40DCA">
        <w:rPr>
          <w:sz w:val="24"/>
          <w:szCs w:val="24"/>
        </w:rPr>
        <w:t xml:space="preserve"> </w:t>
      </w:r>
      <w:r w:rsidRPr="002A66C2">
        <w:rPr>
          <w:sz w:val="24"/>
          <w:szCs w:val="24"/>
        </w:rPr>
        <w:t>The proceeding was assigned to the undersigned Presiding Administrative Law Judge (ALJ).</w:t>
      </w:r>
    </w:p>
    <w:p w:rsidR="002A66C2" w:rsidRPr="002A66C2" w:rsidRDefault="002A66C2" w:rsidP="002A66C2">
      <w:pPr>
        <w:spacing w:line="360" w:lineRule="auto"/>
        <w:ind w:firstLine="1440"/>
        <w:rPr>
          <w:sz w:val="24"/>
          <w:szCs w:val="24"/>
        </w:rPr>
      </w:pPr>
    </w:p>
    <w:p w:rsidR="002A66C2" w:rsidRPr="002A66C2" w:rsidRDefault="002A66C2" w:rsidP="002A66C2">
      <w:pPr>
        <w:spacing w:line="360" w:lineRule="auto"/>
        <w:ind w:firstLine="1440"/>
        <w:rPr>
          <w:sz w:val="24"/>
          <w:szCs w:val="24"/>
        </w:rPr>
      </w:pPr>
      <w:r w:rsidRPr="002A66C2">
        <w:rPr>
          <w:sz w:val="24"/>
          <w:szCs w:val="24"/>
        </w:rPr>
        <w:lastRenderedPageBreak/>
        <w:t xml:space="preserve">In compliance with the Commission’s July 28, 2011 Order, Respondent filed Supplement No. 60 to </w:t>
      </w:r>
      <w:r w:rsidR="00713E43">
        <w:rPr>
          <w:sz w:val="24"/>
          <w:szCs w:val="24"/>
        </w:rPr>
        <w:t xml:space="preserve">Tariff </w:t>
      </w:r>
      <w:r w:rsidRPr="002A66C2">
        <w:rPr>
          <w:sz w:val="24"/>
          <w:szCs w:val="24"/>
        </w:rPr>
        <w:t>Water</w:t>
      </w:r>
      <w:r w:rsidR="00E40DCA">
        <w:rPr>
          <w:sz w:val="24"/>
          <w:szCs w:val="24"/>
        </w:rPr>
        <w:t xml:space="preserve"> </w:t>
      </w:r>
      <w:r w:rsidR="00215A09" w:rsidRPr="009605AB">
        <w:rPr>
          <w:sz w:val="24"/>
          <w:szCs w:val="24"/>
        </w:rPr>
        <w:t>–</w:t>
      </w:r>
      <w:r w:rsidR="00E40DCA">
        <w:rPr>
          <w:sz w:val="24"/>
          <w:szCs w:val="24"/>
        </w:rPr>
        <w:t xml:space="preserve"> </w:t>
      </w:r>
      <w:r w:rsidRPr="002A66C2">
        <w:rPr>
          <w:sz w:val="24"/>
          <w:szCs w:val="24"/>
        </w:rPr>
        <w:t xml:space="preserve">Pa. P.U.C. No. 1, suspending and voluntarily postponing until March 1, 2012 the rates proposed to become effective in Supplement No. 59 to </w:t>
      </w:r>
      <w:r w:rsidR="00713E43">
        <w:rPr>
          <w:sz w:val="24"/>
          <w:szCs w:val="24"/>
        </w:rPr>
        <w:t xml:space="preserve">Tariff </w:t>
      </w:r>
      <w:r w:rsidRPr="002A66C2">
        <w:rPr>
          <w:sz w:val="24"/>
          <w:szCs w:val="24"/>
        </w:rPr>
        <w:t>Water</w:t>
      </w:r>
      <w:r w:rsidR="00E40DCA">
        <w:rPr>
          <w:sz w:val="24"/>
          <w:szCs w:val="24"/>
        </w:rPr>
        <w:t xml:space="preserve"> </w:t>
      </w:r>
      <w:r w:rsidR="00215A09" w:rsidRPr="009605AB">
        <w:rPr>
          <w:sz w:val="24"/>
          <w:szCs w:val="24"/>
        </w:rPr>
        <w:t>–</w:t>
      </w:r>
      <w:r w:rsidR="00E40DCA">
        <w:rPr>
          <w:sz w:val="24"/>
          <w:szCs w:val="24"/>
        </w:rPr>
        <w:t xml:space="preserve"> </w:t>
      </w:r>
      <w:r w:rsidRPr="002A66C2">
        <w:rPr>
          <w:sz w:val="24"/>
          <w:szCs w:val="24"/>
        </w:rPr>
        <w:t>Pa. P.U.C. No. 1.  Thereafter Respondent consented to utilizing the Commission’s mediation services, pursuant to 52 Pa. Code §§ 69.391-69.397, and agreed to the required sixty (60) day extension of the March 1, 2012 suspension date.  In accordance with 52 Pa. Code § 69.393(d)(2),  Respondent must file another supplement which further extends the March 1, 2012 suspension date to May 1, 2012.</w:t>
      </w:r>
    </w:p>
    <w:p w:rsidR="002A66C2" w:rsidRPr="002A66C2" w:rsidRDefault="002A66C2" w:rsidP="002A66C2">
      <w:pPr>
        <w:spacing w:line="360" w:lineRule="auto"/>
        <w:ind w:firstLine="1440"/>
        <w:rPr>
          <w:sz w:val="24"/>
          <w:szCs w:val="24"/>
        </w:rPr>
      </w:pPr>
    </w:p>
    <w:p w:rsidR="002A66C2" w:rsidRDefault="002A66C2" w:rsidP="002A66C2">
      <w:pPr>
        <w:spacing w:line="360" w:lineRule="auto"/>
        <w:ind w:firstLine="1440"/>
        <w:rPr>
          <w:sz w:val="24"/>
          <w:szCs w:val="24"/>
        </w:rPr>
      </w:pPr>
      <w:r w:rsidRPr="002A66C2">
        <w:rPr>
          <w:sz w:val="24"/>
          <w:szCs w:val="24"/>
        </w:rPr>
        <w:t xml:space="preserve">On August 18, 2011, a Prehearing Conference/Mediation Notice was issued to the parties informing them that a Prehearing Conference would be conducted telephonically by the ALJ sitting in Pittsburgh and the other parties in Harrisburg. </w:t>
      </w:r>
      <w:r w:rsidR="00E40DCA">
        <w:rPr>
          <w:sz w:val="24"/>
          <w:szCs w:val="24"/>
        </w:rPr>
        <w:t xml:space="preserve"> </w:t>
      </w:r>
      <w:r w:rsidRPr="002A66C2">
        <w:rPr>
          <w:sz w:val="24"/>
          <w:szCs w:val="24"/>
        </w:rPr>
        <w:t>On August 18, 2011, the ALJ issued a Prehearing Conference Order, outlining applicable procedural matters and reminding the parties of the date, time and locations of the telephonic prehearing conference.</w:t>
      </w:r>
    </w:p>
    <w:p w:rsidR="002A66C2" w:rsidRDefault="002A66C2" w:rsidP="002A66C2">
      <w:pPr>
        <w:spacing w:line="360" w:lineRule="auto"/>
        <w:ind w:firstLine="1440"/>
        <w:rPr>
          <w:sz w:val="24"/>
          <w:szCs w:val="24"/>
        </w:rPr>
      </w:pPr>
    </w:p>
    <w:p w:rsidR="009605AB" w:rsidRPr="009605AB" w:rsidRDefault="002A66C2" w:rsidP="009605AB">
      <w:pPr>
        <w:spacing w:line="360" w:lineRule="auto"/>
        <w:ind w:firstLine="1440"/>
        <w:rPr>
          <w:sz w:val="24"/>
          <w:szCs w:val="24"/>
        </w:rPr>
      </w:pPr>
      <w:r>
        <w:rPr>
          <w:sz w:val="24"/>
          <w:szCs w:val="24"/>
        </w:rPr>
        <w:t>The conference proceeded as scheduled.  Corner Water Supply, the Commission’s Bureau of Investigation and Enforcement (BIE)</w:t>
      </w:r>
      <w:r>
        <w:rPr>
          <w:rStyle w:val="FootnoteReference"/>
          <w:sz w:val="24"/>
          <w:szCs w:val="24"/>
        </w:rPr>
        <w:footnoteReference w:id="1"/>
      </w:r>
      <w:r w:rsidR="009D5002">
        <w:rPr>
          <w:sz w:val="24"/>
          <w:szCs w:val="24"/>
        </w:rPr>
        <w:t xml:space="preserve"> and the Fortises participated in the conference.  The </w:t>
      </w:r>
      <w:r w:rsidR="009605AB" w:rsidRPr="009605AB">
        <w:rPr>
          <w:sz w:val="24"/>
          <w:szCs w:val="24"/>
        </w:rPr>
        <w:t>Office of Small Business Ad</w:t>
      </w:r>
      <w:r w:rsidR="00E40DCA">
        <w:rPr>
          <w:sz w:val="24"/>
          <w:szCs w:val="24"/>
        </w:rPr>
        <w:t>vocate</w:t>
      </w:r>
      <w:r w:rsidR="009605AB" w:rsidRPr="009605AB">
        <w:rPr>
          <w:sz w:val="24"/>
          <w:szCs w:val="24"/>
        </w:rPr>
        <w:t xml:space="preserve"> (OSBA) and the Office of Consumer Advocate (OCA) were noticed with the Hearing Notice and Prehearing Conference Order, but did not enter an appearance in this proceeding.  This Order memorializes the prehearing conference.</w:t>
      </w:r>
    </w:p>
    <w:p w:rsidR="009605AB" w:rsidRPr="009605AB" w:rsidRDefault="009605AB" w:rsidP="009605AB">
      <w:pPr>
        <w:spacing w:line="360" w:lineRule="auto"/>
        <w:jc w:val="center"/>
        <w:rPr>
          <w:b/>
          <w:sz w:val="24"/>
          <w:szCs w:val="24"/>
          <w:u w:val="single"/>
        </w:rPr>
      </w:pPr>
    </w:p>
    <w:p w:rsidR="009605AB" w:rsidRPr="009605AB" w:rsidRDefault="009605AB" w:rsidP="009605AB">
      <w:pPr>
        <w:spacing w:line="360" w:lineRule="auto"/>
        <w:jc w:val="center"/>
        <w:rPr>
          <w:b/>
          <w:sz w:val="24"/>
          <w:szCs w:val="24"/>
          <w:u w:val="single"/>
        </w:rPr>
      </w:pPr>
      <w:r w:rsidRPr="009605AB">
        <w:rPr>
          <w:b/>
          <w:sz w:val="24"/>
          <w:szCs w:val="24"/>
          <w:u w:val="single"/>
        </w:rPr>
        <w:t>Litigation Schedule</w:t>
      </w:r>
    </w:p>
    <w:p w:rsidR="009605AB" w:rsidRPr="009605AB" w:rsidRDefault="009605AB" w:rsidP="009605AB">
      <w:pPr>
        <w:spacing w:line="360" w:lineRule="auto"/>
        <w:jc w:val="center"/>
        <w:rPr>
          <w:b/>
          <w:sz w:val="24"/>
          <w:szCs w:val="24"/>
          <w:u w:val="single"/>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The parties agree upon the following litigation schedule:</w:t>
      </w:r>
    </w:p>
    <w:p w:rsidR="009605AB" w:rsidRDefault="009605AB">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6408"/>
      </w:tblGrid>
      <w:tr w:rsidR="009605AB" w:rsidRPr="009605AB" w:rsidTr="00620142">
        <w:trPr>
          <w:trHeight w:val="603"/>
        </w:trPr>
        <w:tc>
          <w:tcPr>
            <w:tcW w:w="3168" w:type="dxa"/>
            <w:tcBorders>
              <w:top w:val="thinThickSmallGap" w:sz="24" w:space="0" w:color="auto"/>
              <w:left w:val="thinThickSmallGap" w:sz="24" w:space="0" w:color="auto"/>
            </w:tcBorders>
            <w:vAlign w:val="center"/>
          </w:tcPr>
          <w:p w:rsidR="009605AB" w:rsidRPr="009605AB" w:rsidRDefault="009605AB" w:rsidP="00620142">
            <w:pPr>
              <w:pStyle w:val="Heading2"/>
              <w:jc w:val="left"/>
              <w:rPr>
                <w:sz w:val="24"/>
                <w:szCs w:val="24"/>
                <w:u w:val="none"/>
              </w:rPr>
            </w:pPr>
            <w:r w:rsidRPr="009605AB">
              <w:rPr>
                <w:sz w:val="24"/>
                <w:szCs w:val="24"/>
              </w:rPr>
              <w:lastRenderedPageBreak/>
              <w:t>Date</w:t>
            </w:r>
          </w:p>
        </w:tc>
        <w:tc>
          <w:tcPr>
            <w:tcW w:w="6408" w:type="dxa"/>
            <w:tcBorders>
              <w:top w:val="thinThickSmallGap" w:sz="24" w:space="0" w:color="auto"/>
              <w:right w:val="thickThinSmallGap" w:sz="24" w:space="0" w:color="auto"/>
            </w:tcBorders>
            <w:vAlign w:val="center"/>
          </w:tcPr>
          <w:p w:rsidR="009605AB" w:rsidRPr="009605AB" w:rsidRDefault="009605AB" w:rsidP="00620142">
            <w:pPr>
              <w:pStyle w:val="Heading2"/>
              <w:jc w:val="left"/>
              <w:rPr>
                <w:sz w:val="24"/>
                <w:szCs w:val="24"/>
                <w:u w:val="none"/>
              </w:rPr>
            </w:pPr>
            <w:r w:rsidRPr="009605AB">
              <w:rPr>
                <w:sz w:val="24"/>
                <w:szCs w:val="24"/>
              </w:rPr>
              <w:t>Event</w:t>
            </w:r>
          </w:p>
        </w:tc>
      </w:tr>
      <w:tr w:rsidR="009605AB" w:rsidRPr="009605AB" w:rsidTr="00620142">
        <w:trPr>
          <w:trHeight w:val="350"/>
        </w:trPr>
        <w:tc>
          <w:tcPr>
            <w:tcW w:w="3168" w:type="dxa"/>
            <w:tcBorders>
              <w:left w:val="thinThickSmallGap" w:sz="24" w:space="0" w:color="auto"/>
            </w:tcBorders>
            <w:vAlign w:val="center"/>
          </w:tcPr>
          <w:p w:rsidR="009605AB" w:rsidRPr="009605AB" w:rsidRDefault="009605AB" w:rsidP="00620142">
            <w:pPr>
              <w:spacing w:line="360" w:lineRule="auto"/>
              <w:rPr>
                <w:sz w:val="24"/>
                <w:szCs w:val="24"/>
              </w:rPr>
            </w:pPr>
            <w:r w:rsidRPr="009605AB">
              <w:rPr>
                <w:sz w:val="24"/>
                <w:szCs w:val="24"/>
              </w:rPr>
              <w:t>September 16, 2011</w:t>
            </w:r>
          </w:p>
        </w:tc>
        <w:tc>
          <w:tcPr>
            <w:tcW w:w="6408" w:type="dxa"/>
            <w:tcBorders>
              <w:right w:val="thickThinSmallGap" w:sz="24" w:space="0" w:color="auto"/>
            </w:tcBorders>
            <w:vAlign w:val="center"/>
          </w:tcPr>
          <w:p w:rsidR="009605AB" w:rsidRPr="009605AB" w:rsidRDefault="009605AB" w:rsidP="00620142">
            <w:pPr>
              <w:spacing w:line="360" w:lineRule="auto"/>
              <w:rPr>
                <w:sz w:val="24"/>
                <w:szCs w:val="24"/>
              </w:rPr>
            </w:pPr>
            <w:r w:rsidRPr="009605AB">
              <w:rPr>
                <w:sz w:val="24"/>
                <w:szCs w:val="24"/>
              </w:rPr>
              <w:t>Prehearing Conference</w:t>
            </w:r>
          </w:p>
        </w:tc>
      </w:tr>
      <w:tr w:rsidR="009605AB" w:rsidRPr="009605AB" w:rsidTr="00620142">
        <w:tc>
          <w:tcPr>
            <w:tcW w:w="3168" w:type="dxa"/>
            <w:tcBorders>
              <w:left w:val="thinThickSmallGap" w:sz="24" w:space="0" w:color="auto"/>
            </w:tcBorders>
            <w:vAlign w:val="center"/>
          </w:tcPr>
          <w:p w:rsidR="009605AB" w:rsidRPr="009605AB" w:rsidRDefault="009605AB" w:rsidP="00620142">
            <w:pPr>
              <w:spacing w:line="360" w:lineRule="auto"/>
              <w:rPr>
                <w:sz w:val="24"/>
                <w:szCs w:val="24"/>
              </w:rPr>
            </w:pPr>
            <w:r w:rsidRPr="009605AB">
              <w:rPr>
                <w:sz w:val="24"/>
                <w:szCs w:val="24"/>
              </w:rPr>
              <w:t>October 14, 2011</w:t>
            </w:r>
          </w:p>
        </w:tc>
        <w:tc>
          <w:tcPr>
            <w:tcW w:w="6408" w:type="dxa"/>
            <w:tcBorders>
              <w:right w:val="thickThinSmallGap" w:sz="24" w:space="0" w:color="auto"/>
            </w:tcBorders>
            <w:vAlign w:val="center"/>
          </w:tcPr>
          <w:p w:rsidR="009605AB" w:rsidRPr="009605AB" w:rsidRDefault="009605AB" w:rsidP="00620142">
            <w:pPr>
              <w:spacing w:line="360" w:lineRule="auto"/>
              <w:rPr>
                <w:sz w:val="24"/>
                <w:szCs w:val="24"/>
              </w:rPr>
            </w:pPr>
            <w:r w:rsidRPr="009605AB">
              <w:rPr>
                <w:sz w:val="24"/>
                <w:szCs w:val="24"/>
              </w:rPr>
              <w:t>End Mediation Period</w:t>
            </w:r>
          </w:p>
        </w:tc>
      </w:tr>
      <w:tr w:rsidR="009605AB" w:rsidRPr="009605AB" w:rsidTr="00620142">
        <w:tc>
          <w:tcPr>
            <w:tcW w:w="3168" w:type="dxa"/>
            <w:tcBorders>
              <w:left w:val="thinThickSmallGap" w:sz="24" w:space="0" w:color="auto"/>
            </w:tcBorders>
            <w:vAlign w:val="center"/>
          </w:tcPr>
          <w:p w:rsidR="009605AB" w:rsidRPr="009605AB" w:rsidRDefault="009605AB" w:rsidP="00620142">
            <w:pPr>
              <w:spacing w:line="360" w:lineRule="auto"/>
              <w:rPr>
                <w:sz w:val="24"/>
                <w:szCs w:val="24"/>
              </w:rPr>
            </w:pPr>
            <w:r w:rsidRPr="009605AB">
              <w:rPr>
                <w:sz w:val="24"/>
                <w:szCs w:val="24"/>
              </w:rPr>
              <w:t>October 21, 2011</w:t>
            </w:r>
          </w:p>
        </w:tc>
        <w:tc>
          <w:tcPr>
            <w:tcW w:w="6408" w:type="dxa"/>
            <w:tcBorders>
              <w:right w:val="thickThinSmallGap" w:sz="24" w:space="0" w:color="auto"/>
            </w:tcBorders>
            <w:vAlign w:val="center"/>
          </w:tcPr>
          <w:p w:rsidR="009605AB" w:rsidRPr="009605AB" w:rsidRDefault="009605AB" w:rsidP="00620142">
            <w:pPr>
              <w:spacing w:line="360" w:lineRule="auto"/>
              <w:rPr>
                <w:sz w:val="24"/>
                <w:szCs w:val="24"/>
                <w:u w:val="single"/>
              </w:rPr>
            </w:pPr>
            <w:r w:rsidRPr="009605AB">
              <w:rPr>
                <w:sz w:val="24"/>
                <w:szCs w:val="24"/>
              </w:rPr>
              <w:t xml:space="preserve">Corner Water Supply’s Written Direct Testimony Due </w:t>
            </w:r>
            <w:r w:rsidRPr="009605AB">
              <w:rPr>
                <w:sz w:val="24"/>
                <w:szCs w:val="24"/>
                <w:u w:val="single"/>
              </w:rPr>
              <w:t>In-Hand</w:t>
            </w:r>
          </w:p>
        </w:tc>
      </w:tr>
      <w:tr w:rsidR="009605AB" w:rsidRPr="009605AB" w:rsidTr="00620142">
        <w:tc>
          <w:tcPr>
            <w:tcW w:w="3168" w:type="dxa"/>
            <w:tcBorders>
              <w:left w:val="thinThickSmallGap" w:sz="24" w:space="0" w:color="auto"/>
            </w:tcBorders>
            <w:vAlign w:val="center"/>
          </w:tcPr>
          <w:p w:rsidR="009605AB" w:rsidRPr="009605AB" w:rsidRDefault="009605AB" w:rsidP="00620142">
            <w:pPr>
              <w:spacing w:line="360" w:lineRule="auto"/>
              <w:rPr>
                <w:sz w:val="24"/>
                <w:szCs w:val="24"/>
              </w:rPr>
            </w:pPr>
            <w:r w:rsidRPr="009605AB">
              <w:rPr>
                <w:sz w:val="24"/>
                <w:szCs w:val="24"/>
              </w:rPr>
              <w:t>November 4, 2011</w:t>
            </w:r>
          </w:p>
        </w:tc>
        <w:tc>
          <w:tcPr>
            <w:tcW w:w="6408" w:type="dxa"/>
            <w:tcBorders>
              <w:right w:val="thickThinSmallGap" w:sz="24" w:space="0" w:color="auto"/>
            </w:tcBorders>
            <w:vAlign w:val="center"/>
          </w:tcPr>
          <w:p w:rsidR="009605AB" w:rsidRPr="009605AB" w:rsidRDefault="009605AB" w:rsidP="00620142">
            <w:pPr>
              <w:spacing w:line="360" w:lineRule="auto"/>
              <w:rPr>
                <w:sz w:val="24"/>
                <w:szCs w:val="24"/>
                <w:u w:val="single"/>
              </w:rPr>
            </w:pPr>
            <w:r w:rsidRPr="009605AB">
              <w:rPr>
                <w:sz w:val="24"/>
                <w:szCs w:val="24"/>
              </w:rPr>
              <w:t xml:space="preserve">Written Direct Testimony of All Other Parties Due </w:t>
            </w:r>
            <w:r w:rsidRPr="009605AB">
              <w:rPr>
                <w:sz w:val="24"/>
                <w:szCs w:val="24"/>
                <w:u w:val="single"/>
              </w:rPr>
              <w:t>In-Hand</w:t>
            </w:r>
          </w:p>
        </w:tc>
      </w:tr>
      <w:tr w:rsidR="009605AB" w:rsidRPr="009605AB" w:rsidTr="00620142">
        <w:tc>
          <w:tcPr>
            <w:tcW w:w="3168" w:type="dxa"/>
            <w:tcBorders>
              <w:left w:val="thinThickSmallGap" w:sz="24" w:space="0" w:color="auto"/>
            </w:tcBorders>
          </w:tcPr>
          <w:p w:rsidR="009605AB" w:rsidRPr="009605AB" w:rsidRDefault="009605AB" w:rsidP="00620142">
            <w:pPr>
              <w:spacing w:line="360" w:lineRule="auto"/>
              <w:rPr>
                <w:sz w:val="24"/>
                <w:szCs w:val="24"/>
              </w:rPr>
            </w:pPr>
            <w:r w:rsidRPr="009605AB">
              <w:rPr>
                <w:sz w:val="24"/>
                <w:szCs w:val="24"/>
              </w:rPr>
              <w:t>November 18, 2011</w:t>
            </w:r>
          </w:p>
        </w:tc>
        <w:tc>
          <w:tcPr>
            <w:tcW w:w="6408" w:type="dxa"/>
            <w:tcBorders>
              <w:right w:val="thickThinSmallGap" w:sz="24" w:space="0" w:color="auto"/>
            </w:tcBorders>
            <w:vAlign w:val="center"/>
          </w:tcPr>
          <w:p w:rsidR="009605AB" w:rsidRPr="009605AB" w:rsidRDefault="009605AB" w:rsidP="00620142">
            <w:pPr>
              <w:rPr>
                <w:sz w:val="24"/>
                <w:szCs w:val="24"/>
              </w:rPr>
            </w:pPr>
            <w:r w:rsidRPr="009605AB">
              <w:rPr>
                <w:sz w:val="24"/>
                <w:szCs w:val="24"/>
              </w:rPr>
              <w:t xml:space="preserve">Corner Water Supply’s Written Rebuttal Testimony Due </w:t>
            </w:r>
            <w:r w:rsidRPr="009605AB">
              <w:rPr>
                <w:sz w:val="24"/>
                <w:szCs w:val="24"/>
                <w:u w:val="single"/>
              </w:rPr>
              <w:t>In-Hand</w:t>
            </w:r>
          </w:p>
        </w:tc>
      </w:tr>
      <w:tr w:rsidR="009605AB" w:rsidRPr="009605AB" w:rsidTr="00620142">
        <w:tc>
          <w:tcPr>
            <w:tcW w:w="3168" w:type="dxa"/>
            <w:tcBorders>
              <w:left w:val="thinThickSmallGap" w:sz="24" w:space="0" w:color="auto"/>
            </w:tcBorders>
            <w:vAlign w:val="center"/>
          </w:tcPr>
          <w:p w:rsidR="009605AB" w:rsidRPr="009605AB" w:rsidRDefault="009605AB" w:rsidP="00620142">
            <w:pPr>
              <w:spacing w:line="360" w:lineRule="auto"/>
              <w:rPr>
                <w:sz w:val="24"/>
                <w:szCs w:val="24"/>
              </w:rPr>
            </w:pPr>
            <w:r w:rsidRPr="009605AB">
              <w:rPr>
                <w:sz w:val="24"/>
                <w:szCs w:val="24"/>
              </w:rPr>
              <w:t>December 2, 2011</w:t>
            </w:r>
          </w:p>
        </w:tc>
        <w:tc>
          <w:tcPr>
            <w:tcW w:w="6408" w:type="dxa"/>
            <w:tcBorders>
              <w:right w:val="thickThinSmallGap" w:sz="24" w:space="0" w:color="auto"/>
            </w:tcBorders>
            <w:vAlign w:val="center"/>
          </w:tcPr>
          <w:p w:rsidR="009605AB" w:rsidRPr="009605AB" w:rsidRDefault="009605AB" w:rsidP="00620142">
            <w:pPr>
              <w:spacing w:line="360" w:lineRule="auto"/>
              <w:rPr>
                <w:sz w:val="24"/>
                <w:szCs w:val="24"/>
              </w:rPr>
            </w:pPr>
            <w:r w:rsidRPr="009605AB">
              <w:rPr>
                <w:sz w:val="24"/>
                <w:szCs w:val="24"/>
              </w:rPr>
              <w:t xml:space="preserve">Other Parties’ Written Surrebuttal Testimony Due </w:t>
            </w:r>
            <w:r w:rsidRPr="009605AB">
              <w:rPr>
                <w:sz w:val="24"/>
                <w:szCs w:val="24"/>
                <w:u w:val="single"/>
              </w:rPr>
              <w:t>In-Hand</w:t>
            </w:r>
          </w:p>
        </w:tc>
      </w:tr>
      <w:tr w:rsidR="009605AB" w:rsidRPr="009605AB" w:rsidTr="00620142">
        <w:tc>
          <w:tcPr>
            <w:tcW w:w="3168" w:type="dxa"/>
            <w:tcBorders>
              <w:left w:val="thinThickSmallGap" w:sz="24" w:space="0" w:color="auto"/>
            </w:tcBorders>
            <w:vAlign w:val="center"/>
          </w:tcPr>
          <w:p w:rsidR="009605AB" w:rsidRPr="009605AB" w:rsidRDefault="009605AB" w:rsidP="00620142">
            <w:pPr>
              <w:spacing w:line="360" w:lineRule="auto"/>
              <w:rPr>
                <w:sz w:val="24"/>
                <w:szCs w:val="24"/>
              </w:rPr>
            </w:pPr>
            <w:r w:rsidRPr="009605AB">
              <w:rPr>
                <w:sz w:val="24"/>
                <w:szCs w:val="24"/>
              </w:rPr>
              <w:t>December 19, 2011</w:t>
            </w:r>
          </w:p>
        </w:tc>
        <w:tc>
          <w:tcPr>
            <w:tcW w:w="6408" w:type="dxa"/>
            <w:tcBorders>
              <w:right w:val="thickThinSmallGap" w:sz="24" w:space="0" w:color="auto"/>
            </w:tcBorders>
            <w:vAlign w:val="center"/>
          </w:tcPr>
          <w:p w:rsidR="009605AB" w:rsidRPr="009605AB" w:rsidRDefault="009605AB" w:rsidP="00620142">
            <w:pPr>
              <w:spacing w:line="360" w:lineRule="auto"/>
              <w:rPr>
                <w:sz w:val="24"/>
                <w:szCs w:val="24"/>
                <w:u w:val="single"/>
              </w:rPr>
            </w:pPr>
            <w:r w:rsidRPr="009605AB">
              <w:rPr>
                <w:sz w:val="24"/>
                <w:szCs w:val="24"/>
              </w:rPr>
              <w:t xml:space="preserve">Corner Water Supply’s Written Rejoinder Outline Due </w:t>
            </w:r>
            <w:r w:rsidRPr="009605AB">
              <w:rPr>
                <w:sz w:val="24"/>
                <w:szCs w:val="24"/>
                <w:u w:val="single"/>
              </w:rPr>
              <w:t>In-Hand</w:t>
            </w:r>
          </w:p>
        </w:tc>
      </w:tr>
      <w:tr w:rsidR="009605AB" w:rsidRPr="009605AB" w:rsidTr="00620142">
        <w:tc>
          <w:tcPr>
            <w:tcW w:w="3168" w:type="dxa"/>
            <w:tcBorders>
              <w:left w:val="thinThickSmallGap" w:sz="24" w:space="0" w:color="auto"/>
            </w:tcBorders>
            <w:vAlign w:val="center"/>
          </w:tcPr>
          <w:p w:rsidR="009605AB" w:rsidRPr="009605AB" w:rsidRDefault="009605AB" w:rsidP="00620142">
            <w:pPr>
              <w:rPr>
                <w:sz w:val="24"/>
                <w:szCs w:val="24"/>
              </w:rPr>
            </w:pPr>
            <w:r w:rsidRPr="009605AB">
              <w:rPr>
                <w:sz w:val="24"/>
                <w:szCs w:val="24"/>
              </w:rPr>
              <w:t>December 20-22, 2011</w:t>
            </w:r>
          </w:p>
        </w:tc>
        <w:tc>
          <w:tcPr>
            <w:tcW w:w="6408" w:type="dxa"/>
            <w:tcBorders>
              <w:right w:val="thickThinSmallGap" w:sz="24" w:space="0" w:color="auto"/>
            </w:tcBorders>
            <w:vAlign w:val="center"/>
          </w:tcPr>
          <w:p w:rsidR="009605AB" w:rsidRPr="009605AB" w:rsidRDefault="009605AB" w:rsidP="00620142">
            <w:pPr>
              <w:spacing w:line="360" w:lineRule="auto"/>
              <w:rPr>
                <w:sz w:val="24"/>
                <w:szCs w:val="24"/>
              </w:rPr>
            </w:pPr>
            <w:r w:rsidRPr="009605AB">
              <w:rPr>
                <w:sz w:val="24"/>
                <w:szCs w:val="24"/>
              </w:rPr>
              <w:t>Technical Evidentiary Hearings in Harrisburg</w:t>
            </w:r>
          </w:p>
        </w:tc>
      </w:tr>
      <w:tr w:rsidR="009605AB" w:rsidRPr="009605AB" w:rsidTr="00620142">
        <w:tc>
          <w:tcPr>
            <w:tcW w:w="3168" w:type="dxa"/>
            <w:tcBorders>
              <w:left w:val="thinThickSmallGap" w:sz="24" w:space="0" w:color="auto"/>
            </w:tcBorders>
            <w:vAlign w:val="center"/>
          </w:tcPr>
          <w:p w:rsidR="009605AB" w:rsidRPr="009605AB" w:rsidRDefault="009605AB" w:rsidP="00620142">
            <w:pPr>
              <w:spacing w:line="360" w:lineRule="auto"/>
              <w:rPr>
                <w:sz w:val="24"/>
                <w:szCs w:val="24"/>
              </w:rPr>
            </w:pPr>
            <w:r w:rsidRPr="009605AB">
              <w:rPr>
                <w:sz w:val="24"/>
                <w:szCs w:val="24"/>
              </w:rPr>
              <w:t>January 6, 2012</w:t>
            </w:r>
          </w:p>
        </w:tc>
        <w:tc>
          <w:tcPr>
            <w:tcW w:w="6408" w:type="dxa"/>
            <w:tcBorders>
              <w:right w:val="thickThinSmallGap" w:sz="24" w:space="0" w:color="auto"/>
            </w:tcBorders>
            <w:vAlign w:val="center"/>
          </w:tcPr>
          <w:p w:rsidR="009605AB" w:rsidRPr="009605AB" w:rsidRDefault="009605AB" w:rsidP="00620142">
            <w:pPr>
              <w:spacing w:line="360" w:lineRule="auto"/>
              <w:rPr>
                <w:sz w:val="24"/>
                <w:szCs w:val="24"/>
              </w:rPr>
            </w:pPr>
            <w:r w:rsidRPr="009605AB">
              <w:rPr>
                <w:sz w:val="24"/>
                <w:szCs w:val="24"/>
              </w:rPr>
              <w:t xml:space="preserve">Main Briefs Due </w:t>
            </w:r>
            <w:r w:rsidRPr="009605AB">
              <w:rPr>
                <w:sz w:val="24"/>
                <w:szCs w:val="24"/>
                <w:u w:val="single"/>
              </w:rPr>
              <w:t>In-Hand</w:t>
            </w:r>
          </w:p>
        </w:tc>
      </w:tr>
      <w:tr w:rsidR="009605AB" w:rsidRPr="009605AB" w:rsidTr="00620142">
        <w:tc>
          <w:tcPr>
            <w:tcW w:w="3168" w:type="dxa"/>
            <w:tcBorders>
              <w:left w:val="thinThickSmallGap" w:sz="24" w:space="0" w:color="auto"/>
            </w:tcBorders>
          </w:tcPr>
          <w:p w:rsidR="009605AB" w:rsidRPr="009605AB" w:rsidRDefault="009605AB" w:rsidP="00620142">
            <w:pPr>
              <w:spacing w:line="360" w:lineRule="auto"/>
              <w:rPr>
                <w:sz w:val="24"/>
                <w:szCs w:val="24"/>
              </w:rPr>
            </w:pPr>
            <w:r w:rsidRPr="009605AB">
              <w:rPr>
                <w:sz w:val="24"/>
                <w:szCs w:val="24"/>
              </w:rPr>
              <w:t>January 20, 2012</w:t>
            </w:r>
          </w:p>
        </w:tc>
        <w:tc>
          <w:tcPr>
            <w:tcW w:w="6408" w:type="dxa"/>
            <w:tcBorders>
              <w:right w:val="thickThinSmallGap" w:sz="24" w:space="0" w:color="auto"/>
            </w:tcBorders>
          </w:tcPr>
          <w:p w:rsidR="009605AB" w:rsidRPr="009605AB" w:rsidRDefault="009605AB" w:rsidP="00620142">
            <w:pPr>
              <w:rPr>
                <w:sz w:val="24"/>
                <w:szCs w:val="24"/>
              </w:rPr>
            </w:pPr>
            <w:r w:rsidRPr="009605AB">
              <w:rPr>
                <w:sz w:val="24"/>
                <w:szCs w:val="24"/>
              </w:rPr>
              <w:t xml:space="preserve">Reply Briefs Due </w:t>
            </w:r>
            <w:r w:rsidRPr="009605AB">
              <w:rPr>
                <w:sz w:val="24"/>
                <w:szCs w:val="24"/>
                <w:u w:val="single"/>
              </w:rPr>
              <w:t>In-Hand</w:t>
            </w:r>
            <w:r w:rsidRPr="009605AB">
              <w:rPr>
                <w:sz w:val="24"/>
                <w:szCs w:val="24"/>
              </w:rPr>
              <w:t xml:space="preserve"> by 4:00 p.m. or Submission of finalized Joint Settlement Petition Executed By Representatives of All Parties, Together With All Parties’ Statements In Support of Settlement</w:t>
            </w:r>
          </w:p>
        </w:tc>
      </w:tr>
      <w:tr w:rsidR="009605AB" w:rsidRPr="009605AB" w:rsidTr="00620142">
        <w:tc>
          <w:tcPr>
            <w:tcW w:w="3168" w:type="dxa"/>
            <w:tcBorders>
              <w:left w:val="thinThickSmallGap" w:sz="24" w:space="0" w:color="auto"/>
              <w:bottom w:val="thickThinSmallGap" w:sz="24" w:space="0" w:color="auto"/>
            </w:tcBorders>
            <w:vAlign w:val="center"/>
          </w:tcPr>
          <w:p w:rsidR="009605AB" w:rsidRPr="009605AB" w:rsidRDefault="009605AB" w:rsidP="00620142">
            <w:pPr>
              <w:spacing w:line="360" w:lineRule="auto"/>
              <w:rPr>
                <w:sz w:val="24"/>
                <w:szCs w:val="24"/>
              </w:rPr>
            </w:pPr>
            <w:r w:rsidRPr="009605AB">
              <w:rPr>
                <w:sz w:val="24"/>
                <w:szCs w:val="24"/>
              </w:rPr>
              <w:t>May 1, 2012</w:t>
            </w:r>
          </w:p>
        </w:tc>
        <w:tc>
          <w:tcPr>
            <w:tcW w:w="6408" w:type="dxa"/>
            <w:tcBorders>
              <w:bottom w:val="thickThinSmallGap" w:sz="24" w:space="0" w:color="auto"/>
              <w:right w:val="thickThinSmallGap" w:sz="24" w:space="0" w:color="auto"/>
            </w:tcBorders>
            <w:vAlign w:val="center"/>
          </w:tcPr>
          <w:p w:rsidR="009605AB" w:rsidRPr="009605AB" w:rsidRDefault="009605AB" w:rsidP="00620142">
            <w:pPr>
              <w:rPr>
                <w:sz w:val="24"/>
                <w:szCs w:val="24"/>
              </w:rPr>
            </w:pPr>
            <w:r w:rsidRPr="009605AB">
              <w:rPr>
                <w:sz w:val="24"/>
                <w:szCs w:val="24"/>
              </w:rPr>
              <w:t>Suspension Date</w:t>
            </w:r>
          </w:p>
        </w:tc>
      </w:tr>
    </w:tbl>
    <w:p w:rsidR="009605AB" w:rsidRPr="009605AB" w:rsidRDefault="009605AB" w:rsidP="009605AB">
      <w:pPr>
        <w:spacing w:line="360" w:lineRule="auto"/>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 xml:space="preserve">The parties are reminded of the Commission’s requirements for the preparation and filing of written testimony.  </w:t>
      </w:r>
      <w:proofErr w:type="gramStart"/>
      <w:r w:rsidRPr="009605AB">
        <w:rPr>
          <w:sz w:val="24"/>
          <w:szCs w:val="24"/>
        </w:rPr>
        <w:t>52 Pa. Code §</w:t>
      </w:r>
      <w:r w:rsidR="00713E43">
        <w:rPr>
          <w:sz w:val="24"/>
          <w:szCs w:val="24"/>
        </w:rPr>
        <w:t xml:space="preserve"> </w:t>
      </w:r>
      <w:r w:rsidRPr="009605AB">
        <w:rPr>
          <w:sz w:val="24"/>
          <w:szCs w:val="24"/>
        </w:rPr>
        <w:t>5.412.</w:t>
      </w:r>
      <w:proofErr w:type="gramEnd"/>
      <w:r w:rsidRPr="009605AB">
        <w:rPr>
          <w:sz w:val="24"/>
          <w:szCs w:val="24"/>
        </w:rPr>
        <w:t xml:space="preserve">  Written testimony must be accompanied by all exhibits to which it relates.  The above-stated dates are </w:t>
      </w:r>
      <w:r w:rsidRPr="009605AB">
        <w:rPr>
          <w:sz w:val="24"/>
          <w:szCs w:val="24"/>
          <w:u w:val="single"/>
        </w:rPr>
        <w:t>in-hand</w:t>
      </w:r>
      <w:r w:rsidRPr="009605AB">
        <w:rPr>
          <w:sz w:val="24"/>
          <w:szCs w:val="24"/>
        </w:rPr>
        <w:t xml:space="preserve"> dates for service on the parties and the ALJ.  </w:t>
      </w:r>
    </w:p>
    <w:p w:rsidR="009605AB" w:rsidRPr="009605AB" w:rsidRDefault="009605AB" w:rsidP="009605AB">
      <w:pPr>
        <w:spacing w:line="360" w:lineRule="auto"/>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 xml:space="preserve">The parties and the ALJ agree to accept email transmission of such material, so long as the subject email is received by 4:00 p.m. on the date due and provided the email is followed the next business day by sending a hard copy of the same material via first-class mail postage prepaid to the parties.  The email address of the ALJ is:  </w:t>
      </w:r>
      <w:hyperlink r:id="rId8" w:history="1">
        <w:r w:rsidRPr="00215A09">
          <w:rPr>
            <w:rStyle w:val="Hyperlink"/>
            <w:color w:val="auto"/>
            <w:sz w:val="24"/>
            <w:szCs w:val="24"/>
          </w:rPr>
          <w:t>cojohnson@pa.gov</w:t>
        </w:r>
      </w:hyperlink>
      <w:r w:rsidRPr="00215A09">
        <w:rPr>
          <w:sz w:val="24"/>
          <w:szCs w:val="24"/>
        </w:rPr>
        <w:t xml:space="preserve">. </w:t>
      </w:r>
      <w:r w:rsidRPr="009605AB">
        <w:rPr>
          <w:sz w:val="24"/>
          <w:szCs w:val="24"/>
        </w:rPr>
        <w:t xml:space="preserve"> </w:t>
      </w:r>
    </w:p>
    <w:p w:rsidR="009605AB" w:rsidRPr="009605AB" w:rsidRDefault="009605AB" w:rsidP="009605AB">
      <w:pPr>
        <w:spacing w:line="360" w:lineRule="auto"/>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Additionally with respect to documents electronically served on the ALJ in this case the parties are to serve such documents in Microsoft Word format.  The ALJ will not accept facsimile transmissions greater than ten pages in length without prior authorization.  If in doubt, please call his office (412</w:t>
      </w:r>
      <w:r w:rsidRPr="009605AB">
        <w:rPr>
          <w:sz w:val="24"/>
          <w:szCs w:val="24"/>
        </w:rPr>
        <w:noBreakHyphen/>
        <w:t>565-3550).</w:t>
      </w:r>
    </w:p>
    <w:p w:rsidR="009605AB" w:rsidRPr="009605AB" w:rsidRDefault="009605AB" w:rsidP="009605AB">
      <w:pPr>
        <w:spacing w:line="360" w:lineRule="auto"/>
        <w:rPr>
          <w:sz w:val="24"/>
          <w:szCs w:val="24"/>
        </w:rPr>
      </w:pPr>
    </w:p>
    <w:p w:rsidR="009605AB" w:rsidRPr="009605AB" w:rsidRDefault="009605AB" w:rsidP="009605AB">
      <w:pPr>
        <w:spacing w:line="360" w:lineRule="auto"/>
        <w:rPr>
          <w:sz w:val="24"/>
          <w:szCs w:val="24"/>
        </w:rPr>
      </w:pPr>
      <w:r w:rsidRPr="009605AB">
        <w:rPr>
          <w:sz w:val="24"/>
          <w:szCs w:val="24"/>
        </w:rPr>
        <w:lastRenderedPageBreak/>
        <w:tab/>
      </w:r>
      <w:r w:rsidR="00215A09">
        <w:rPr>
          <w:sz w:val="24"/>
          <w:szCs w:val="24"/>
        </w:rPr>
        <w:tab/>
      </w:r>
      <w:r w:rsidRPr="009605AB">
        <w:rPr>
          <w:sz w:val="24"/>
          <w:szCs w:val="24"/>
        </w:rPr>
        <w:t xml:space="preserve">Hearings scheduled for Harrisburg will begin promptly at </w:t>
      </w:r>
      <w:r w:rsidRPr="009605AB">
        <w:rPr>
          <w:b/>
          <w:sz w:val="24"/>
          <w:szCs w:val="24"/>
          <w:u w:val="single"/>
        </w:rPr>
        <w:t>10:00 a.m. each day</w:t>
      </w:r>
      <w:r w:rsidRPr="009605AB">
        <w:rPr>
          <w:sz w:val="24"/>
          <w:szCs w:val="24"/>
        </w:rPr>
        <w:t>.</w:t>
      </w:r>
      <w:r w:rsidR="00215A09">
        <w:rPr>
          <w:sz w:val="24"/>
          <w:szCs w:val="24"/>
        </w:rPr>
        <w:t xml:space="preserve"> </w:t>
      </w:r>
      <w:r w:rsidRPr="009605AB">
        <w:rPr>
          <w:sz w:val="24"/>
          <w:szCs w:val="24"/>
        </w:rPr>
        <w:t xml:space="preserve"> The</w:t>
      </w:r>
      <w:r w:rsidR="00215A09">
        <w:rPr>
          <w:sz w:val="24"/>
          <w:szCs w:val="24"/>
        </w:rPr>
        <w:t xml:space="preserve"> </w:t>
      </w:r>
      <w:r w:rsidRPr="009605AB">
        <w:rPr>
          <w:sz w:val="24"/>
          <w:szCs w:val="24"/>
        </w:rPr>
        <w:t xml:space="preserve">parties must confer before commencement of the hearings to schedule their witnesses so as to avoid “holes” or “dead time” during the hearings.    </w:t>
      </w:r>
    </w:p>
    <w:p w:rsidR="009605AB" w:rsidRPr="009605AB" w:rsidRDefault="009605AB" w:rsidP="009605AB">
      <w:pPr>
        <w:spacing w:line="360" w:lineRule="auto"/>
        <w:rPr>
          <w:sz w:val="24"/>
          <w:szCs w:val="24"/>
        </w:rPr>
      </w:pPr>
    </w:p>
    <w:p w:rsidR="009605AB" w:rsidRPr="009605AB" w:rsidRDefault="009605AB" w:rsidP="009605AB">
      <w:pPr>
        <w:spacing w:line="360" w:lineRule="auto"/>
        <w:jc w:val="center"/>
        <w:rPr>
          <w:sz w:val="24"/>
          <w:szCs w:val="24"/>
        </w:rPr>
      </w:pPr>
      <w:r w:rsidRPr="009605AB">
        <w:rPr>
          <w:b/>
          <w:sz w:val="24"/>
          <w:szCs w:val="24"/>
          <w:u w:val="single"/>
        </w:rPr>
        <w:t>Parties</w:t>
      </w:r>
    </w:p>
    <w:p w:rsidR="009605AB" w:rsidRPr="009605AB" w:rsidRDefault="009605AB" w:rsidP="009605AB">
      <w:pPr>
        <w:spacing w:line="360" w:lineRule="auto"/>
        <w:jc w:val="center"/>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 xml:space="preserve">Corner Water Supply and Service Corporation, the Commission’s Bureau of Investigation and Enforcement (BIE) and Joint Complainants, Dr. Pierre Fortis and Ms. Marie-José Fortis, </w:t>
      </w:r>
      <w:r w:rsidRPr="009605AB">
        <w:rPr>
          <w:i/>
          <w:sz w:val="24"/>
          <w:szCs w:val="24"/>
        </w:rPr>
        <w:t>pro se,</w:t>
      </w:r>
      <w:r w:rsidRPr="009605AB">
        <w:rPr>
          <w:sz w:val="24"/>
          <w:szCs w:val="24"/>
        </w:rPr>
        <w:t xml:space="preserve"> are parties to this proceeding.  Counsel for BIE is responsible to keep the presiding officer informed as to the existence of any complaints filed by individuals concerning this proceeding.  If appropriate a separate notice will be sent to that individual, and any other individual who may have filed a formal complaint, explaining the options for participation in this case.</w:t>
      </w:r>
    </w:p>
    <w:p w:rsidR="009605AB" w:rsidRPr="009605AB" w:rsidRDefault="009605AB" w:rsidP="009605AB">
      <w:pPr>
        <w:spacing w:line="360" w:lineRule="auto"/>
        <w:rPr>
          <w:sz w:val="24"/>
          <w:szCs w:val="24"/>
        </w:rPr>
      </w:pPr>
    </w:p>
    <w:p w:rsidR="009605AB" w:rsidRPr="009605AB" w:rsidRDefault="009605AB" w:rsidP="009605AB">
      <w:pPr>
        <w:spacing w:line="360" w:lineRule="auto"/>
        <w:jc w:val="center"/>
        <w:rPr>
          <w:sz w:val="24"/>
          <w:szCs w:val="24"/>
        </w:rPr>
      </w:pPr>
      <w:r w:rsidRPr="009605AB">
        <w:rPr>
          <w:b/>
          <w:sz w:val="24"/>
          <w:szCs w:val="24"/>
          <w:u w:val="single"/>
        </w:rPr>
        <w:t>Extension of the Suspension Date</w:t>
      </w:r>
    </w:p>
    <w:p w:rsidR="009605AB" w:rsidRPr="009605AB" w:rsidRDefault="009605AB" w:rsidP="009605AB">
      <w:pPr>
        <w:spacing w:line="360" w:lineRule="auto"/>
        <w:rPr>
          <w:sz w:val="24"/>
          <w:szCs w:val="24"/>
        </w:rPr>
      </w:pPr>
    </w:p>
    <w:p w:rsidR="009605AB" w:rsidRPr="009605AB" w:rsidRDefault="009605AB" w:rsidP="009605AB">
      <w:pPr>
        <w:spacing w:line="360" w:lineRule="auto"/>
        <w:ind w:firstLine="1440"/>
        <w:rPr>
          <w:sz w:val="24"/>
          <w:szCs w:val="24"/>
        </w:rPr>
      </w:pPr>
      <w:r w:rsidRPr="009605AB">
        <w:rPr>
          <w:sz w:val="24"/>
          <w:szCs w:val="24"/>
        </w:rPr>
        <w:t>In accordance wi</w:t>
      </w:r>
      <w:r w:rsidR="00713E43">
        <w:rPr>
          <w:sz w:val="24"/>
          <w:szCs w:val="24"/>
        </w:rPr>
        <w:t>th 52 Pa. Code § 69.393(d)(2), c</w:t>
      </w:r>
      <w:r w:rsidRPr="009605AB">
        <w:rPr>
          <w:sz w:val="24"/>
          <w:szCs w:val="24"/>
        </w:rPr>
        <w:t>ounsel for Corner Water Supply shall file a supplement to the tariff which further extends the March 1, 2012 suspension date to May 1, 2012.</w:t>
      </w:r>
    </w:p>
    <w:p w:rsidR="009605AB" w:rsidRPr="009605AB" w:rsidRDefault="009605AB" w:rsidP="009605AB">
      <w:pPr>
        <w:spacing w:line="360" w:lineRule="auto"/>
        <w:rPr>
          <w:sz w:val="24"/>
          <w:szCs w:val="24"/>
        </w:rPr>
      </w:pPr>
      <w:r w:rsidRPr="009605AB">
        <w:rPr>
          <w:sz w:val="24"/>
          <w:szCs w:val="24"/>
        </w:rPr>
        <w:tab/>
      </w:r>
      <w:r w:rsidRPr="009605AB">
        <w:rPr>
          <w:sz w:val="24"/>
          <w:szCs w:val="24"/>
        </w:rPr>
        <w:tab/>
      </w:r>
    </w:p>
    <w:p w:rsidR="009605AB" w:rsidRPr="009605AB" w:rsidRDefault="009605AB" w:rsidP="009605AB">
      <w:pPr>
        <w:pStyle w:val="Heading2"/>
        <w:jc w:val="center"/>
        <w:rPr>
          <w:sz w:val="24"/>
          <w:szCs w:val="24"/>
        </w:rPr>
      </w:pPr>
      <w:r w:rsidRPr="009605AB">
        <w:rPr>
          <w:sz w:val="24"/>
          <w:szCs w:val="24"/>
        </w:rPr>
        <w:t>Issues</w:t>
      </w:r>
    </w:p>
    <w:p w:rsidR="009605AB" w:rsidRPr="009605AB" w:rsidRDefault="009605AB" w:rsidP="009605AB">
      <w:pPr>
        <w:spacing w:line="360" w:lineRule="auto"/>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9605AB" w:rsidRPr="009605AB" w:rsidRDefault="009605AB" w:rsidP="009605AB">
      <w:pPr>
        <w:spacing w:line="360" w:lineRule="auto"/>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In addition to these issues, the Commission, in its July 28, 2011 Order suspending this tariff filing, identified the following issue for the parties and the ALJ to address in this proceeding:  Are the rates, rules, and regulations contained in the proposed Supplement No. 59 to Tariff Water – Pa. P</w:t>
      </w:r>
      <w:r w:rsidR="00713E43">
        <w:rPr>
          <w:sz w:val="24"/>
          <w:szCs w:val="24"/>
        </w:rPr>
        <w:t>.</w:t>
      </w:r>
      <w:r w:rsidRPr="009605AB">
        <w:rPr>
          <w:sz w:val="24"/>
          <w:szCs w:val="24"/>
        </w:rPr>
        <w:t>U</w:t>
      </w:r>
      <w:r w:rsidR="00713E43">
        <w:rPr>
          <w:sz w:val="24"/>
          <w:szCs w:val="24"/>
        </w:rPr>
        <w:t>.</w:t>
      </w:r>
      <w:r w:rsidRPr="009605AB">
        <w:rPr>
          <w:sz w:val="24"/>
          <w:szCs w:val="24"/>
        </w:rPr>
        <w:t>C</w:t>
      </w:r>
      <w:r w:rsidR="00713E43">
        <w:rPr>
          <w:sz w:val="24"/>
          <w:szCs w:val="24"/>
        </w:rPr>
        <w:t>.</w:t>
      </w:r>
      <w:r w:rsidRPr="009605AB">
        <w:rPr>
          <w:sz w:val="24"/>
          <w:szCs w:val="24"/>
        </w:rPr>
        <w:t xml:space="preserve"> No. 1 lawful, just, reasonable, and in the public interest?</w:t>
      </w:r>
    </w:p>
    <w:p w:rsidR="009605AB" w:rsidRPr="009605AB" w:rsidRDefault="009605AB" w:rsidP="009605AB">
      <w:pPr>
        <w:spacing w:line="360" w:lineRule="auto"/>
        <w:rPr>
          <w:sz w:val="24"/>
          <w:szCs w:val="24"/>
        </w:rPr>
      </w:pPr>
    </w:p>
    <w:p w:rsidR="009605AB" w:rsidRPr="009605AB" w:rsidRDefault="009605AB" w:rsidP="009605AB">
      <w:pPr>
        <w:pStyle w:val="Heading2"/>
        <w:jc w:val="center"/>
        <w:rPr>
          <w:sz w:val="24"/>
          <w:szCs w:val="24"/>
        </w:rPr>
      </w:pPr>
      <w:r w:rsidRPr="009605AB">
        <w:rPr>
          <w:sz w:val="24"/>
          <w:szCs w:val="24"/>
        </w:rPr>
        <w:lastRenderedPageBreak/>
        <w:t>Discovery</w:t>
      </w:r>
    </w:p>
    <w:p w:rsidR="009605AB" w:rsidRPr="009605AB" w:rsidRDefault="009605AB" w:rsidP="009605AB">
      <w:pPr>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 xml:space="preserve">The parties shall engage in informal discovery whenever and wherever possible in an attempt to resolve any discovery disputes amicably.  </w:t>
      </w:r>
      <w:proofErr w:type="gramStart"/>
      <w:r w:rsidRPr="009605AB">
        <w:rPr>
          <w:sz w:val="24"/>
          <w:szCs w:val="24"/>
        </w:rPr>
        <w:t>52 Pa. Code §</w:t>
      </w:r>
      <w:r w:rsidR="00713E43">
        <w:rPr>
          <w:sz w:val="24"/>
          <w:szCs w:val="24"/>
        </w:rPr>
        <w:t xml:space="preserve"> </w:t>
      </w:r>
      <w:r w:rsidRPr="009605AB">
        <w:rPr>
          <w:sz w:val="24"/>
          <w:szCs w:val="24"/>
        </w:rPr>
        <w:t>5.322.</w:t>
      </w:r>
      <w:proofErr w:type="gramEnd"/>
      <w:r w:rsidRPr="009605AB">
        <w:rPr>
          <w:sz w:val="24"/>
          <w:szCs w:val="24"/>
        </w:rPr>
        <w:t xml:space="preserve">  If this process fails, the parties have recourse to the Commission’s procedures for formal discovery, as herein modified.  </w:t>
      </w:r>
      <w:proofErr w:type="gramStart"/>
      <w:r w:rsidRPr="009605AB">
        <w:rPr>
          <w:sz w:val="24"/>
          <w:szCs w:val="24"/>
        </w:rPr>
        <w:t>52 Pa. Code §§</w:t>
      </w:r>
      <w:r w:rsidR="00713E43">
        <w:rPr>
          <w:sz w:val="24"/>
          <w:szCs w:val="24"/>
        </w:rPr>
        <w:t xml:space="preserve"> </w:t>
      </w:r>
      <w:r w:rsidRPr="009605AB">
        <w:rPr>
          <w:sz w:val="24"/>
          <w:szCs w:val="24"/>
        </w:rPr>
        <w:t xml:space="preserve">5.321, </w:t>
      </w:r>
      <w:r w:rsidRPr="009605AB">
        <w:rPr>
          <w:i/>
          <w:sz w:val="24"/>
          <w:szCs w:val="24"/>
        </w:rPr>
        <w:t>et</w:t>
      </w:r>
      <w:r w:rsidRPr="009605AB">
        <w:rPr>
          <w:sz w:val="24"/>
          <w:szCs w:val="24"/>
        </w:rPr>
        <w:t xml:space="preserve"> </w:t>
      </w:r>
      <w:r w:rsidRPr="009605AB">
        <w:rPr>
          <w:i/>
          <w:sz w:val="24"/>
          <w:szCs w:val="24"/>
        </w:rPr>
        <w:t>seq</w:t>
      </w:r>
      <w:r w:rsidRPr="009605AB">
        <w:rPr>
          <w:sz w:val="24"/>
          <w:szCs w:val="24"/>
        </w:rPr>
        <w:t>.</w:t>
      </w:r>
      <w:proofErr w:type="gramEnd"/>
      <w:r w:rsidRPr="009605AB">
        <w:rPr>
          <w:sz w:val="24"/>
          <w:szCs w:val="24"/>
        </w:rPr>
        <w:t xml:space="preserve">  The parties must not send the ALJ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ALJ will contact the parties and direct them to pursue informal discovery.</w:t>
      </w:r>
    </w:p>
    <w:p w:rsidR="009605AB" w:rsidRPr="009605AB" w:rsidRDefault="009605AB" w:rsidP="009605AB">
      <w:pPr>
        <w:spacing w:line="360" w:lineRule="auto"/>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 xml:space="preserve">At the prehearing conference, the parties did not request modification of the Commission’s procedures for formal discovery. </w:t>
      </w:r>
      <w:r w:rsidR="00AF2E3A">
        <w:rPr>
          <w:sz w:val="24"/>
          <w:szCs w:val="24"/>
        </w:rPr>
        <w:t xml:space="preserve"> </w:t>
      </w:r>
      <w:r w:rsidRPr="009605AB">
        <w:rPr>
          <w:sz w:val="24"/>
          <w:szCs w:val="24"/>
        </w:rPr>
        <w:t>However</w:t>
      </w:r>
      <w:r w:rsidR="00713E43">
        <w:rPr>
          <w:sz w:val="24"/>
          <w:szCs w:val="24"/>
        </w:rPr>
        <w:t>,</w:t>
      </w:r>
      <w:r w:rsidRPr="009605AB">
        <w:rPr>
          <w:sz w:val="24"/>
          <w:szCs w:val="24"/>
        </w:rPr>
        <w:t xml:space="preserve"> the parties are hereby directed to notify the ALJ in writing if a requested modification becomes appropriate, but only if all informal attempts to resolve the discovery dispute fail.  The mediation, to which the parties agreed to participate, does not suspend the Commission’s interrogatory response rules, and the parties are directed to comply with all reasonable discovery requests.</w:t>
      </w:r>
    </w:p>
    <w:p w:rsidR="009605AB" w:rsidRPr="009605AB" w:rsidRDefault="009605AB" w:rsidP="009605AB">
      <w:pPr>
        <w:spacing w:line="360" w:lineRule="auto"/>
        <w:rPr>
          <w:sz w:val="24"/>
          <w:szCs w:val="24"/>
        </w:rPr>
      </w:pPr>
    </w:p>
    <w:p w:rsidR="009605AB" w:rsidRPr="009605AB" w:rsidRDefault="009605AB" w:rsidP="009605AB">
      <w:pPr>
        <w:pStyle w:val="Footer"/>
        <w:tabs>
          <w:tab w:val="clear" w:pos="4320"/>
          <w:tab w:val="clear" w:pos="8640"/>
        </w:tabs>
        <w:spacing w:line="360" w:lineRule="auto"/>
        <w:jc w:val="center"/>
        <w:rPr>
          <w:sz w:val="24"/>
          <w:szCs w:val="24"/>
        </w:rPr>
      </w:pPr>
      <w:r w:rsidRPr="009605AB">
        <w:rPr>
          <w:b/>
          <w:sz w:val="24"/>
          <w:szCs w:val="24"/>
          <w:u w:val="single"/>
        </w:rPr>
        <w:t>Settlement and Stipulations</w:t>
      </w:r>
    </w:p>
    <w:p w:rsidR="009605AB" w:rsidRPr="009605AB" w:rsidRDefault="009605AB" w:rsidP="009605AB">
      <w:pPr>
        <w:pStyle w:val="Footer"/>
        <w:tabs>
          <w:tab w:val="clear" w:pos="4320"/>
          <w:tab w:val="clear" w:pos="8640"/>
        </w:tabs>
        <w:spacing w:line="360" w:lineRule="auto"/>
        <w:rPr>
          <w:sz w:val="24"/>
          <w:szCs w:val="24"/>
        </w:rPr>
      </w:pPr>
    </w:p>
    <w:p w:rsidR="009605AB" w:rsidRPr="009605AB" w:rsidRDefault="009605AB" w:rsidP="009605AB">
      <w:pPr>
        <w:pStyle w:val="Footer"/>
        <w:tabs>
          <w:tab w:val="clear" w:pos="4320"/>
          <w:tab w:val="clear" w:pos="8640"/>
        </w:tabs>
        <w:spacing w:line="360" w:lineRule="auto"/>
        <w:rPr>
          <w:sz w:val="24"/>
          <w:szCs w:val="24"/>
        </w:rPr>
      </w:pPr>
      <w:r w:rsidRPr="009605AB">
        <w:rPr>
          <w:sz w:val="24"/>
          <w:szCs w:val="24"/>
        </w:rPr>
        <w:tab/>
      </w:r>
      <w:r w:rsidRPr="009605AB">
        <w:rPr>
          <w:sz w:val="24"/>
          <w:szCs w:val="24"/>
        </w:rPr>
        <w:tab/>
        <w:t xml:space="preserve">The parties are reminded it is the Commission’s policy to encourage settlements.  </w:t>
      </w:r>
      <w:proofErr w:type="gramStart"/>
      <w:r w:rsidRPr="009605AB">
        <w:rPr>
          <w:sz w:val="24"/>
          <w:szCs w:val="24"/>
        </w:rPr>
        <w:t>52 Pa. Code §</w:t>
      </w:r>
      <w:r w:rsidR="00713E43">
        <w:rPr>
          <w:sz w:val="24"/>
          <w:szCs w:val="24"/>
        </w:rPr>
        <w:t xml:space="preserve"> </w:t>
      </w:r>
      <w:r w:rsidRPr="009605AB">
        <w:rPr>
          <w:sz w:val="24"/>
          <w:szCs w:val="24"/>
        </w:rPr>
        <w:t>5.231(a).</w:t>
      </w:r>
      <w:proofErr w:type="gramEnd"/>
      <w:r w:rsidRPr="009605AB">
        <w:rPr>
          <w:sz w:val="24"/>
          <w:szCs w:val="24"/>
        </w:rPr>
        <w:t xml:space="preserve">  The parties are strongly urged to seriously explore this possibility.  The parties must notify the presiding officer on or before </w:t>
      </w:r>
      <w:r w:rsidRPr="009605AB">
        <w:rPr>
          <w:b/>
          <w:sz w:val="24"/>
          <w:szCs w:val="24"/>
        </w:rPr>
        <w:t>October 14, 2011</w:t>
      </w:r>
      <w:r w:rsidRPr="009605AB">
        <w:rPr>
          <w:sz w:val="24"/>
          <w:szCs w:val="24"/>
        </w:rPr>
        <w:t xml:space="preserve">, if mediation has not resulted in an amicable settlement.  Submission of a Joint Settlement Petition executed by representatives of all parties, together with all parties’ Statements In Support of Settlement, must be filed with the Secretary for the Commission and received in-hand by the presiding officer no later than </w:t>
      </w:r>
      <w:r w:rsidRPr="009605AB">
        <w:rPr>
          <w:b/>
          <w:sz w:val="24"/>
          <w:szCs w:val="24"/>
        </w:rPr>
        <w:t>4:00 p.m., on January 20, 2012.</w:t>
      </w:r>
      <w:r w:rsidRPr="009605AB">
        <w:rPr>
          <w:sz w:val="24"/>
          <w:szCs w:val="24"/>
        </w:rPr>
        <w:t xml:space="preserve"> </w:t>
      </w:r>
    </w:p>
    <w:p w:rsidR="009605AB" w:rsidRPr="009605AB" w:rsidRDefault="009605AB" w:rsidP="009605AB">
      <w:pPr>
        <w:pStyle w:val="Footer"/>
        <w:tabs>
          <w:tab w:val="clear" w:pos="4320"/>
          <w:tab w:val="clear" w:pos="8640"/>
        </w:tabs>
        <w:spacing w:line="360" w:lineRule="auto"/>
        <w:rPr>
          <w:sz w:val="24"/>
          <w:szCs w:val="24"/>
        </w:rPr>
      </w:pPr>
      <w:r w:rsidRPr="009605AB">
        <w:rPr>
          <w:sz w:val="24"/>
          <w:szCs w:val="24"/>
        </w:rPr>
        <w:t xml:space="preserve"> </w:t>
      </w:r>
    </w:p>
    <w:p w:rsidR="009605AB" w:rsidRPr="009605AB" w:rsidRDefault="009605AB" w:rsidP="009605AB">
      <w:pPr>
        <w:pStyle w:val="Footer"/>
        <w:tabs>
          <w:tab w:val="clear" w:pos="4320"/>
          <w:tab w:val="clear" w:pos="8640"/>
        </w:tabs>
        <w:spacing w:line="360" w:lineRule="auto"/>
        <w:rPr>
          <w:sz w:val="24"/>
          <w:szCs w:val="24"/>
        </w:rPr>
      </w:pPr>
      <w:r w:rsidRPr="009605AB">
        <w:rPr>
          <w:sz w:val="24"/>
          <w:szCs w:val="24"/>
        </w:rPr>
        <w:tab/>
      </w:r>
      <w:r w:rsidRPr="009605AB">
        <w:rPr>
          <w:sz w:val="24"/>
          <w:szCs w:val="24"/>
        </w:rPr>
        <w:tab/>
        <w:t xml:space="preserve">If a settlement is not feasible, the parties are encouraged to stipulate to any matters they reasonably can in order to expedite this proceeding, lessen the burden of time and expenses in litigation on all parties and conserve precious administrative hearing resources.  </w:t>
      </w:r>
      <w:proofErr w:type="gramStart"/>
      <w:r w:rsidRPr="009605AB">
        <w:rPr>
          <w:sz w:val="24"/>
          <w:szCs w:val="24"/>
        </w:rPr>
        <w:lastRenderedPageBreak/>
        <w:t>52 Pa. Code §§</w:t>
      </w:r>
      <w:r w:rsidR="00713E43">
        <w:rPr>
          <w:sz w:val="24"/>
          <w:szCs w:val="24"/>
        </w:rPr>
        <w:t xml:space="preserve"> </w:t>
      </w:r>
      <w:r w:rsidRPr="009605AB">
        <w:rPr>
          <w:sz w:val="24"/>
          <w:szCs w:val="24"/>
        </w:rPr>
        <w:t>5.232 and 5.234.</w:t>
      </w:r>
      <w:proofErr w:type="gramEnd"/>
      <w:r w:rsidRPr="009605AB">
        <w:rPr>
          <w:sz w:val="24"/>
          <w:szCs w:val="24"/>
        </w:rPr>
        <w:t xml:space="preserve">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9605AB" w:rsidRPr="009605AB" w:rsidRDefault="009605AB" w:rsidP="009605AB">
      <w:pPr>
        <w:pStyle w:val="Footer"/>
        <w:tabs>
          <w:tab w:val="clear" w:pos="4320"/>
          <w:tab w:val="clear" w:pos="8640"/>
        </w:tabs>
        <w:spacing w:line="360" w:lineRule="auto"/>
        <w:rPr>
          <w:sz w:val="24"/>
          <w:szCs w:val="24"/>
        </w:rPr>
      </w:pPr>
    </w:p>
    <w:p w:rsidR="009605AB" w:rsidRPr="009605AB" w:rsidRDefault="009605AB" w:rsidP="009605AB">
      <w:pPr>
        <w:pStyle w:val="Footer"/>
        <w:tabs>
          <w:tab w:val="clear" w:pos="4320"/>
          <w:tab w:val="clear" w:pos="8640"/>
        </w:tabs>
        <w:spacing w:line="360" w:lineRule="auto"/>
        <w:jc w:val="center"/>
        <w:rPr>
          <w:sz w:val="24"/>
          <w:szCs w:val="24"/>
        </w:rPr>
      </w:pPr>
      <w:r w:rsidRPr="009605AB">
        <w:rPr>
          <w:b/>
          <w:sz w:val="24"/>
          <w:szCs w:val="24"/>
          <w:u w:val="single"/>
        </w:rPr>
        <w:t>Modification</w:t>
      </w:r>
    </w:p>
    <w:p w:rsidR="009605AB" w:rsidRPr="009605AB" w:rsidRDefault="009605AB" w:rsidP="009605AB">
      <w:pPr>
        <w:pStyle w:val="Footer"/>
        <w:tabs>
          <w:tab w:val="clear" w:pos="4320"/>
          <w:tab w:val="clear" w:pos="8640"/>
        </w:tabs>
        <w:spacing w:line="360" w:lineRule="auto"/>
        <w:rPr>
          <w:sz w:val="24"/>
          <w:szCs w:val="24"/>
        </w:rPr>
      </w:pPr>
    </w:p>
    <w:p w:rsidR="009605AB" w:rsidRPr="009605AB" w:rsidRDefault="009605AB" w:rsidP="009605AB">
      <w:pPr>
        <w:pStyle w:val="Footer"/>
        <w:tabs>
          <w:tab w:val="clear" w:pos="4320"/>
          <w:tab w:val="clear" w:pos="8640"/>
        </w:tabs>
        <w:spacing w:line="360" w:lineRule="auto"/>
        <w:rPr>
          <w:spacing w:val="-3"/>
          <w:sz w:val="24"/>
          <w:szCs w:val="24"/>
        </w:rPr>
      </w:pPr>
      <w:r w:rsidRPr="009605AB">
        <w:rPr>
          <w:sz w:val="24"/>
          <w:szCs w:val="24"/>
        </w:rPr>
        <w:tab/>
      </w:r>
      <w:r w:rsidRPr="009605AB">
        <w:rPr>
          <w:sz w:val="24"/>
          <w:szCs w:val="24"/>
        </w:rPr>
        <w:tab/>
        <w:t xml:space="preserve">Any of the provisions of this </w:t>
      </w:r>
      <w:r w:rsidRPr="009605AB">
        <w:rPr>
          <w:spacing w:val="-3"/>
          <w:sz w:val="24"/>
          <w:szCs w:val="24"/>
        </w:rPr>
        <w:t>Prehearing Order may be modified upon motion and good cause shown by any party in interest.  Nothing in this Order, however, precludes the Company from filing a subsequent Supplement to its tariff.</w:t>
      </w:r>
    </w:p>
    <w:p w:rsidR="009605AB" w:rsidRPr="009605AB" w:rsidRDefault="009605AB" w:rsidP="009605AB">
      <w:pPr>
        <w:spacing w:line="360" w:lineRule="auto"/>
        <w:jc w:val="both"/>
        <w:rPr>
          <w:sz w:val="24"/>
          <w:szCs w:val="24"/>
        </w:rPr>
      </w:pPr>
    </w:p>
    <w:p w:rsidR="009605AB" w:rsidRPr="009605AB" w:rsidRDefault="009605AB" w:rsidP="009605AB">
      <w:pPr>
        <w:spacing w:line="360" w:lineRule="auto"/>
        <w:jc w:val="both"/>
        <w:rPr>
          <w:sz w:val="24"/>
          <w:szCs w:val="24"/>
        </w:rPr>
      </w:pPr>
      <w:r w:rsidRPr="009605AB">
        <w:rPr>
          <w:sz w:val="24"/>
          <w:szCs w:val="24"/>
        </w:rPr>
        <w:tab/>
      </w:r>
      <w:r w:rsidRPr="009605AB">
        <w:rPr>
          <w:sz w:val="24"/>
          <w:szCs w:val="24"/>
        </w:rPr>
        <w:tab/>
        <w:t>THEREFORE,</w:t>
      </w:r>
    </w:p>
    <w:p w:rsidR="009605AB" w:rsidRPr="009605AB" w:rsidRDefault="009605AB" w:rsidP="009605AB">
      <w:pPr>
        <w:spacing w:line="360" w:lineRule="auto"/>
        <w:jc w:val="both"/>
        <w:rPr>
          <w:sz w:val="24"/>
          <w:szCs w:val="24"/>
        </w:rPr>
      </w:pPr>
    </w:p>
    <w:p w:rsidR="009605AB" w:rsidRPr="009605AB" w:rsidRDefault="009605AB" w:rsidP="009605AB">
      <w:pPr>
        <w:spacing w:line="360" w:lineRule="auto"/>
        <w:jc w:val="both"/>
        <w:rPr>
          <w:sz w:val="24"/>
          <w:szCs w:val="24"/>
        </w:rPr>
      </w:pPr>
      <w:r w:rsidRPr="009605AB">
        <w:rPr>
          <w:sz w:val="24"/>
          <w:szCs w:val="24"/>
        </w:rPr>
        <w:tab/>
      </w:r>
      <w:r w:rsidRPr="009605AB">
        <w:rPr>
          <w:sz w:val="24"/>
          <w:szCs w:val="24"/>
        </w:rPr>
        <w:tab/>
        <w:t>IT IS ORDERED:</w:t>
      </w:r>
    </w:p>
    <w:p w:rsidR="009605AB" w:rsidRPr="009605AB" w:rsidRDefault="009605AB" w:rsidP="009605AB">
      <w:pPr>
        <w:spacing w:line="360" w:lineRule="auto"/>
        <w:jc w:val="both"/>
        <w:rPr>
          <w:sz w:val="24"/>
          <w:szCs w:val="24"/>
        </w:rPr>
      </w:pPr>
    </w:p>
    <w:p w:rsidR="009605AB" w:rsidRPr="009605AB" w:rsidRDefault="009605AB" w:rsidP="009605AB">
      <w:pPr>
        <w:numPr>
          <w:ilvl w:val="0"/>
          <w:numId w:val="7"/>
        </w:numPr>
        <w:tabs>
          <w:tab w:val="clear" w:pos="2160"/>
          <w:tab w:val="num" w:pos="0"/>
        </w:tabs>
        <w:spacing w:line="360" w:lineRule="auto"/>
        <w:ind w:left="0" w:firstLine="1440"/>
        <w:rPr>
          <w:sz w:val="24"/>
          <w:szCs w:val="24"/>
        </w:rPr>
      </w:pPr>
      <w:r w:rsidRPr="009605AB">
        <w:rPr>
          <w:sz w:val="24"/>
          <w:szCs w:val="24"/>
        </w:rPr>
        <w:t xml:space="preserve">That this case concerning Corner Water Supply and Service Corporation (Corner Water Supply) at Docket No. R-2011-2238120, </w:t>
      </w:r>
      <w:r w:rsidRPr="009605AB">
        <w:rPr>
          <w:i/>
          <w:sz w:val="24"/>
          <w:szCs w:val="24"/>
        </w:rPr>
        <w:t>et al.</w:t>
      </w:r>
      <w:r w:rsidRPr="009605AB">
        <w:rPr>
          <w:sz w:val="24"/>
          <w:szCs w:val="24"/>
        </w:rPr>
        <w:t>, will proceed to the Commission’s Mediation Unit for mediation.</w:t>
      </w:r>
    </w:p>
    <w:p w:rsidR="009605AB" w:rsidRPr="009605AB" w:rsidRDefault="009605AB" w:rsidP="009605AB">
      <w:pPr>
        <w:spacing w:line="360" w:lineRule="auto"/>
        <w:jc w:val="both"/>
        <w:rPr>
          <w:sz w:val="24"/>
          <w:szCs w:val="24"/>
        </w:rPr>
      </w:pPr>
    </w:p>
    <w:p w:rsidR="009605AB" w:rsidRPr="009605AB" w:rsidRDefault="009605AB" w:rsidP="009605AB">
      <w:pPr>
        <w:spacing w:line="360" w:lineRule="auto"/>
        <w:ind w:firstLine="1440"/>
        <w:rPr>
          <w:sz w:val="24"/>
          <w:szCs w:val="24"/>
        </w:rPr>
      </w:pPr>
      <w:r w:rsidRPr="009605AB">
        <w:rPr>
          <w:sz w:val="24"/>
          <w:szCs w:val="24"/>
        </w:rPr>
        <w:t>2.</w:t>
      </w:r>
      <w:r w:rsidRPr="009605AB">
        <w:rPr>
          <w:sz w:val="24"/>
          <w:szCs w:val="24"/>
        </w:rPr>
        <w:tab/>
        <w:t>That Corner Water Supply, in accordance with 52 Pa. Code §</w:t>
      </w:r>
      <w:r w:rsidR="00D729D7">
        <w:rPr>
          <w:sz w:val="24"/>
          <w:szCs w:val="24"/>
        </w:rPr>
        <w:t> </w:t>
      </w:r>
      <w:r w:rsidRPr="009605AB">
        <w:rPr>
          <w:sz w:val="24"/>
          <w:szCs w:val="24"/>
        </w:rPr>
        <w:t>69.393(d)(2), shall file a supplement to the tariff which further extends the March 1, 2012 suspension date to May 1, 2012.</w:t>
      </w:r>
    </w:p>
    <w:p w:rsidR="009605AB" w:rsidRPr="009605AB" w:rsidRDefault="009605AB" w:rsidP="009605AB">
      <w:pPr>
        <w:spacing w:line="360" w:lineRule="auto"/>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3.</w:t>
      </w:r>
      <w:r w:rsidRPr="009605AB">
        <w:rPr>
          <w:sz w:val="24"/>
          <w:szCs w:val="24"/>
        </w:rPr>
        <w:tab/>
        <w:t>That counsel for the Bureau of Investigation and Enforcement (BIE) shall keep the presiding ALJ informed as to the existence of any additional complaints filed by individuals concerning this proceeding.</w:t>
      </w:r>
    </w:p>
    <w:p w:rsidR="009605AB" w:rsidRPr="009605AB" w:rsidRDefault="009605AB" w:rsidP="009605AB">
      <w:pPr>
        <w:spacing w:line="360" w:lineRule="auto"/>
        <w:rPr>
          <w:sz w:val="24"/>
          <w:szCs w:val="24"/>
        </w:rPr>
      </w:pPr>
    </w:p>
    <w:p w:rsidR="009605AB" w:rsidRPr="009605AB" w:rsidRDefault="009605AB" w:rsidP="009605AB">
      <w:pPr>
        <w:spacing w:line="360" w:lineRule="auto"/>
        <w:rPr>
          <w:sz w:val="24"/>
          <w:szCs w:val="24"/>
        </w:rPr>
      </w:pPr>
      <w:r w:rsidRPr="009605AB">
        <w:rPr>
          <w:sz w:val="24"/>
          <w:szCs w:val="24"/>
        </w:rPr>
        <w:tab/>
      </w:r>
      <w:r w:rsidRPr="009605AB">
        <w:rPr>
          <w:sz w:val="24"/>
          <w:szCs w:val="24"/>
        </w:rPr>
        <w:tab/>
        <w:t>4.</w:t>
      </w:r>
      <w:r w:rsidRPr="009605AB">
        <w:rPr>
          <w:sz w:val="24"/>
          <w:szCs w:val="24"/>
        </w:rPr>
        <w:tab/>
        <w:t xml:space="preserve">That the parties are directed to inform the ALJ, on or before October 14, 2011, in the event the parties are unsuccessful in resolving the matter with the aid of the </w:t>
      </w:r>
      <w:r w:rsidRPr="009605AB">
        <w:rPr>
          <w:sz w:val="24"/>
          <w:szCs w:val="24"/>
        </w:rPr>
        <w:lastRenderedPageBreak/>
        <w:t xml:space="preserve">mediator.  In that event, the remaining litigation schedule will remain in effect, and Corner Water Supply’s written direct testimony will be due on or before October 21, 2011.  </w:t>
      </w:r>
    </w:p>
    <w:p w:rsidR="009605AB" w:rsidRPr="00B243F0" w:rsidRDefault="009605AB" w:rsidP="009605AB">
      <w:pPr>
        <w:spacing w:line="360" w:lineRule="auto"/>
        <w:ind w:left="2160"/>
        <w:jc w:val="both"/>
      </w:pPr>
    </w:p>
    <w:p w:rsidR="009605AB" w:rsidRPr="00B243F0" w:rsidRDefault="009605AB" w:rsidP="009605AB">
      <w:pPr>
        <w:pStyle w:val="ParaTab1"/>
        <w:spacing w:line="360" w:lineRule="auto"/>
        <w:rPr>
          <w:rFonts w:ascii="Times New Roman" w:hAnsi="Times New Roman" w:cs="Times New Roman"/>
          <w:spacing w:val="-3"/>
        </w:rPr>
      </w:pPr>
      <w:r>
        <w:rPr>
          <w:rFonts w:ascii="Times New Roman" w:hAnsi="Times New Roman" w:cs="Times New Roman"/>
          <w:noProof/>
          <w:spacing w:val="-3"/>
        </w:rPr>
        <w:drawing>
          <wp:anchor distT="0" distB="0" distL="114300" distR="114300" simplePos="0" relativeHeight="251660288" behindDoc="1" locked="0" layoutInCell="1" allowOverlap="1">
            <wp:simplePos x="0" y="0"/>
            <wp:positionH relativeFrom="column">
              <wp:posOffset>2842260</wp:posOffset>
            </wp:positionH>
            <wp:positionV relativeFrom="paragraph">
              <wp:posOffset>10160</wp:posOffset>
            </wp:positionV>
            <wp:extent cx="2820670" cy="1056005"/>
            <wp:effectExtent l="19050" t="0" r="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820670" cy="1056005"/>
                    </a:xfrm>
                    <a:prstGeom prst="rect">
                      <a:avLst/>
                    </a:prstGeom>
                    <a:noFill/>
                    <a:ln w="9525">
                      <a:noFill/>
                      <a:miter lim="800000"/>
                      <a:headEnd/>
                      <a:tailEnd/>
                    </a:ln>
                  </pic:spPr>
                </pic:pic>
              </a:graphicData>
            </a:graphic>
          </wp:anchor>
        </w:drawing>
      </w:r>
    </w:p>
    <w:p w:rsidR="009605AB" w:rsidRPr="00B243F0" w:rsidRDefault="009605AB" w:rsidP="009605AB">
      <w:pPr>
        <w:pStyle w:val="ParaTab1"/>
        <w:ind w:firstLine="0"/>
        <w:rPr>
          <w:rFonts w:ascii="Times New Roman" w:hAnsi="Times New Roman" w:cs="Times New Roman"/>
          <w:spacing w:val="-3"/>
        </w:rPr>
      </w:pPr>
      <w:r w:rsidRPr="00B243F0">
        <w:rPr>
          <w:rFonts w:ascii="Times New Roman" w:hAnsi="Times New Roman" w:cs="Times New Roman"/>
          <w:spacing w:val="-3"/>
        </w:rPr>
        <w:t>Date:</w:t>
      </w:r>
      <w:r w:rsidRPr="00B243F0">
        <w:rPr>
          <w:rFonts w:ascii="Times New Roman" w:hAnsi="Times New Roman" w:cs="Times New Roman"/>
          <w:spacing w:val="-3"/>
        </w:rPr>
        <w:tab/>
      </w:r>
      <w:r w:rsidRPr="005F451A">
        <w:rPr>
          <w:rFonts w:ascii="Times New Roman" w:hAnsi="Times New Roman" w:cs="Times New Roman"/>
          <w:spacing w:val="-3"/>
          <w:u w:val="single"/>
        </w:rPr>
        <w:t>September 19, 2011</w:t>
      </w:r>
      <w:r w:rsidRPr="00B243F0">
        <w:rPr>
          <w:rFonts w:ascii="Times New Roman" w:hAnsi="Times New Roman" w:cs="Times New Roman"/>
          <w:spacing w:val="-3"/>
        </w:rPr>
        <w:tab/>
      </w:r>
      <w:r w:rsidRPr="00B243F0">
        <w:rPr>
          <w:rFonts w:ascii="Times New Roman" w:hAnsi="Times New Roman" w:cs="Times New Roman"/>
          <w:spacing w:val="-3"/>
        </w:rPr>
        <w:tab/>
      </w:r>
      <w:r w:rsidRPr="00B243F0">
        <w:rPr>
          <w:rFonts w:ascii="Times New Roman" w:hAnsi="Times New Roman" w:cs="Times New Roman"/>
          <w:spacing w:val="-3"/>
        </w:rPr>
        <w:tab/>
      </w:r>
      <w:r w:rsidRPr="00B243F0">
        <w:rPr>
          <w:rFonts w:ascii="Times New Roman" w:hAnsi="Times New Roman" w:cs="Times New Roman"/>
          <w:spacing w:val="-3"/>
        </w:rPr>
        <w:tab/>
      </w:r>
    </w:p>
    <w:p w:rsidR="002A66C2" w:rsidRPr="002A66C2" w:rsidRDefault="002A66C2" w:rsidP="002A66C2">
      <w:pPr>
        <w:spacing w:line="360" w:lineRule="auto"/>
        <w:ind w:firstLine="1440"/>
        <w:rPr>
          <w:sz w:val="24"/>
          <w:szCs w:val="24"/>
        </w:rPr>
      </w:pPr>
      <w:r>
        <w:rPr>
          <w:sz w:val="24"/>
          <w:szCs w:val="24"/>
        </w:rPr>
        <w:tab/>
      </w:r>
      <w:r>
        <w:rPr>
          <w:sz w:val="24"/>
          <w:szCs w:val="24"/>
        </w:rPr>
        <w:tab/>
      </w:r>
    </w:p>
    <w:p w:rsidR="00F06152" w:rsidRDefault="00F06152" w:rsidP="00A56C8F">
      <w:pPr>
        <w:tabs>
          <w:tab w:val="left" w:pos="0"/>
        </w:tabs>
        <w:spacing w:line="360" w:lineRule="auto"/>
        <w:jc w:val="both"/>
        <w:rPr>
          <w:sz w:val="24"/>
        </w:rPr>
      </w:pPr>
    </w:p>
    <w:p w:rsidR="009605AB" w:rsidRDefault="009605AB" w:rsidP="00A56C8F">
      <w:pPr>
        <w:tabs>
          <w:tab w:val="left" w:pos="0"/>
        </w:tabs>
        <w:spacing w:line="360" w:lineRule="auto"/>
        <w:jc w:val="both"/>
        <w:rPr>
          <w:sz w:val="24"/>
        </w:rPr>
        <w:sectPr w:rsidR="009605AB" w:rsidSect="009F05C5">
          <w:footerReference w:type="even" r:id="rId10"/>
          <w:footerReference w:type="default" r:id="rId11"/>
          <w:pgSz w:w="12240" w:h="15840"/>
          <w:pgMar w:top="1440" w:right="1440" w:bottom="1440" w:left="1440" w:header="720" w:footer="720" w:gutter="0"/>
          <w:pgNumType w:start="1"/>
          <w:cols w:space="720"/>
          <w:titlePg/>
          <w:docGrid w:linePitch="360"/>
        </w:sectPr>
      </w:pPr>
    </w:p>
    <w:p w:rsidR="009605AB" w:rsidRPr="00057980" w:rsidRDefault="009605AB" w:rsidP="009605AB">
      <w:pPr>
        <w:pStyle w:val="ParaTab1"/>
        <w:ind w:firstLine="0"/>
        <w:rPr>
          <w:rFonts w:ascii="Microsoft Sans Serif" w:hAnsi="Microsoft Sans Serif" w:cs="Microsoft Sans Serif"/>
          <w:b/>
          <w:caps/>
          <w:u w:val="single"/>
        </w:rPr>
      </w:pPr>
      <w:r w:rsidRPr="00D40CEC">
        <w:rPr>
          <w:rFonts w:ascii="Microsoft Sans Serif" w:hAnsi="Microsoft Sans Serif" w:cs="Microsoft Sans Serif"/>
          <w:b/>
          <w:caps/>
          <w:noProof/>
          <w:u w:val="single"/>
        </w:rPr>
        <w:lastRenderedPageBreak/>
        <w:t>R-201</w:t>
      </w:r>
      <w:r>
        <w:rPr>
          <w:rFonts w:ascii="Microsoft Sans Serif" w:hAnsi="Microsoft Sans Serif" w:cs="Microsoft Sans Serif"/>
          <w:b/>
          <w:caps/>
          <w:noProof/>
          <w:u w:val="single"/>
        </w:rPr>
        <w:t>1</w:t>
      </w:r>
      <w:r w:rsidRPr="00D40CEC">
        <w:rPr>
          <w:rFonts w:ascii="Microsoft Sans Serif" w:hAnsi="Microsoft Sans Serif" w:cs="Microsoft Sans Serif"/>
          <w:b/>
          <w:caps/>
          <w:noProof/>
          <w:u w:val="single"/>
        </w:rPr>
        <w:t>-2</w:t>
      </w:r>
      <w:r>
        <w:rPr>
          <w:rFonts w:ascii="Microsoft Sans Serif" w:hAnsi="Microsoft Sans Serif" w:cs="Microsoft Sans Serif"/>
          <w:b/>
          <w:caps/>
          <w:noProof/>
          <w:u w:val="single"/>
        </w:rPr>
        <w:t>238</w:t>
      </w:r>
      <w:r w:rsidRPr="00D40CEC">
        <w:rPr>
          <w:rFonts w:ascii="Microsoft Sans Serif" w:hAnsi="Microsoft Sans Serif" w:cs="Microsoft Sans Serif"/>
          <w:b/>
          <w:caps/>
          <w:noProof/>
          <w:u w:val="single"/>
        </w:rPr>
        <w:t>1</w:t>
      </w:r>
      <w:r>
        <w:rPr>
          <w:rFonts w:ascii="Microsoft Sans Serif" w:hAnsi="Microsoft Sans Serif" w:cs="Microsoft Sans Serif"/>
          <w:b/>
          <w:caps/>
          <w:noProof/>
          <w:u w:val="single"/>
        </w:rPr>
        <w:t xml:space="preserve">20, </w:t>
      </w:r>
      <w:r w:rsidRPr="00370EAC">
        <w:rPr>
          <w:rFonts w:ascii="Microsoft Sans Serif" w:hAnsi="Microsoft Sans Serif" w:cs="Microsoft Sans Serif"/>
          <w:b/>
          <w:i/>
          <w:noProof/>
          <w:u w:val="single"/>
        </w:rPr>
        <w:t>et al</w:t>
      </w:r>
      <w:r>
        <w:rPr>
          <w:rFonts w:ascii="Microsoft Sans Serif" w:hAnsi="Microsoft Sans Serif" w:cs="Microsoft Sans Serif"/>
          <w:b/>
          <w:noProof/>
          <w:u w:val="single"/>
        </w:rPr>
        <w:t xml:space="preserve">  -</w:t>
      </w:r>
      <w:r w:rsidRPr="00D40CEC">
        <w:rPr>
          <w:rFonts w:ascii="Microsoft Sans Serif" w:hAnsi="Microsoft Sans Serif" w:cs="Microsoft Sans Serif"/>
          <w:b/>
          <w:caps/>
          <w:noProof/>
          <w:u w:val="single"/>
        </w:rPr>
        <w:t xml:space="preserve"> Pennsylvania Public Utility Commission</w:t>
      </w:r>
      <w:r>
        <w:rPr>
          <w:rFonts w:ascii="Microsoft Sans Serif" w:hAnsi="Microsoft Sans Serif" w:cs="Microsoft Sans Serif"/>
          <w:b/>
          <w:caps/>
          <w:noProof/>
          <w:u w:val="single"/>
        </w:rPr>
        <w:t xml:space="preserve">, </w:t>
      </w:r>
      <w:r w:rsidRPr="00370EAC">
        <w:rPr>
          <w:rFonts w:ascii="Microsoft Sans Serif" w:hAnsi="Microsoft Sans Serif" w:cs="Microsoft Sans Serif"/>
          <w:b/>
          <w:i/>
          <w:noProof/>
          <w:u w:val="single"/>
        </w:rPr>
        <w:t xml:space="preserve">et </w:t>
      </w:r>
      <w:proofErr w:type="gramStart"/>
      <w:r w:rsidRPr="00370EAC">
        <w:rPr>
          <w:rFonts w:ascii="Microsoft Sans Serif" w:hAnsi="Microsoft Sans Serif" w:cs="Microsoft Sans Serif"/>
          <w:b/>
          <w:i/>
          <w:noProof/>
          <w:u w:val="single"/>
        </w:rPr>
        <w:t>al</w:t>
      </w:r>
      <w:r w:rsidRPr="00D40CEC">
        <w:rPr>
          <w:rFonts w:ascii="Microsoft Sans Serif" w:hAnsi="Microsoft Sans Serif" w:cs="Microsoft Sans Serif"/>
          <w:b/>
          <w:caps/>
          <w:noProof/>
          <w:u w:val="single"/>
        </w:rPr>
        <w:t xml:space="preserve"> </w:t>
      </w:r>
      <w:r>
        <w:rPr>
          <w:rFonts w:ascii="Microsoft Sans Serif" w:hAnsi="Microsoft Sans Serif" w:cs="Microsoft Sans Serif"/>
          <w:b/>
          <w:caps/>
          <w:noProof/>
          <w:u w:val="single"/>
        </w:rPr>
        <w:t xml:space="preserve"> </w:t>
      </w:r>
      <w:r w:rsidR="00B45F3B">
        <w:rPr>
          <w:rFonts w:ascii="Microsoft Sans Serif" w:hAnsi="Microsoft Sans Serif" w:cs="Microsoft Sans Serif"/>
          <w:b/>
          <w:smallCaps/>
          <w:u w:val="single"/>
        </w:rPr>
        <w:t>v</w:t>
      </w:r>
      <w:proofErr w:type="gramEnd"/>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 xml:space="preserve">corner water supply </w:t>
      </w:r>
      <w:r w:rsidRPr="00370EAC">
        <w:rPr>
          <w:rFonts w:ascii="Microsoft Sans Serif" w:hAnsi="Microsoft Sans Serif" w:cs="Microsoft Sans Serif"/>
          <w:b/>
          <w:u w:val="single"/>
        </w:rPr>
        <w:t>and</w:t>
      </w:r>
      <w:r>
        <w:rPr>
          <w:rFonts w:ascii="Microsoft Sans Serif" w:hAnsi="Microsoft Sans Serif" w:cs="Microsoft Sans Serif"/>
          <w:b/>
          <w:caps/>
          <w:u w:val="single"/>
        </w:rPr>
        <w:t xml:space="preserve"> service corporation</w:t>
      </w:r>
    </w:p>
    <w:p w:rsidR="009605AB" w:rsidRDefault="009605AB" w:rsidP="009605AB">
      <w:pPr>
        <w:rPr>
          <w:rFonts w:ascii="Microsoft Sans Serif" w:hAnsi="Microsoft Sans Serif" w:cs="Microsoft Sans Serif"/>
          <w:caps/>
        </w:rPr>
      </w:pPr>
    </w:p>
    <w:p w:rsidR="009605AB" w:rsidRPr="000828B5" w:rsidRDefault="009605AB" w:rsidP="009605AB">
      <w:pPr>
        <w:rPr>
          <w:rFonts w:ascii="Microsoft Sans Serif" w:hAnsi="Microsoft Sans Serif" w:cs="Microsoft Sans Serif"/>
          <w:b/>
          <w:i/>
          <w:caps/>
          <w:sz w:val="24"/>
          <w:szCs w:val="24"/>
        </w:rPr>
      </w:pPr>
      <w:r w:rsidRPr="000828B5">
        <w:rPr>
          <w:rFonts w:ascii="Microsoft Sans Serif" w:hAnsi="Microsoft Sans Serif" w:cs="Microsoft Sans Serif"/>
          <w:b/>
          <w:i/>
          <w:caps/>
          <w:sz w:val="24"/>
          <w:szCs w:val="24"/>
        </w:rPr>
        <w:t>(r</w:t>
      </w:r>
      <w:r w:rsidRPr="000828B5">
        <w:rPr>
          <w:rFonts w:ascii="Microsoft Sans Serif" w:hAnsi="Microsoft Sans Serif" w:cs="Microsoft Sans Serif"/>
          <w:b/>
          <w:i/>
          <w:sz w:val="24"/>
          <w:szCs w:val="24"/>
        </w:rPr>
        <w:t>evised 9/19</w:t>
      </w:r>
      <w:r w:rsidRPr="000828B5">
        <w:rPr>
          <w:rFonts w:ascii="Microsoft Sans Serif" w:hAnsi="Microsoft Sans Serif" w:cs="Microsoft Sans Serif"/>
          <w:b/>
          <w:i/>
          <w:caps/>
          <w:sz w:val="24"/>
          <w:szCs w:val="24"/>
        </w:rPr>
        <w:t>/2011)</w:t>
      </w:r>
    </w:p>
    <w:p w:rsidR="009605AB" w:rsidRPr="000828B5" w:rsidRDefault="009605AB" w:rsidP="009605AB">
      <w:pPr>
        <w:rPr>
          <w:rFonts w:ascii="Microsoft Sans Serif" w:hAnsi="Microsoft Sans Serif" w:cs="Microsoft Sans Serif"/>
          <w:caps/>
          <w:sz w:val="24"/>
          <w:szCs w:val="24"/>
        </w:rPr>
      </w:pPr>
    </w:p>
    <w:p w:rsidR="009605AB" w:rsidRPr="000828B5" w:rsidRDefault="009605AB" w:rsidP="009605AB">
      <w:pPr>
        <w:rPr>
          <w:rFonts w:ascii="Microsoft Sans Serif" w:hAnsi="Microsoft Sans Serif" w:cs="Microsoft Sans Serif"/>
          <w:caps/>
          <w:sz w:val="24"/>
          <w:szCs w:val="24"/>
        </w:rPr>
      </w:pPr>
    </w:p>
    <w:p w:rsidR="009605AB" w:rsidRPr="000828B5" w:rsidRDefault="009605AB" w:rsidP="009605AB">
      <w:pPr>
        <w:rPr>
          <w:rFonts w:ascii="Microsoft Sans Serif" w:hAnsi="Microsoft Sans Serif" w:cs="Microsoft Sans Serif"/>
          <w:caps/>
          <w:noProof/>
          <w:sz w:val="24"/>
          <w:szCs w:val="24"/>
        </w:rPr>
      </w:pPr>
      <w:r w:rsidRPr="000828B5">
        <w:rPr>
          <w:rFonts w:ascii="Microsoft Sans Serif" w:hAnsi="Microsoft Sans Serif" w:cs="Microsoft Sans Serif"/>
          <w:caps/>
          <w:noProof/>
          <w:sz w:val="24"/>
          <w:szCs w:val="24"/>
        </w:rPr>
        <w:t>dwight l koerber jr esquire</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noProof/>
          <w:sz w:val="24"/>
          <w:szCs w:val="24"/>
        </w:rPr>
        <w:t>koerber &amp; cummings llC</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noProof/>
          <w:sz w:val="24"/>
          <w:szCs w:val="24"/>
        </w:rPr>
        <w:t>PO Box 1320</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noProof/>
          <w:sz w:val="24"/>
          <w:szCs w:val="24"/>
        </w:rPr>
        <w:t>clearfield PA</w:t>
      </w:r>
      <w:r w:rsidRPr="000828B5">
        <w:rPr>
          <w:rFonts w:ascii="Microsoft Sans Serif" w:hAnsi="Microsoft Sans Serif" w:cs="Microsoft Sans Serif"/>
          <w:caps/>
          <w:sz w:val="24"/>
          <w:szCs w:val="24"/>
        </w:rPr>
        <w:t xml:space="preserve">  </w:t>
      </w:r>
      <w:r w:rsidRPr="000828B5">
        <w:rPr>
          <w:rFonts w:ascii="Microsoft Sans Serif" w:hAnsi="Microsoft Sans Serif" w:cs="Microsoft Sans Serif"/>
          <w:caps/>
          <w:noProof/>
          <w:sz w:val="24"/>
          <w:szCs w:val="24"/>
        </w:rPr>
        <w:t>16830</w:t>
      </w:r>
    </w:p>
    <w:p w:rsidR="009605AB" w:rsidRPr="000828B5" w:rsidRDefault="009605AB" w:rsidP="009605AB">
      <w:pPr>
        <w:rPr>
          <w:rFonts w:ascii="Microsoft Sans Serif" w:hAnsi="Microsoft Sans Serif" w:cs="Microsoft Sans Serif"/>
          <w:b/>
          <w:caps/>
          <w:noProof/>
          <w:sz w:val="24"/>
          <w:szCs w:val="24"/>
        </w:rPr>
      </w:pPr>
      <w:r w:rsidRPr="000828B5">
        <w:rPr>
          <w:rFonts w:ascii="Microsoft Sans Serif" w:hAnsi="Microsoft Sans Serif" w:cs="Microsoft Sans Serif"/>
          <w:b/>
          <w:caps/>
          <w:noProof/>
          <w:sz w:val="24"/>
          <w:szCs w:val="24"/>
        </w:rPr>
        <w:t>(814) 765-9611</w:t>
      </w:r>
    </w:p>
    <w:p w:rsidR="009605AB" w:rsidRPr="000828B5" w:rsidRDefault="001B3A2D" w:rsidP="009605AB">
      <w:pPr>
        <w:rPr>
          <w:rFonts w:ascii="Microsoft Sans Serif" w:hAnsi="Microsoft Sans Serif" w:cs="Microsoft Sans Serif"/>
          <w:noProof/>
          <w:sz w:val="24"/>
          <w:szCs w:val="24"/>
        </w:rPr>
      </w:pPr>
      <w:hyperlink r:id="rId12" w:history="1">
        <w:r w:rsidR="009605AB" w:rsidRPr="000828B5">
          <w:rPr>
            <w:rStyle w:val="Hyperlink"/>
            <w:rFonts w:ascii="Microsoft Sans Serif" w:hAnsi="Microsoft Sans Serif" w:cs="Microsoft Sans Serif"/>
            <w:noProof/>
            <w:sz w:val="24"/>
            <w:szCs w:val="24"/>
          </w:rPr>
          <w:t>dkoerber@atlanticbb.net</w:t>
        </w:r>
      </w:hyperlink>
    </w:p>
    <w:p w:rsidR="009605AB" w:rsidRPr="000828B5" w:rsidRDefault="009605AB" w:rsidP="009605AB">
      <w:pPr>
        <w:rPr>
          <w:rFonts w:ascii="Microsoft Sans Serif" w:hAnsi="Microsoft Sans Serif" w:cs="Microsoft Sans Serif"/>
          <w:caps/>
          <w:sz w:val="24"/>
          <w:szCs w:val="24"/>
        </w:rPr>
      </w:pPr>
    </w:p>
    <w:p w:rsidR="009605AB" w:rsidRPr="000828B5" w:rsidRDefault="009605AB" w:rsidP="009605AB">
      <w:pPr>
        <w:rPr>
          <w:rFonts w:ascii="Microsoft Sans Serif" w:hAnsi="Microsoft Sans Serif" w:cs="Microsoft Sans Serif"/>
          <w:caps/>
          <w:sz w:val="24"/>
          <w:szCs w:val="24"/>
        </w:rPr>
      </w:pP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sz w:val="24"/>
          <w:szCs w:val="24"/>
        </w:rPr>
        <w:t>pierre fortis</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sz w:val="24"/>
          <w:szCs w:val="24"/>
        </w:rPr>
        <w:t>marie-josÉ fortis</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sz w:val="24"/>
          <w:szCs w:val="24"/>
        </w:rPr>
        <w:t>417 ridgewood road</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sz w:val="24"/>
          <w:szCs w:val="24"/>
        </w:rPr>
        <w:t>shippenville pa  16254</w:t>
      </w:r>
    </w:p>
    <w:p w:rsidR="009605AB" w:rsidRPr="000828B5" w:rsidRDefault="009605AB" w:rsidP="009605AB">
      <w:pPr>
        <w:rPr>
          <w:rFonts w:ascii="Microsoft Sans Serif" w:hAnsi="Microsoft Sans Serif" w:cs="Microsoft Sans Serif"/>
          <w:b/>
          <w:caps/>
          <w:sz w:val="24"/>
          <w:szCs w:val="24"/>
        </w:rPr>
      </w:pPr>
      <w:r w:rsidRPr="000828B5">
        <w:rPr>
          <w:rFonts w:ascii="Microsoft Sans Serif" w:hAnsi="Microsoft Sans Serif" w:cs="Microsoft Sans Serif"/>
          <w:b/>
          <w:caps/>
          <w:sz w:val="24"/>
          <w:szCs w:val="24"/>
        </w:rPr>
        <w:t>(814) 918-2046</w:t>
      </w:r>
    </w:p>
    <w:p w:rsidR="009605AB" w:rsidRPr="000828B5" w:rsidRDefault="009605AB" w:rsidP="009605AB">
      <w:pPr>
        <w:rPr>
          <w:rFonts w:ascii="Microsoft Sans Serif" w:hAnsi="Microsoft Sans Serif" w:cs="Microsoft Sans Serif"/>
          <w:caps/>
          <w:sz w:val="24"/>
          <w:szCs w:val="24"/>
        </w:rPr>
      </w:pPr>
    </w:p>
    <w:p w:rsidR="009605AB" w:rsidRPr="000828B5" w:rsidRDefault="009605AB" w:rsidP="009605AB">
      <w:pPr>
        <w:rPr>
          <w:rFonts w:ascii="Microsoft Sans Serif" w:hAnsi="Microsoft Sans Serif" w:cs="Microsoft Sans Serif"/>
          <w:caps/>
          <w:sz w:val="24"/>
          <w:szCs w:val="24"/>
        </w:rPr>
      </w:pPr>
    </w:p>
    <w:p w:rsidR="009605AB" w:rsidRPr="000828B5" w:rsidRDefault="00824309" w:rsidP="009605AB">
      <w:pPr>
        <w:rPr>
          <w:rFonts w:ascii="Microsoft Sans Serif" w:hAnsi="Microsoft Sans Serif" w:cs="Microsoft Sans Serif"/>
          <w:caps/>
          <w:sz w:val="24"/>
          <w:szCs w:val="24"/>
        </w:rPr>
      </w:pPr>
      <w:r w:rsidRPr="000828B5">
        <w:rPr>
          <w:rFonts w:ascii="Microsoft Sans Serif" w:hAnsi="Microsoft Sans Serif" w:cs="Microsoft Sans Serif"/>
          <w:caps/>
          <w:sz w:val="24"/>
          <w:szCs w:val="24"/>
        </w:rPr>
        <w:t>charles d shields</w:t>
      </w:r>
      <w:r w:rsidR="009605AB" w:rsidRPr="000828B5">
        <w:rPr>
          <w:rFonts w:ascii="Microsoft Sans Serif" w:hAnsi="Microsoft Sans Serif" w:cs="Microsoft Sans Serif"/>
          <w:caps/>
          <w:sz w:val="24"/>
          <w:szCs w:val="24"/>
        </w:rPr>
        <w:t xml:space="preserve"> </w:t>
      </w:r>
      <w:r w:rsidR="009605AB" w:rsidRPr="000828B5">
        <w:rPr>
          <w:rFonts w:ascii="Microsoft Sans Serif" w:hAnsi="Microsoft Sans Serif" w:cs="Microsoft Sans Serif"/>
          <w:caps/>
          <w:noProof/>
          <w:sz w:val="24"/>
          <w:szCs w:val="24"/>
        </w:rPr>
        <w:t>Esquire</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noProof/>
          <w:sz w:val="24"/>
          <w:szCs w:val="24"/>
        </w:rPr>
        <w:t>PA PUBLIC UTILITY COMMISSION</w:t>
      </w:r>
    </w:p>
    <w:p w:rsidR="009605AB" w:rsidRPr="000828B5" w:rsidRDefault="00824309" w:rsidP="009605AB">
      <w:pPr>
        <w:rPr>
          <w:rFonts w:ascii="Microsoft Sans Serif" w:hAnsi="Microsoft Sans Serif" w:cs="Microsoft Sans Serif"/>
          <w:caps/>
          <w:sz w:val="24"/>
          <w:szCs w:val="24"/>
        </w:rPr>
      </w:pPr>
      <w:r w:rsidRPr="000828B5">
        <w:rPr>
          <w:rFonts w:ascii="Microsoft Sans Serif" w:hAnsi="Microsoft Sans Serif" w:cs="Microsoft Sans Serif"/>
          <w:caps/>
          <w:noProof/>
          <w:sz w:val="24"/>
          <w:szCs w:val="24"/>
        </w:rPr>
        <w:t>bureau of investigation and enforcement</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noProof/>
          <w:sz w:val="24"/>
          <w:szCs w:val="24"/>
        </w:rPr>
        <w:t>400 NORTH STREET</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noProof/>
          <w:sz w:val="24"/>
          <w:szCs w:val="24"/>
        </w:rPr>
        <w:t>PO BOX 3265</w:t>
      </w:r>
    </w:p>
    <w:p w:rsidR="009605AB" w:rsidRPr="000828B5" w:rsidRDefault="009605AB" w:rsidP="009605AB">
      <w:pPr>
        <w:rPr>
          <w:rFonts w:ascii="Microsoft Sans Serif" w:hAnsi="Microsoft Sans Serif" w:cs="Microsoft Sans Serif"/>
          <w:caps/>
          <w:sz w:val="24"/>
          <w:szCs w:val="24"/>
        </w:rPr>
      </w:pPr>
      <w:r w:rsidRPr="000828B5">
        <w:rPr>
          <w:rFonts w:ascii="Microsoft Sans Serif" w:hAnsi="Microsoft Sans Serif" w:cs="Microsoft Sans Serif"/>
          <w:caps/>
          <w:noProof/>
          <w:sz w:val="24"/>
          <w:szCs w:val="24"/>
        </w:rPr>
        <w:t>HARRISBURG</w:t>
      </w:r>
      <w:r w:rsidRPr="000828B5">
        <w:rPr>
          <w:rFonts w:ascii="Microsoft Sans Serif" w:hAnsi="Microsoft Sans Serif" w:cs="Microsoft Sans Serif"/>
          <w:caps/>
          <w:sz w:val="24"/>
          <w:szCs w:val="24"/>
        </w:rPr>
        <w:t xml:space="preserve"> </w:t>
      </w:r>
      <w:r w:rsidRPr="000828B5">
        <w:rPr>
          <w:rFonts w:ascii="Microsoft Sans Serif" w:hAnsi="Microsoft Sans Serif" w:cs="Microsoft Sans Serif"/>
          <w:caps/>
          <w:noProof/>
          <w:sz w:val="24"/>
          <w:szCs w:val="24"/>
        </w:rPr>
        <w:t>PA</w:t>
      </w:r>
      <w:r w:rsidRPr="000828B5">
        <w:rPr>
          <w:rFonts w:ascii="Microsoft Sans Serif" w:hAnsi="Microsoft Sans Serif" w:cs="Microsoft Sans Serif"/>
          <w:caps/>
          <w:sz w:val="24"/>
          <w:szCs w:val="24"/>
        </w:rPr>
        <w:t xml:space="preserve">  </w:t>
      </w:r>
      <w:r w:rsidRPr="000828B5">
        <w:rPr>
          <w:rFonts w:ascii="Microsoft Sans Serif" w:hAnsi="Microsoft Sans Serif" w:cs="Microsoft Sans Serif"/>
          <w:caps/>
          <w:noProof/>
          <w:sz w:val="24"/>
          <w:szCs w:val="24"/>
        </w:rPr>
        <w:t>17105-3265</w:t>
      </w:r>
    </w:p>
    <w:p w:rsidR="009605AB" w:rsidRPr="000828B5" w:rsidRDefault="009605AB" w:rsidP="009605AB">
      <w:pPr>
        <w:rPr>
          <w:rFonts w:ascii="Microsoft Sans Serif" w:hAnsi="Microsoft Sans Serif" w:cs="Microsoft Sans Serif"/>
          <w:b/>
          <w:caps/>
          <w:sz w:val="24"/>
          <w:szCs w:val="24"/>
        </w:rPr>
        <w:sectPr w:rsidR="009605AB" w:rsidRPr="000828B5" w:rsidSect="00317690">
          <w:pgSz w:w="12240" w:h="15840" w:code="1"/>
          <w:pgMar w:top="1440" w:right="1440" w:bottom="1440" w:left="1440" w:header="720" w:footer="1440" w:gutter="0"/>
          <w:pgNumType w:start="1"/>
          <w:cols w:space="720"/>
          <w:noEndnote/>
          <w:titlePg/>
          <w:docGrid w:linePitch="326"/>
        </w:sectPr>
      </w:pPr>
      <w:r w:rsidRPr="000828B5">
        <w:rPr>
          <w:rFonts w:ascii="Microsoft Sans Serif" w:hAnsi="Microsoft Sans Serif" w:cs="Microsoft Sans Serif"/>
          <w:b/>
          <w:caps/>
          <w:noProof/>
          <w:sz w:val="24"/>
          <w:szCs w:val="24"/>
        </w:rPr>
        <w:t>(717) 783-615</w:t>
      </w:r>
      <w:r w:rsidR="000828B5" w:rsidRPr="000828B5">
        <w:rPr>
          <w:rFonts w:ascii="Microsoft Sans Serif" w:hAnsi="Microsoft Sans Serif" w:cs="Microsoft Sans Serif"/>
          <w:b/>
          <w:caps/>
          <w:noProof/>
          <w:sz w:val="24"/>
          <w:szCs w:val="24"/>
        </w:rPr>
        <w:t>1</w:t>
      </w:r>
    </w:p>
    <w:p w:rsidR="009605AB" w:rsidRPr="000828B5" w:rsidRDefault="001B3A2D" w:rsidP="009605AB">
      <w:pPr>
        <w:rPr>
          <w:rFonts w:ascii="Microsoft Sans Serif" w:hAnsi="Microsoft Sans Serif" w:cs="Microsoft Sans Serif"/>
          <w:sz w:val="24"/>
          <w:szCs w:val="24"/>
        </w:rPr>
      </w:pPr>
      <w:hyperlink r:id="rId13" w:history="1">
        <w:r w:rsidR="00824309" w:rsidRPr="000828B5">
          <w:rPr>
            <w:rStyle w:val="Hyperlink"/>
            <w:rFonts w:ascii="Microsoft Sans Serif" w:hAnsi="Microsoft Sans Serif" w:cs="Microsoft Sans Serif"/>
            <w:sz w:val="24"/>
            <w:szCs w:val="24"/>
          </w:rPr>
          <w:t>chshields@state.pa.us</w:t>
        </w:r>
      </w:hyperlink>
    </w:p>
    <w:p w:rsidR="009605AB" w:rsidRPr="000828B5" w:rsidRDefault="009605AB" w:rsidP="009605AB">
      <w:pPr>
        <w:rPr>
          <w:rFonts w:ascii="Microsoft Sans Serif" w:hAnsi="Microsoft Sans Serif" w:cs="Microsoft Sans Serif"/>
          <w:sz w:val="24"/>
          <w:szCs w:val="24"/>
        </w:rPr>
      </w:pPr>
    </w:p>
    <w:p w:rsidR="00824309" w:rsidRPr="000828B5" w:rsidRDefault="00824309" w:rsidP="009605AB">
      <w:pPr>
        <w:rPr>
          <w:rFonts w:ascii="Microsoft Sans Serif" w:hAnsi="Microsoft Sans Serif" w:cs="Microsoft Sans Serif"/>
          <w:sz w:val="24"/>
          <w:szCs w:val="24"/>
        </w:rPr>
      </w:pPr>
    </w:p>
    <w:p w:rsidR="009605AB" w:rsidRPr="0060708C" w:rsidRDefault="009605AB" w:rsidP="009605AB">
      <w:pPr>
        <w:rPr>
          <w:rFonts w:ascii="Arial monospaced for SAP" w:hAnsi="Arial monospaced for SAP" w:cs="Arial"/>
        </w:rPr>
      </w:pPr>
    </w:p>
    <w:p w:rsidR="009605AB" w:rsidRPr="00A03D6F" w:rsidRDefault="009605AB" w:rsidP="00A56C8F">
      <w:pPr>
        <w:tabs>
          <w:tab w:val="left" w:pos="0"/>
        </w:tabs>
        <w:spacing w:line="360" w:lineRule="auto"/>
        <w:jc w:val="both"/>
        <w:rPr>
          <w:sz w:val="24"/>
        </w:rPr>
      </w:pPr>
    </w:p>
    <w:sectPr w:rsidR="009605AB" w:rsidRPr="00A03D6F" w:rsidSect="00795433">
      <w:footerReference w:type="default" r:id="rId14"/>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D17" w:rsidRDefault="005E2D17">
      <w:r>
        <w:separator/>
      </w:r>
    </w:p>
  </w:endnote>
  <w:endnote w:type="continuationSeparator" w:id="0">
    <w:p w:rsidR="005E2D17" w:rsidRDefault="005E2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73" w:rsidRDefault="001B3A2D">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654273">
      <w:rPr>
        <w:rStyle w:val="PageNumber"/>
        <w:noProof/>
      </w:rPr>
      <w:t>1</w:t>
    </w:r>
    <w:r>
      <w:rPr>
        <w:rStyle w:val="PageNumber"/>
      </w:rPr>
      <w:fldChar w:fldCharType="end"/>
    </w:r>
  </w:p>
  <w:p w:rsidR="00654273" w:rsidRDefault="006542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59626"/>
      <w:docPartObj>
        <w:docPartGallery w:val="Page Numbers (Bottom of Page)"/>
        <w:docPartUnique/>
      </w:docPartObj>
    </w:sdtPr>
    <w:sdtContent>
      <w:p w:rsidR="009F05C5" w:rsidRDefault="001B3A2D">
        <w:pPr>
          <w:pStyle w:val="Footer"/>
          <w:jc w:val="center"/>
        </w:pPr>
        <w:fldSimple w:instr=" PAGE   \* MERGEFORMAT ">
          <w:r w:rsidR="00713E43">
            <w:rPr>
              <w:noProof/>
            </w:rPr>
            <w:t>7</w:t>
          </w:r>
        </w:fldSimple>
      </w:p>
    </w:sdtContent>
  </w:sdt>
  <w:p w:rsidR="00654273" w:rsidRDefault="006542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9E" w:rsidRDefault="001B3A2D">
    <w:pPr>
      <w:pStyle w:val="Footer"/>
      <w:framePr w:wrap="auto" w:vAnchor="text" w:hAnchor="margin" w:xAlign="center" w:y="1"/>
      <w:rPr>
        <w:rStyle w:val="PageNumber"/>
      </w:rPr>
    </w:pPr>
    <w:r>
      <w:rPr>
        <w:rStyle w:val="PageNumber"/>
      </w:rPr>
      <w:fldChar w:fldCharType="begin"/>
    </w:r>
    <w:r w:rsidR="007F7768">
      <w:rPr>
        <w:rStyle w:val="PageNumber"/>
      </w:rPr>
      <w:instrText xml:space="preserve">PAGE  </w:instrText>
    </w:r>
    <w:r>
      <w:rPr>
        <w:rStyle w:val="PageNumber"/>
      </w:rPr>
      <w:fldChar w:fldCharType="separate"/>
    </w:r>
    <w:r w:rsidR="007F7768">
      <w:rPr>
        <w:rStyle w:val="PageNumber"/>
        <w:noProof/>
      </w:rPr>
      <w:t>6</w:t>
    </w:r>
    <w:r>
      <w:rPr>
        <w:rStyle w:val="PageNumber"/>
      </w:rPr>
      <w:fldChar w:fldCharType="end"/>
    </w:r>
  </w:p>
  <w:p w:rsidR="003B479E" w:rsidRDefault="005E2D17">
    <w:pPr>
      <w:spacing w:before="140" w:line="100" w:lineRule="exact"/>
      <w:rPr>
        <w:sz w:val="9"/>
        <w:szCs w:val="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D17" w:rsidRDefault="005E2D17">
      <w:r>
        <w:separator/>
      </w:r>
    </w:p>
  </w:footnote>
  <w:footnote w:type="continuationSeparator" w:id="0">
    <w:p w:rsidR="005E2D17" w:rsidRDefault="005E2D17">
      <w:r>
        <w:continuationSeparator/>
      </w:r>
    </w:p>
  </w:footnote>
  <w:footnote w:id="1">
    <w:p w:rsidR="002A66C2" w:rsidRDefault="00C478FB">
      <w:pPr>
        <w:pStyle w:val="FootnoteText"/>
      </w:pPr>
      <w:r>
        <w:tab/>
      </w:r>
      <w:r w:rsidR="002A66C2">
        <w:rPr>
          <w:rStyle w:val="FootnoteReference"/>
        </w:rPr>
        <w:footnoteRef/>
      </w:r>
      <w:r w:rsidR="002A66C2">
        <w:t xml:space="preserve"> </w:t>
      </w:r>
      <w:r w:rsidR="002A66C2">
        <w:tab/>
        <w:t xml:space="preserve">The Commission’s Office of Trial Staff (OTS) initially entered its appearance in this proceeding.  After a Commission restructuring, OTS became a part of the newly created BIE.  </w:t>
      </w:r>
    </w:p>
    <w:p w:rsidR="002A66C2" w:rsidRDefault="002A66C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30B623E"/>
    <w:multiLevelType w:val="hybridMultilevel"/>
    <w:tmpl w:val="2716CA10"/>
    <w:lvl w:ilvl="0" w:tplc="4622F8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6C9073D"/>
    <w:multiLevelType w:val="singleLevel"/>
    <w:tmpl w:val="0409000F"/>
    <w:lvl w:ilvl="0">
      <w:start w:val="1"/>
      <w:numFmt w:val="decimal"/>
      <w:lvlText w:val="%1."/>
      <w:lvlJc w:val="left"/>
      <w:pPr>
        <w:tabs>
          <w:tab w:val="num" w:pos="360"/>
        </w:tabs>
        <w:ind w:left="360" w:hanging="360"/>
      </w:pPr>
    </w:lvl>
  </w:abstractNum>
  <w:abstractNum w:abstractNumId="3">
    <w:nsid w:val="4F66445D"/>
    <w:multiLevelType w:val="singleLevel"/>
    <w:tmpl w:val="AFA251B6"/>
    <w:lvl w:ilvl="0">
      <w:start w:val="1"/>
      <w:numFmt w:val="decimal"/>
      <w:lvlText w:val="%1."/>
      <w:lvlJc w:val="left"/>
      <w:pPr>
        <w:tabs>
          <w:tab w:val="num" w:pos="2160"/>
        </w:tabs>
        <w:ind w:left="2160" w:hanging="720"/>
      </w:pPr>
    </w:lvl>
  </w:abstractNum>
  <w:abstractNum w:abstractNumId="4">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6">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lvlOverride w:ilvl="0">
      <w:startOverride w:val="1"/>
    </w:lvlOverride>
  </w:num>
  <w:num w:numId="4">
    <w:abstractNumId w:val="6"/>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docVars>
    <w:docVar w:name="dgnword-eventsink" w:val="w:compa"/>
  </w:docVars>
  <w:rsids>
    <w:rsidRoot w:val="00D52F64"/>
    <w:rsid w:val="00004554"/>
    <w:rsid w:val="00013C43"/>
    <w:rsid w:val="00014C4F"/>
    <w:rsid w:val="000352B0"/>
    <w:rsid w:val="00037BE6"/>
    <w:rsid w:val="00044702"/>
    <w:rsid w:val="000467BD"/>
    <w:rsid w:val="00056EE7"/>
    <w:rsid w:val="000828B5"/>
    <w:rsid w:val="00085C7F"/>
    <w:rsid w:val="000900E3"/>
    <w:rsid w:val="000A22F9"/>
    <w:rsid w:val="000D50F2"/>
    <w:rsid w:val="0012273D"/>
    <w:rsid w:val="00150A2F"/>
    <w:rsid w:val="00184F2A"/>
    <w:rsid w:val="001902E3"/>
    <w:rsid w:val="0019400A"/>
    <w:rsid w:val="001B3A2D"/>
    <w:rsid w:val="001B61F5"/>
    <w:rsid w:val="001D0C89"/>
    <w:rsid w:val="001D1F7D"/>
    <w:rsid w:val="001D43E4"/>
    <w:rsid w:val="001D7F5A"/>
    <w:rsid w:val="001F11F8"/>
    <w:rsid w:val="001F27D0"/>
    <w:rsid w:val="001F65D7"/>
    <w:rsid w:val="00214B31"/>
    <w:rsid w:val="00215A09"/>
    <w:rsid w:val="00215D02"/>
    <w:rsid w:val="0021685B"/>
    <w:rsid w:val="00221AD0"/>
    <w:rsid w:val="00243EA3"/>
    <w:rsid w:val="00293C4D"/>
    <w:rsid w:val="00295C93"/>
    <w:rsid w:val="002A66C2"/>
    <w:rsid w:val="002A6CBD"/>
    <w:rsid w:val="002A6DE7"/>
    <w:rsid w:val="002C1D36"/>
    <w:rsid w:val="002C5F54"/>
    <w:rsid w:val="002E06DD"/>
    <w:rsid w:val="002E35C7"/>
    <w:rsid w:val="002F622D"/>
    <w:rsid w:val="0034230C"/>
    <w:rsid w:val="00361600"/>
    <w:rsid w:val="003B3FBC"/>
    <w:rsid w:val="003B4302"/>
    <w:rsid w:val="003D1D5E"/>
    <w:rsid w:val="003E4E24"/>
    <w:rsid w:val="003F0312"/>
    <w:rsid w:val="00402DE5"/>
    <w:rsid w:val="00412780"/>
    <w:rsid w:val="004400F0"/>
    <w:rsid w:val="00477560"/>
    <w:rsid w:val="0049223C"/>
    <w:rsid w:val="004B020A"/>
    <w:rsid w:val="004B0B15"/>
    <w:rsid w:val="004B6464"/>
    <w:rsid w:val="004C2128"/>
    <w:rsid w:val="004C3DB4"/>
    <w:rsid w:val="004C4864"/>
    <w:rsid w:val="004C623B"/>
    <w:rsid w:val="004C70BF"/>
    <w:rsid w:val="004F3C7A"/>
    <w:rsid w:val="004F5506"/>
    <w:rsid w:val="004F587C"/>
    <w:rsid w:val="00520F7B"/>
    <w:rsid w:val="0053527F"/>
    <w:rsid w:val="005353C8"/>
    <w:rsid w:val="00536E2B"/>
    <w:rsid w:val="005404D0"/>
    <w:rsid w:val="0056074E"/>
    <w:rsid w:val="00576552"/>
    <w:rsid w:val="00586FAE"/>
    <w:rsid w:val="00592F56"/>
    <w:rsid w:val="005E2D17"/>
    <w:rsid w:val="005F4513"/>
    <w:rsid w:val="00600ECE"/>
    <w:rsid w:val="00605795"/>
    <w:rsid w:val="00614A34"/>
    <w:rsid w:val="00627383"/>
    <w:rsid w:val="00632227"/>
    <w:rsid w:val="00642B41"/>
    <w:rsid w:val="00643444"/>
    <w:rsid w:val="00654273"/>
    <w:rsid w:val="006652FE"/>
    <w:rsid w:val="006936E0"/>
    <w:rsid w:val="006954AE"/>
    <w:rsid w:val="0069655D"/>
    <w:rsid w:val="006A3A58"/>
    <w:rsid w:val="006F100D"/>
    <w:rsid w:val="00713AAF"/>
    <w:rsid w:val="00713E43"/>
    <w:rsid w:val="0071408B"/>
    <w:rsid w:val="00724559"/>
    <w:rsid w:val="00724DA8"/>
    <w:rsid w:val="0072627C"/>
    <w:rsid w:val="00733C17"/>
    <w:rsid w:val="0073521D"/>
    <w:rsid w:val="00763A46"/>
    <w:rsid w:val="0077153E"/>
    <w:rsid w:val="0078531F"/>
    <w:rsid w:val="007A0BF6"/>
    <w:rsid w:val="007A0CC7"/>
    <w:rsid w:val="007B28B5"/>
    <w:rsid w:val="007F42E6"/>
    <w:rsid w:val="007F7768"/>
    <w:rsid w:val="00803743"/>
    <w:rsid w:val="00824309"/>
    <w:rsid w:val="00826A83"/>
    <w:rsid w:val="00837034"/>
    <w:rsid w:val="00850961"/>
    <w:rsid w:val="00850CFA"/>
    <w:rsid w:val="008659A1"/>
    <w:rsid w:val="008702A2"/>
    <w:rsid w:val="008A3B75"/>
    <w:rsid w:val="008A4CCD"/>
    <w:rsid w:val="008B132B"/>
    <w:rsid w:val="008F41C8"/>
    <w:rsid w:val="0092156D"/>
    <w:rsid w:val="0093323E"/>
    <w:rsid w:val="00934529"/>
    <w:rsid w:val="00947492"/>
    <w:rsid w:val="00954BD4"/>
    <w:rsid w:val="00957EBC"/>
    <w:rsid w:val="009605AB"/>
    <w:rsid w:val="00965663"/>
    <w:rsid w:val="00975953"/>
    <w:rsid w:val="00997F90"/>
    <w:rsid w:val="009D0C65"/>
    <w:rsid w:val="009D5002"/>
    <w:rsid w:val="009D6EC6"/>
    <w:rsid w:val="009F05C5"/>
    <w:rsid w:val="00A0342E"/>
    <w:rsid w:val="00A03D6F"/>
    <w:rsid w:val="00A07A71"/>
    <w:rsid w:val="00A1622D"/>
    <w:rsid w:val="00A22ECD"/>
    <w:rsid w:val="00A30925"/>
    <w:rsid w:val="00A53495"/>
    <w:rsid w:val="00A56C8F"/>
    <w:rsid w:val="00A7056A"/>
    <w:rsid w:val="00A750F3"/>
    <w:rsid w:val="00A806E3"/>
    <w:rsid w:val="00A845EE"/>
    <w:rsid w:val="00A93BCB"/>
    <w:rsid w:val="00AA28C9"/>
    <w:rsid w:val="00AB4152"/>
    <w:rsid w:val="00AC4E85"/>
    <w:rsid w:val="00AE6731"/>
    <w:rsid w:val="00AF2E3A"/>
    <w:rsid w:val="00B02B8A"/>
    <w:rsid w:val="00B16405"/>
    <w:rsid w:val="00B21D2D"/>
    <w:rsid w:val="00B45F3B"/>
    <w:rsid w:val="00B476E8"/>
    <w:rsid w:val="00B741DB"/>
    <w:rsid w:val="00B75065"/>
    <w:rsid w:val="00B97617"/>
    <w:rsid w:val="00BA623E"/>
    <w:rsid w:val="00BD2247"/>
    <w:rsid w:val="00BF574B"/>
    <w:rsid w:val="00C0610A"/>
    <w:rsid w:val="00C36F93"/>
    <w:rsid w:val="00C478FB"/>
    <w:rsid w:val="00C529B6"/>
    <w:rsid w:val="00C7594D"/>
    <w:rsid w:val="00C81119"/>
    <w:rsid w:val="00C8269E"/>
    <w:rsid w:val="00CB1BE1"/>
    <w:rsid w:val="00CB52DC"/>
    <w:rsid w:val="00CB7FC5"/>
    <w:rsid w:val="00CD4868"/>
    <w:rsid w:val="00CE05C6"/>
    <w:rsid w:val="00D11CEF"/>
    <w:rsid w:val="00D31E41"/>
    <w:rsid w:val="00D33A87"/>
    <w:rsid w:val="00D52F64"/>
    <w:rsid w:val="00D60E67"/>
    <w:rsid w:val="00D71686"/>
    <w:rsid w:val="00D729D7"/>
    <w:rsid w:val="00D83B9E"/>
    <w:rsid w:val="00D858BF"/>
    <w:rsid w:val="00D91969"/>
    <w:rsid w:val="00D9501D"/>
    <w:rsid w:val="00D9746A"/>
    <w:rsid w:val="00DC0B72"/>
    <w:rsid w:val="00DC407E"/>
    <w:rsid w:val="00DD73D6"/>
    <w:rsid w:val="00E06681"/>
    <w:rsid w:val="00E40DCA"/>
    <w:rsid w:val="00E736D2"/>
    <w:rsid w:val="00E75DF5"/>
    <w:rsid w:val="00E94178"/>
    <w:rsid w:val="00EB78AF"/>
    <w:rsid w:val="00EF1E71"/>
    <w:rsid w:val="00F06152"/>
    <w:rsid w:val="00F37FEC"/>
    <w:rsid w:val="00F52EC7"/>
    <w:rsid w:val="00F55E18"/>
    <w:rsid w:val="00F800D0"/>
    <w:rsid w:val="00F84B20"/>
    <w:rsid w:val="00FA4AA7"/>
    <w:rsid w:val="00FA6C89"/>
    <w:rsid w:val="00FB2B57"/>
    <w:rsid w:val="00FB3EBA"/>
    <w:rsid w:val="00FB61D2"/>
    <w:rsid w:val="00FD7B3C"/>
    <w:rsid w:val="00FE10E5"/>
    <w:rsid w:val="00FE4E8F"/>
    <w:rsid w:val="00FF1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paragraph" w:styleId="Heading2">
    <w:name w:val="heading 2"/>
    <w:basedOn w:val="Normal"/>
    <w:next w:val="Normal"/>
    <w:link w:val="Heading2Char"/>
    <w:qFormat/>
    <w:rsid w:val="009605AB"/>
    <w:pPr>
      <w:keepNext/>
      <w:spacing w:line="360" w:lineRule="auto"/>
      <w:jc w:val="both"/>
      <w:outlineLvl w:val="1"/>
    </w:pPr>
    <w:rPr>
      <w:rFonts w:eastAsia="Times New Roman"/>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Header">
    <w:name w:val="header"/>
    <w:basedOn w:val="Normal"/>
    <w:link w:val="HeaderChar"/>
    <w:rsid w:val="009F05C5"/>
    <w:pPr>
      <w:tabs>
        <w:tab w:val="center" w:pos="4680"/>
        <w:tab w:val="right" w:pos="9360"/>
      </w:tabs>
    </w:pPr>
  </w:style>
  <w:style w:type="character" w:customStyle="1" w:styleId="HeaderChar">
    <w:name w:val="Header Char"/>
    <w:basedOn w:val="DefaultParagraphFont"/>
    <w:link w:val="Header"/>
    <w:rsid w:val="009F05C5"/>
  </w:style>
  <w:style w:type="character" w:customStyle="1" w:styleId="FooterChar">
    <w:name w:val="Footer Char"/>
    <w:basedOn w:val="DefaultParagraphFont"/>
    <w:link w:val="Footer"/>
    <w:uiPriority w:val="99"/>
    <w:rsid w:val="009F05C5"/>
  </w:style>
  <w:style w:type="paragraph" w:styleId="FootnoteText">
    <w:name w:val="footnote text"/>
    <w:basedOn w:val="Normal"/>
    <w:link w:val="FootnoteTextChar"/>
    <w:rsid w:val="002A66C2"/>
  </w:style>
  <w:style w:type="character" w:customStyle="1" w:styleId="FootnoteTextChar">
    <w:name w:val="Footnote Text Char"/>
    <w:basedOn w:val="DefaultParagraphFont"/>
    <w:link w:val="FootnoteText"/>
    <w:rsid w:val="002A66C2"/>
  </w:style>
  <w:style w:type="character" w:styleId="FootnoteReference">
    <w:name w:val="footnote reference"/>
    <w:basedOn w:val="DefaultParagraphFont"/>
    <w:rsid w:val="002A66C2"/>
    <w:rPr>
      <w:vertAlign w:val="superscript"/>
    </w:rPr>
  </w:style>
  <w:style w:type="character" w:customStyle="1" w:styleId="Heading2Char">
    <w:name w:val="Heading 2 Char"/>
    <w:basedOn w:val="DefaultParagraphFont"/>
    <w:link w:val="Heading2"/>
    <w:rsid w:val="009605AB"/>
    <w:rPr>
      <w:rFonts w:eastAsia="Times New Roman"/>
      <w:b/>
      <w:sz w:val="26"/>
      <w:u w:val="single"/>
    </w:rPr>
  </w:style>
  <w:style w:type="character" w:styleId="Hyperlink">
    <w:name w:val="Hyperlink"/>
    <w:basedOn w:val="DefaultParagraphFont"/>
    <w:rsid w:val="009605AB"/>
    <w:rPr>
      <w:color w:val="0000FF"/>
      <w:u w:val="single"/>
    </w:rPr>
  </w:style>
</w:styles>
</file>

<file path=word/webSettings.xml><?xml version="1.0" encoding="utf-8"?>
<w:webSettings xmlns:r="http://schemas.openxmlformats.org/officeDocument/2006/relationships" xmlns:w="http://schemas.openxmlformats.org/wordprocessingml/2006/main">
  <w:divs>
    <w:div w:id="191503133">
      <w:bodyDiv w:val="1"/>
      <w:marLeft w:val="0"/>
      <w:marRight w:val="0"/>
      <w:marTop w:val="0"/>
      <w:marBottom w:val="0"/>
      <w:divBdr>
        <w:top w:val="none" w:sz="0" w:space="0" w:color="auto"/>
        <w:left w:val="none" w:sz="0" w:space="0" w:color="auto"/>
        <w:bottom w:val="none" w:sz="0" w:space="0" w:color="auto"/>
        <w:right w:val="none" w:sz="0" w:space="0" w:color="auto"/>
      </w:divBdr>
    </w:div>
    <w:div w:id="3919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johnson@pa.gov" TargetMode="External"/><Relationship Id="rId13" Type="http://schemas.openxmlformats.org/officeDocument/2006/relationships/hyperlink" Target="mailto:chshields@state.p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oerber@atlanticbb.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3047-BD1D-4617-B7A1-367A45DF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Kim</dc:creator>
  <cp:keywords/>
  <cp:lastModifiedBy>bfaccenda</cp:lastModifiedBy>
  <cp:revision>9</cp:revision>
  <cp:lastPrinted>2011-09-15T15:08:00Z</cp:lastPrinted>
  <dcterms:created xsi:type="dcterms:W3CDTF">2011-09-19T16:04:00Z</dcterms:created>
  <dcterms:modified xsi:type="dcterms:W3CDTF">2011-09-19T17:17:00Z</dcterms:modified>
</cp:coreProperties>
</file>