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10A" w:rsidRPr="00B003F4" w:rsidRDefault="0020610A" w:rsidP="00B03444">
      <w:pPr>
        <w:tabs>
          <w:tab w:val="left" w:pos="2250"/>
          <w:tab w:val="center" w:pos="4680"/>
        </w:tabs>
        <w:suppressAutoHyphens/>
        <w:jc w:val="center"/>
        <w:rPr>
          <w:b/>
          <w:bCs/>
        </w:rPr>
      </w:pPr>
      <w:r w:rsidRPr="00B003F4">
        <w:rPr>
          <w:b/>
          <w:bCs/>
        </w:rPr>
        <w:t>BEFORE THE</w:t>
      </w:r>
    </w:p>
    <w:p w:rsidR="0020610A" w:rsidRPr="00B003F4" w:rsidRDefault="0020610A" w:rsidP="00B03444">
      <w:pPr>
        <w:tabs>
          <w:tab w:val="left" w:pos="-720"/>
          <w:tab w:val="left" w:pos="2250"/>
        </w:tabs>
        <w:suppressAutoHyphens/>
        <w:jc w:val="center"/>
        <w:rPr>
          <w:b/>
          <w:bCs/>
        </w:rPr>
      </w:pPr>
      <w:smartTag w:uri="urn:schemas-microsoft-com:office:smarttags" w:element="place">
        <w:smartTag w:uri="urn:schemas-microsoft-com:office:smarttags" w:element="State">
          <w:r w:rsidRPr="00B003F4">
            <w:rPr>
              <w:b/>
              <w:bCs/>
            </w:rPr>
            <w:t>PENNSYLVANIA</w:t>
          </w:r>
        </w:smartTag>
      </w:smartTag>
      <w:r w:rsidRPr="00B003F4">
        <w:rPr>
          <w:b/>
          <w:bCs/>
        </w:rPr>
        <w:t xml:space="preserve"> PUBLIC UTILITY COMMISSION</w:t>
      </w:r>
    </w:p>
    <w:p w:rsidR="0020610A" w:rsidRPr="00B003F4" w:rsidRDefault="0020610A" w:rsidP="00B03444">
      <w:pPr>
        <w:tabs>
          <w:tab w:val="left" w:pos="-720"/>
          <w:tab w:val="left" w:pos="2250"/>
        </w:tabs>
        <w:suppressAutoHyphens/>
        <w:jc w:val="center"/>
        <w:rPr>
          <w:b/>
          <w:bCs/>
        </w:rPr>
      </w:pPr>
    </w:p>
    <w:p w:rsidR="0020610A" w:rsidRPr="00B003F4" w:rsidRDefault="0020610A" w:rsidP="00B03444">
      <w:pPr>
        <w:tabs>
          <w:tab w:val="left" w:pos="-720"/>
          <w:tab w:val="left" w:pos="2250"/>
        </w:tabs>
        <w:suppressAutoHyphens/>
        <w:jc w:val="center"/>
        <w:rPr>
          <w:b/>
          <w:bCs/>
        </w:rPr>
      </w:pPr>
    </w:p>
    <w:p w:rsidR="0020610A" w:rsidRPr="00B003F4" w:rsidRDefault="0020610A" w:rsidP="00B03444">
      <w:pPr>
        <w:tabs>
          <w:tab w:val="left" w:pos="-720"/>
          <w:tab w:val="left" w:pos="2250"/>
        </w:tabs>
        <w:suppressAutoHyphens/>
        <w:jc w:val="center"/>
        <w:rPr>
          <w:b/>
          <w:bCs/>
        </w:rPr>
      </w:pPr>
    </w:p>
    <w:p w:rsidR="0020610A" w:rsidRPr="00B003F4" w:rsidRDefault="00870E2A" w:rsidP="00B03444">
      <w:pPr>
        <w:tabs>
          <w:tab w:val="left" w:pos="-720"/>
          <w:tab w:val="left" w:pos="2250"/>
        </w:tabs>
        <w:suppressAutoHyphens/>
      </w:pPr>
      <w:r>
        <w:t>Haleema B. Alkhatib</w:t>
      </w:r>
      <w:r w:rsidR="0020610A" w:rsidRPr="00B003F4">
        <w:tab/>
      </w:r>
      <w:r w:rsidR="0020610A" w:rsidRPr="00B003F4">
        <w:tab/>
      </w:r>
      <w:r w:rsidR="0020610A" w:rsidRPr="00B003F4">
        <w:tab/>
      </w:r>
      <w:r w:rsidR="0020610A" w:rsidRPr="00B003F4">
        <w:tab/>
      </w:r>
      <w:r w:rsidR="0020610A">
        <w:tab/>
      </w:r>
      <w:r w:rsidR="0020610A" w:rsidRPr="00B003F4">
        <w:t>:</w:t>
      </w:r>
    </w:p>
    <w:p w:rsidR="0020610A" w:rsidRPr="00B003F4" w:rsidRDefault="0020610A" w:rsidP="00B03444">
      <w:pPr>
        <w:tabs>
          <w:tab w:val="left" w:pos="-720"/>
        </w:tabs>
        <w:suppressAutoHyphens/>
      </w:pPr>
      <w:r w:rsidRPr="00B003F4">
        <w:tab/>
      </w:r>
      <w:r w:rsidRPr="00B003F4">
        <w:tab/>
      </w:r>
      <w:r w:rsidRPr="00B003F4">
        <w:tab/>
      </w:r>
      <w:r w:rsidRPr="00B003F4">
        <w:tab/>
      </w:r>
      <w:r w:rsidRPr="00B003F4">
        <w:tab/>
      </w:r>
      <w:r w:rsidRPr="00B003F4">
        <w:tab/>
      </w:r>
      <w:r w:rsidRPr="00B003F4">
        <w:tab/>
        <w:t>:</w:t>
      </w:r>
    </w:p>
    <w:p w:rsidR="0020610A" w:rsidRPr="00B003F4" w:rsidRDefault="005B1EC6" w:rsidP="00B03444">
      <w:pPr>
        <w:tabs>
          <w:tab w:val="left" w:pos="-720"/>
        </w:tabs>
        <w:suppressAutoHyphens/>
      </w:pPr>
      <w:r>
        <w:tab/>
        <w:t>v.</w:t>
      </w:r>
      <w:r>
        <w:tab/>
      </w:r>
      <w:r>
        <w:tab/>
      </w:r>
      <w:r>
        <w:tab/>
      </w:r>
      <w:r>
        <w:tab/>
      </w:r>
      <w:r>
        <w:tab/>
      </w:r>
      <w:r>
        <w:tab/>
        <w:t>:</w:t>
      </w:r>
      <w:r>
        <w:tab/>
      </w:r>
      <w:r>
        <w:tab/>
      </w:r>
      <w:r w:rsidR="0020610A" w:rsidRPr="00B003F4">
        <w:t>C-20</w:t>
      </w:r>
      <w:r w:rsidR="00543F0D">
        <w:t>1</w:t>
      </w:r>
      <w:r w:rsidR="00A840AE">
        <w:t>1-22</w:t>
      </w:r>
      <w:r w:rsidR="00870E2A">
        <w:t>42125</w:t>
      </w:r>
    </w:p>
    <w:p w:rsidR="0020610A" w:rsidRPr="00B003F4" w:rsidRDefault="0020610A" w:rsidP="00B03444">
      <w:pPr>
        <w:tabs>
          <w:tab w:val="left" w:pos="-720"/>
        </w:tabs>
        <w:suppressAutoHyphens/>
      </w:pPr>
      <w:r w:rsidRPr="00B003F4">
        <w:tab/>
      </w:r>
      <w:r w:rsidRPr="00B003F4">
        <w:tab/>
      </w:r>
      <w:r w:rsidRPr="00B003F4">
        <w:tab/>
      </w:r>
      <w:r w:rsidRPr="00B003F4">
        <w:tab/>
      </w:r>
      <w:r w:rsidRPr="00B003F4">
        <w:tab/>
      </w:r>
      <w:r w:rsidRPr="00B003F4">
        <w:tab/>
      </w:r>
      <w:r w:rsidRPr="00B003F4">
        <w:tab/>
        <w:t>:</w:t>
      </w:r>
    </w:p>
    <w:p w:rsidR="0020610A" w:rsidRDefault="00543F0D" w:rsidP="00B03444">
      <w:pPr>
        <w:tabs>
          <w:tab w:val="left" w:pos="-720"/>
          <w:tab w:val="left" w:pos="2250"/>
        </w:tabs>
        <w:suppressAutoHyphens/>
      </w:pPr>
      <w:r>
        <w:t>P</w:t>
      </w:r>
      <w:r w:rsidR="00870E2A">
        <w:t>ECO Energy Company</w:t>
      </w:r>
      <w:r w:rsidR="00870E2A">
        <w:tab/>
      </w:r>
      <w:r w:rsidR="0020610A" w:rsidRPr="00B003F4">
        <w:tab/>
      </w:r>
      <w:r w:rsidR="0020610A" w:rsidRPr="00B003F4">
        <w:tab/>
      </w:r>
      <w:r w:rsidR="0020610A" w:rsidRPr="00B003F4">
        <w:tab/>
        <w:t>:</w:t>
      </w:r>
    </w:p>
    <w:p w:rsidR="006F3B92" w:rsidRDefault="006F3B92" w:rsidP="00B03444">
      <w:pPr>
        <w:tabs>
          <w:tab w:val="left" w:pos="-720"/>
          <w:tab w:val="left" w:pos="2250"/>
        </w:tabs>
        <w:suppressAutoHyphens/>
      </w:pPr>
    </w:p>
    <w:p w:rsidR="006F3B92" w:rsidRDefault="006F3B92" w:rsidP="00B03444">
      <w:pPr>
        <w:tabs>
          <w:tab w:val="left" w:pos="-720"/>
          <w:tab w:val="left" w:pos="2250"/>
        </w:tabs>
        <w:suppressAutoHyphens/>
      </w:pPr>
    </w:p>
    <w:p w:rsidR="00B03444" w:rsidRDefault="00B03444" w:rsidP="00B03444">
      <w:pPr>
        <w:tabs>
          <w:tab w:val="left" w:pos="-720"/>
          <w:tab w:val="left" w:pos="2250"/>
        </w:tabs>
        <w:suppressAutoHyphens/>
        <w:jc w:val="center"/>
        <w:rPr>
          <w:b/>
          <w:u w:val="single"/>
        </w:rPr>
      </w:pPr>
    </w:p>
    <w:p w:rsidR="006F3B92" w:rsidRDefault="006F3B92" w:rsidP="00B03444">
      <w:pPr>
        <w:tabs>
          <w:tab w:val="left" w:pos="-720"/>
          <w:tab w:val="left" w:pos="2250"/>
        </w:tabs>
        <w:suppressAutoHyphens/>
        <w:jc w:val="center"/>
      </w:pPr>
      <w:r>
        <w:rPr>
          <w:b/>
          <w:u w:val="single"/>
        </w:rPr>
        <w:t>INITIAL DECISION</w:t>
      </w:r>
    </w:p>
    <w:p w:rsidR="006F3B92" w:rsidRDefault="006F3B92" w:rsidP="00B03444">
      <w:pPr>
        <w:tabs>
          <w:tab w:val="left" w:pos="-720"/>
          <w:tab w:val="left" w:pos="2250"/>
        </w:tabs>
        <w:suppressAutoHyphens/>
        <w:jc w:val="center"/>
      </w:pPr>
    </w:p>
    <w:p w:rsidR="00B03444" w:rsidRDefault="00B03444" w:rsidP="00B03444">
      <w:pPr>
        <w:tabs>
          <w:tab w:val="left" w:pos="2250"/>
          <w:tab w:val="center" w:pos="4680"/>
        </w:tabs>
        <w:suppressAutoHyphens/>
        <w:jc w:val="center"/>
      </w:pPr>
    </w:p>
    <w:p w:rsidR="006F3B92" w:rsidRPr="00B003F4" w:rsidRDefault="006F3B92" w:rsidP="00B03444">
      <w:pPr>
        <w:tabs>
          <w:tab w:val="left" w:pos="2250"/>
          <w:tab w:val="center" w:pos="4680"/>
        </w:tabs>
        <w:suppressAutoHyphens/>
        <w:jc w:val="center"/>
      </w:pPr>
      <w:r w:rsidRPr="00B003F4">
        <w:t>Before</w:t>
      </w:r>
    </w:p>
    <w:p w:rsidR="006F3B92" w:rsidRPr="00B003F4" w:rsidRDefault="006F3B92" w:rsidP="00B03444">
      <w:pPr>
        <w:tabs>
          <w:tab w:val="left" w:pos="2250"/>
          <w:tab w:val="center" w:pos="4680"/>
        </w:tabs>
        <w:suppressAutoHyphens/>
        <w:jc w:val="center"/>
      </w:pPr>
      <w:r>
        <w:t>Mark A. Hoyer</w:t>
      </w:r>
    </w:p>
    <w:p w:rsidR="006F3B92" w:rsidRPr="00B003F4" w:rsidRDefault="006F3B92" w:rsidP="00B03444">
      <w:pPr>
        <w:tabs>
          <w:tab w:val="left" w:pos="2250"/>
          <w:tab w:val="center" w:pos="4680"/>
        </w:tabs>
        <w:suppressAutoHyphens/>
        <w:jc w:val="center"/>
      </w:pPr>
      <w:r w:rsidRPr="00B003F4">
        <w:t>Administrative Law Judge</w:t>
      </w:r>
    </w:p>
    <w:p w:rsidR="006F3B92" w:rsidRPr="00B003F4" w:rsidRDefault="006F3B92" w:rsidP="00B03444">
      <w:pPr>
        <w:tabs>
          <w:tab w:val="left" w:pos="2250"/>
          <w:tab w:val="center" w:pos="4680"/>
        </w:tabs>
        <w:suppressAutoHyphens/>
        <w:jc w:val="center"/>
      </w:pPr>
    </w:p>
    <w:p w:rsidR="006F3B92" w:rsidRPr="00B003F4" w:rsidRDefault="006F3B92" w:rsidP="00B03444">
      <w:pPr>
        <w:tabs>
          <w:tab w:val="left" w:pos="2250"/>
          <w:tab w:val="center" w:pos="4680"/>
        </w:tabs>
        <w:suppressAutoHyphens/>
        <w:jc w:val="center"/>
      </w:pPr>
    </w:p>
    <w:p w:rsidR="006F3B92" w:rsidRDefault="006F3B92" w:rsidP="00B03444">
      <w:pPr>
        <w:tabs>
          <w:tab w:val="left" w:pos="2250"/>
        </w:tabs>
        <w:jc w:val="center"/>
      </w:pPr>
      <w:r w:rsidRPr="00B003F4">
        <w:rPr>
          <w:u w:val="single"/>
        </w:rPr>
        <w:t>HISTORY OF THE PROCEEDING</w:t>
      </w:r>
    </w:p>
    <w:p w:rsidR="0020610A" w:rsidRPr="00B003F4" w:rsidRDefault="0020610A" w:rsidP="00B03444">
      <w:pPr>
        <w:tabs>
          <w:tab w:val="left" w:pos="2250"/>
        </w:tabs>
        <w:jc w:val="center"/>
        <w:rPr>
          <w:u w:val="single"/>
        </w:rPr>
      </w:pPr>
    </w:p>
    <w:p w:rsidR="0020610A" w:rsidRPr="00B003F4" w:rsidRDefault="0020610A" w:rsidP="0020610A">
      <w:pPr>
        <w:tabs>
          <w:tab w:val="left" w:pos="2250"/>
        </w:tabs>
        <w:jc w:val="center"/>
        <w:rPr>
          <w:u w:val="single"/>
        </w:rPr>
      </w:pPr>
    </w:p>
    <w:p w:rsidR="00CA7701" w:rsidRDefault="0020610A" w:rsidP="00105835">
      <w:pPr>
        <w:tabs>
          <w:tab w:val="left" w:pos="2250"/>
        </w:tabs>
        <w:spacing w:line="360" w:lineRule="auto"/>
        <w:ind w:firstLine="1440"/>
      </w:pPr>
      <w:r w:rsidRPr="00B003F4">
        <w:t xml:space="preserve">On </w:t>
      </w:r>
      <w:r w:rsidR="002B2145">
        <w:t>May 11, 2011</w:t>
      </w:r>
      <w:r w:rsidR="00A840AE">
        <w:t xml:space="preserve">, </w:t>
      </w:r>
      <w:r w:rsidR="002B2145">
        <w:t xml:space="preserve">Haleema Alkhatib </w:t>
      </w:r>
      <w:r w:rsidRPr="00B003F4">
        <w:t>(</w:t>
      </w:r>
      <w:r w:rsidR="0041083F">
        <w:t>“C</w:t>
      </w:r>
      <w:r w:rsidRPr="00B003F4">
        <w:t>omplainant</w:t>
      </w:r>
      <w:r w:rsidR="0041083F">
        <w:t>”</w:t>
      </w:r>
      <w:r w:rsidRPr="00B003F4">
        <w:t xml:space="preserve">) filed a </w:t>
      </w:r>
      <w:r w:rsidR="00893F08">
        <w:t xml:space="preserve">complaint </w:t>
      </w:r>
      <w:r w:rsidRPr="00B003F4">
        <w:t xml:space="preserve">against </w:t>
      </w:r>
      <w:r w:rsidR="00A840AE">
        <w:t>P</w:t>
      </w:r>
      <w:r w:rsidR="002B2145">
        <w:t xml:space="preserve">ECO Energy Company </w:t>
      </w:r>
      <w:r w:rsidRPr="00B003F4">
        <w:t>(</w:t>
      </w:r>
      <w:r w:rsidR="0041083F">
        <w:t>“R</w:t>
      </w:r>
      <w:r w:rsidRPr="00B003F4">
        <w:t>espondent</w:t>
      </w:r>
      <w:r w:rsidR="0041083F">
        <w:t>” or “</w:t>
      </w:r>
      <w:r w:rsidR="008E150B">
        <w:t>P</w:t>
      </w:r>
      <w:r w:rsidR="002B2145">
        <w:t>ECO”</w:t>
      </w:r>
      <w:r w:rsidR="0041083F">
        <w:t>)</w:t>
      </w:r>
      <w:r w:rsidRPr="00B003F4">
        <w:t xml:space="preserve"> with the Pennsylvania Public Utility Commission (</w:t>
      </w:r>
      <w:r w:rsidR="0041083F">
        <w:t>“</w:t>
      </w:r>
      <w:r w:rsidRPr="00B003F4">
        <w:t>Commission</w:t>
      </w:r>
      <w:r w:rsidR="0041083F">
        <w:t>”</w:t>
      </w:r>
      <w:r w:rsidRPr="00B003F4">
        <w:t>)</w:t>
      </w:r>
      <w:r w:rsidR="00E97605">
        <w:t xml:space="preserve"> at </w:t>
      </w:r>
      <w:r w:rsidRPr="00B003F4">
        <w:t>Docket N</w:t>
      </w:r>
      <w:r w:rsidR="003B34B5">
        <w:t>o.</w:t>
      </w:r>
      <w:r w:rsidRPr="00B003F4">
        <w:t xml:space="preserve"> C-20</w:t>
      </w:r>
      <w:r w:rsidR="00E97605">
        <w:t>1</w:t>
      </w:r>
      <w:r w:rsidR="008E150B">
        <w:t>1-22</w:t>
      </w:r>
      <w:r w:rsidR="002B2145">
        <w:t>42125</w:t>
      </w:r>
      <w:r w:rsidR="0041083F">
        <w:t xml:space="preserve">.  </w:t>
      </w:r>
      <w:r w:rsidR="007861CF">
        <w:t xml:space="preserve">Complainant </w:t>
      </w:r>
      <w:r w:rsidR="00257B36">
        <w:t xml:space="preserve">checked the box on the </w:t>
      </w:r>
      <w:r w:rsidR="00CA7701">
        <w:t>Formal Complaint Form beside the sentence, “I received a notice that my utilit</w:t>
      </w:r>
      <w:r w:rsidR="00257B36">
        <w:t>y service is being terminated.”</w:t>
      </w:r>
      <w:r w:rsidR="00590EF3">
        <w:t xml:space="preserve">  Under the complaint form subsection, “State the facts of your complaint,” the following language appears:</w:t>
      </w:r>
    </w:p>
    <w:p w:rsidR="00590EF3" w:rsidRDefault="00590EF3" w:rsidP="00105835">
      <w:pPr>
        <w:tabs>
          <w:tab w:val="left" w:pos="2250"/>
        </w:tabs>
        <w:spacing w:line="360" w:lineRule="auto"/>
        <w:ind w:firstLine="1440"/>
      </w:pPr>
    </w:p>
    <w:p w:rsidR="00590EF3" w:rsidRDefault="00590EF3" w:rsidP="00590EF3">
      <w:pPr>
        <w:tabs>
          <w:tab w:val="left" w:pos="2250"/>
        </w:tabs>
        <w:ind w:left="1440" w:right="1440"/>
      </w:pPr>
      <w:r>
        <w:t xml:space="preserve">On 2/15/11, PECO sent me a termination notice for a bill that I accepted for the assessed value and returned </w:t>
      </w:r>
      <w:r w:rsidR="00072D10">
        <w:t>for settlement discharge &amp; closure, via my exemption, with the enclosed documents on the following dates; [</w:t>
      </w:r>
      <w:r w:rsidR="00072D10">
        <w:rPr>
          <w:i/>
        </w:rPr>
        <w:t>sic</w:t>
      </w:r>
      <w:r w:rsidR="00072D10">
        <w:t>] 6/4/10, 7/27/10, 11/20/10, 2/28/11, 3/24/11, and 4/27/11.  My acceptance to offset the account via my exemption was in accord-and-satisfaction with Public Law/Public Policy and principles of interpretations</w:t>
      </w:r>
      <w:r w:rsidR="004C40F3">
        <w:t xml:space="preserve"> for settlement of all agreements in commercial/consumer-transaction-law [</w:t>
      </w:r>
      <w:r w:rsidR="004C40F3">
        <w:rPr>
          <w:i/>
        </w:rPr>
        <w:t>sic</w:t>
      </w:r>
      <w:r w:rsidR="004C40F3">
        <w:t xml:space="preserve">] and regulation.  I’ve tendered my credit to settle the bill in the accordance thereof.  </w:t>
      </w:r>
      <w:r w:rsidR="002D64E3">
        <w:t xml:space="preserve">The transaction was reported to the United States Treasury/Internal Revenue Service via an original issue discount (1099-OID, copy A), voucher (1040-V), and the bill </w:t>
      </w:r>
      <w:r w:rsidR="002D64E3">
        <w:lastRenderedPageBreak/>
        <w:t>as evidence.  My credit was timely issued to zero-out the account, but they didn’t adjust the account and demanded payment with interest.  They’re withholding credit, or taxing me a second time, and in breach of fiduciary duty.</w:t>
      </w:r>
    </w:p>
    <w:p w:rsidR="002D64E3" w:rsidRDefault="002D64E3" w:rsidP="00995C44">
      <w:pPr>
        <w:tabs>
          <w:tab w:val="left" w:pos="2250"/>
        </w:tabs>
        <w:spacing w:line="360" w:lineRule="auto"/>
      </w:pPr>
    </w:p>
    <w:p w:rsidR="00995C44" w:rsidRDefault="00250413" w:rsidP="00995C44">
      <w:pPr>
        <w:tabs>
          <w:tab w:val="left" w:pos="2250"/>
        </w:tabs>
        <w:spacing w:line="360" w:lineRule="auto"/>
        <w:ind w:firstLine="1440"/>
      </w:pPr>
      <w:r>
        <w:t>Under the complaint form subsection, “Relief,” Complainant requested as follows:</w:t>
      </w:r>
    </w:p>
    <w:p w:rsidR="00250413" w:rsidRDefault="00250413" w:rsidP="00995C44">
      <w:pPr>
        <w:tabs>
          <w:tab w:val="left" w:pos="2250"/>
        </w:tabs>
        <w:spacing w:line="360" w:lineRule="auto"/>
        <w:ind w:firstLine="1440"/>
      </w:pPr>
    </w:p>
    <w:p w:rsidR="00250413" w:rsidRDefault="00250413" w:rsidP="00250413">
      <w:pPr>
        <w:tabs>
          <w:tab w:val="left" w:pos="2250"/>
        </w:tabs>
        <w:ind w:left="1440" w:right="1440"/>
      </w:pPr>
      <w:r>
        <w:t xml:space="preserve">Settle current account and apply credit to future bills.  This is theft of public funds, and a violation of the bankruptcy/reorganization of the </w:t>
      </w:r>
      <w:smartTag w:uri="urn:schemas-microsoft-com:office:smarttags" w:element="country-region">
        <w:smartTag w:uri="urn:schemas-microsoft-com:office:smarttags" w:element="place">
          <w:r>
            <w:t>United States</w:t>
          </w:r>
        </w:smartTag>
      </w:smartTag>
      <w:r>
        <w:t>.  I have discharged debts and settled accounts via my exemption with Public &amp; Private Corporations, Institutions &amp; Agencies in this manner and received confirmation back therefrom.</w:t>
      </w:r>
    </w:p>
    <w:p w:rsidR="00C5384A" w:rsidRDefault="00C5384A" w:rsidP="00C5384A">
      <w:pPr>
        <w:tabs>
          <w:tab w:val="left" w:pos="2250"/>
        </w:tabs>
        <w:spacing w:line="360" w:lineRule="auto"/>
        <w:ind w:firstLine="1440"/>
      </w:pPr>
    </w:p>
    <w:p w:rsidR="00C5384A" w:rsidRDefault="00B44AA2" w:rsidP="00105835">
      <w:pPr>
        <w:tabs>
          <w:tab w:val="left" w:pos="2250"/>
        </w:tabs>
        <w:spacing w:line="360" w:lineRule="auto"/>
        <w:ind w:firstLine="1440"/>
      </w:pPr>
      <w:r>
        <w:t xml:space="preserve">On </w:t>
      </w:r>
      <w:r w:rsidR="00C100E4">
        <w:t>June 8</w:t>
      </w:r>
      <w:r>
        <w:t xml:space="preserve">, 2011, </w:t>
      </w:r>
      <w:r w:rsidR="00C100E4">
        <w:t xml:space="preserve">PECO </w:t>
      </w:r>
      <w:r>
        <w:t>filed an Answer and New Matter</w:t>
      </w:r>
      <w:r w:rsidR="009B24DA">
        <w:t xml:space="preserve"> with a Notice to Plead attached thereto</w:t>
      </w:r>
      <w:r>
        <w:t>.  On that same date, P</w:t>
      </w:r>
      <w:r w:rsidR="00C100E4">
        <w:t>ECO a</w:t>
      </w:r>
      <w:r>
        <w:t xml:space="preserve">lso filed Preliminary Objections with a Notice to Plead attached thereto.  </w:t>
      </w:r>
      <w:r w:rsidR="009B24DA">
        <w:t xml:space="preserve">On </w:t>
      </w:r>
      <w:r w:rsidR="00C100E4">
        <w:t>June 17, 2011, Complainant</w:t>
      </w:r>
      <w:r w:rsidR="009B24DA">
        <w:t xml:space="preserve"> filed a</w:t>
      </w:r>
      <w:r w:rsidR="00FA080E">
        <w:t xml:space="preserve"> </w:t>
      </w:r>
      <w:r w:rsidR="00C100E4">
        <w:t>Response to N</w:t>
      </w:r>
      <w:r w:rsidR="00186361">
        <w:t>otice to Plead</w:t>
      </w:r>
      <w:r w:rsidR="00C5384A">
        <w:t xml:space="preserve"> (“Response”)</w:t>
      </w:r>
      <w:r w:rsidR="00186361">
        <w:t>.</w:t>
      </w:r>
      <w:r w:rsidR="00C5384A">
        <w:t xml:space="preserve">  The Response provides, in pertinent part, as follows:</w:t>
      </w:r>
    </w:p>
    <w:p w:rsidR="00C5384A" w:rsidRDefault="00C5384A" w:rsidP="00105835">
      <w:pPr>
        <w:tabs>
          <w:tab w:val="left" w:pos="2250"/>
        </w:tabs>
        <w:spacing w:line="360" w:lineRule="auto"/>
        <w:ind w:firstLine="1440"/>
      </w:pPr>
    </w:p>
    <w:p w:rsidR="00156636" w:rsidRDefault="00C5384A" w:rsidP="00C5384A">
      <w:pPr>
        <w:tabs>
          <w:tab w:val="left" w:pos="2250"/>
        </w:tabs>
        <w:ind w:left="1440" w:right="1440"/>
      </w:pPr>
      <w:r>
        <w:t xml:space="preserve">The </w:t>
      </w:r>
      <w:smartTag w:uri="urn:schemas-microsoft-com:office:smarttags" w:element="place">
        <w:smartTag w:uri="urn:schemas-microsoft-com:office:smarttags" w:element="country-region">
          <w:r>
            <w:t>United States</w:t>
          </w:r>
        </w:smartTag>
      </w:smartTag>
      <w:r>
        <w:t xml:space="preserve"> government and it’s people have been in bankruptcy since the year 1933.  My remedy</w:t>
      </w:r>
      <w:r w:rsidR="0058333F">
        <w:t xml:space="preserve"> in commerce is the bankruptcy.  As the Secured Party/Beneficiary of the Treasury Trust Account via my exemption number on the account, I have given PECO Energy my Letter Rogatory to submit their presentmen</w:t>
      </w:r>
      <w:r w:rsidR="007955BC">
        <w:t>t/bill, 1040-V (voucher), 1099-</w:t>
      </w:r>
      <w:r w:rsidR="00156636">
        <w:t xml:space="preserve">ID to credit and zero out the accounting.  I requested confirmation to be sent to me.  </w:t>
      </w:r>
    </w:p>
    <w:p w:rsidR="00156636" w:rsidRDefault="00156636" w:rsidP="00C5384A">
      <w:pPr>
        <w:tabs>
          <w:tab w:val="left" w:pos="2250"/>
        </w:tabs>
        <w:ind w:left="1440" w:right="1440"/>
      </w:pPr>
    </w:p>
    <w:p w:rsidR="003116DC" w:rsidRDefault="00661EC4" w:rsidP="00C5384A">
      <w:pPr>
        <w:tabs>
          <w:tab w:val="left" w:pos="2250"/>
        </w:tabs>
        <w:ind w:left="1440" w:right="1440"/>
      </w:pPr>
      <w:r>
        <w:t>In a letter PECO Energy Company sent to me dated May 24, 2011, PECO Energy stated they only accept cash (it has no monetary value), certified checks, money orders and valid bank checks payment of utility service provided.  PECO Energy will not apply as credit to your account any non-negotiable documents</w:t>
      </w:r>
      <w:r w:rsidR="003116DC">
        <w:t xml:space="preserve">, sight drafts, Acceptance for Value, UCC Certified Tender of payments, or other UCC documents.  </w:t>
      </w:r>
    </w:p>
    <w:p w:rsidR="003116DC" w:rsidRDefault="003116DC" w:rsidP="00C5384A">
      <w:pPr>
        <w:tabs>
          <w:tab w:val="left" w:pos="2250"/>
        </w:tabs>
        <w:ind w:left="1440" w:right="1440"/>
      </w:pPr>
    </w:p>
    <w:p w:rsidR="003116DC" w:rsidRDefault="003116DC" w:rsidP="00C5384A">
      <w:pPr>
        <w:tabs>
          <w:tab w:val="left" w:pos="2250"/>
        </w:tabs>
        <w:ind w:left="1440" w:right="1440"/>
      </w:pPr>
      <w:r>
        <w:t>The above form of payments that PECO Energy states they will ony [</w:t>
      </w:r>
      <w:r w:rsidR="00CE3BA6">
        <w:rPr>
          <w:i/>
        </w:rPr>
        <w:t>sic</w:t>
      </w:r>
      <w:r>
        <w:t>] accept as payment are all negotiable instruments.</w:t>
      </w:r>
    </w:p>
    <w:p w:rsidR="003116DC" w:rsidRDefault="003116DC" w:rsidP="00C5384A">
      <w:pPr>
        <w:tabs>
          <w:tab w:val="left" w:pos="2250"/>
        </w:tabs>
        <w:ind w:left="1440" w:right="1440"/>
      </w:pPr>
    </w:p>
    <w:p w:rsidR="003116DC" w:rsidRDefault="003116DC" w:rsidP="00C5384A">
      <w:pPr>
        <w:tabs>
          <w:tab w:val="left" w:pos="2250"/>
        </w:tabs>
        <w:ind w:left="1440" w:right="1440"/>
      </w:pPr>
      <w:r>
        <w:t xml:space="preserve">The Constitution of the </w:t>
      </w:r>
      <w:smartTag w:uri="urn:schemas-microsoft-com:office:smarttags" w:element="country-region">
        <w:smartTag w:uri="urn:schemas-microsoft-com:office:smarttags" w:element="place">
          <w:r>
            <w:t>United States</w:t>
          </w:r>
        </w:smartTag>
      </w:smartTag>
      <w:r>
        <w:t xml:space="preserve"> declared only gold or silver coins as lawful money.</w:t>
      </w:r>
    </w:p>
    <w:p w:rsidR="003116DC" w:rsidRDefault="003116DC" w:rsidP="00C5384A">
      <w:pPr>
        <w:tabs>
          <w:tab w:val="left" w:pos="2250"/>
        </w:tabs>
        <w:ind w:left="1440" w:right="1440"/>
      </w:pPr>
    </w:p>
    <w:p w:rsidR="00C5384A" w:rsidRDefault="003116DC" w:rsidP="00C5384A">
      <w:pPr>
        <w:tabs>
          <w:tab w:val="left" w:pos="2250"/>
        </w:tabs>
        <w:ind w:left="1440" w:right="1440"/>
      </w:pPr>
      <w:r>
        <w:t>That lawful money was taken in 1933.</w:t>
      </w:r>
      <w:r w:rsidR="00C5384A">
        <w:t xml:space="preserve">  </w:t>
      </w:r>
      <w:r w:rsidR="00FA080E">
        <w:t xml:space="preserve">  </w:t>
      </w:r>
    </w:p>
    <w:p w:rsidR="00C5384A" w:rsidRDefault="00C5384A" w:rsidP="00105835">
      <w:pPr>
        <w:tabs>
          <w:tab w:val="left" w:pos="2250"/>
        </w:tabs>
        <w:spacing w:line="360" w:lineRule="auto"/>
        <w:ind w:firstLine="1440"/>
      </w:pPr>
    </w:p>
    <w:p w:rsidR="00FA080E" w:rsidRDefault="00FA080E" w:rsidP="00105835">
      <w:pPr>
        <w:tabs>
          <w:tab w:val="left" w:pos="2250"/>
        </w:tabs>
        <w:spacing w:line="360" w:lineRule="auto"/>
        <w:ind w:firstLine="1440"/>
      </w:pPr>
      <w:r>
        <w:t>A M</w:t>
      </w:r>
      <w:r w:rsidR="009B24DA">
        <w:t xml:space="preserve">otion Judge Assignment Notice was mailed to Complainant and Respondent (“the Parties”) on </w:t>
      </w:r>
      <w:r w:rsidR="00796C17">
        <w:t>June 22</w:t>
      </w:r>
      <w:r w:rsidR="009B24DA">
        <w:t>, 2011.</w:t>
      </w:r>
      <w:r w:rsidR="00892B25">
        <w:t xml:space="preserve">  </w:t>
      </w:r>
      <w:r w:rsidR="009B24DA">
        <w:t xml:space="preserve">  </w:t>
      </w:r>
    </w:p>
    <w:p w:rsidR="00FA080E" w:rsidRDefault="00FA080E" w:rsidP="00105835">
      <w:pPr>
        <w:tabs>
          <w:tab w:val="left" w:pos="2250"/>
        </w:tabs>
        <w:spacing w:line="360" w:lineRule="auto"/>
        <w:ind w:firstLine="1440"/>
      </w:pPr>
    </w:p>
    <w:p w:rsidR="00944BFB" w:rsidRDefault="00FA080E" w:rsidP="00105835">
      <w:pPr>
        <w:tabs>
          <w:tab w:val="left" w:pos="2250"/>
        </w:tabs>
        <w:spacing w:line="360" w:lineRule="auto"/>
        <w:ind w:firstLine="1440"/>
      </w:pPr>
      <w:r>
        <w:t>Respondent’s Preliminary Objections are procedurally ready to be ruled upon.</w:t>
      </w:r>
      <w:r w:rsidR="006D03A3">
        <w:t xml:space="preserve">  For the reasons set forth below, Respondent</w:t>
      </w:r>
      <w:r w:rsidR="00D750A6">
        <w:t>’s</w:t>
      </w:r>
      <w:r w:rsidR="006D03A3">
        <w:t xml:space="preserve"> Preliminary Objections will be </w:t>
      </w:r>
      <w:r w:rsidR="00892B25">
        <w:t xml:space="preserve">sustained.  The complaint is dismissed in the numbered ordering paragraphs below.  </w:t>
      </w:r>
      <w:r w:rsidR="006D03A3">
        <w:t xml:space="preserve">  </w:t>
      </w:r>
    </w:p>
    <w:p w:rsidR="00944BFB" w:rsidRDefault="00944BFB" w:rsidP="00105835">
      <w:pPr>
        <w:tabs>
          <w:tab w:val="left" w:pos="2250"/>
        </w:tabs>
        <w:spacing w:line="360" w:lineRule="auto"/>
        <w:ind w:firstLine="1440"/>
      </w:pPr>
    </w:p>
    <w:p w:rsidR="00D750A6" w:rsidRDefault="00944BFB" w:rsidP="00944BFB">
      <w:pPr>
        <w:tabs>
          <w:tab w:val="left" w:pos="2250"/>
        </w:tabs>
        <w:spacing w:line="360" w:lineRule="auto"/>
        <w:jc w:val="center"/>
      </w:pPr>
      <w:r>
        <w:rPr>
          <w:u w:val="single"/>
        </w:rPr>
        <w:t>DISCUSSION</w:t>
      </w:r>
    </w:p>
    <w:p w:rsidR="00944BFB" w:rsidRDefault="00944BFB" w:rsidP="00944BFB">
      <w:pPr>
        <w:tabs>
          <w:tab w:val="left" w:pos="2250"/>
        </w:tabs>
        <w:spacing w:line="360" w:lineRule="auto"/>
        <w:ind w:firstLine="1440"/>
      </w:pPr>
    </w:p>
    <w:p w:rsidR="00DF2E03" w:rsidRDefault="00D750A6" w:rsidP="00D750A6">
      <w:pPr>
        <w:spacing w:line="360" w:lineRule="auto"/>
        <w:ind w:firstLine="1440"/>
        <w:rPr>
          <w:szCs w:val="24"/>
        </w:rPr>
      </w:pPr>
      <w:r w:rsidRPr="009D0768">
        <w:rPr>
          <w:szCs w:val="24"/>
        </w:rPr>
        <w:t xml:space="preserve">Before the Commission </w:t>
      </w:r>
      <w:r w:rsidR="00C23968">
        <w:rPr>
          <w:szCs w:val="24"/>
        </w:rPr>
        <w:t>is</w:t>
      </w:r>
      <w:r w:rsidRPr="009D0768">
        <w:rPr>
          <w:szCs w:val="24"/>
        </w:rPr>
        <w:t xml:space="preserve"> a </w:t>
      </w:r>
      <w:r>
        <w:rPr>
          <w:szCs w:val="24"/>
        </w:rPr>
        <w:t xml:space="preserve">Formal </w:t>
      </w:r>
      <w:r w:rsidRPr="009D0768">
        <w:rPr>
          <w:szCs w:val="24"/>
        </w:rPr>
        <w:t>Complaint</w:t>
      </w:r>
      <w:r>
        <w:rPr>
          <w:szCs w:val="24"/>
        </w:rPr>
        <w:t xml:space="preserve">, </w:t>
      </w:r>
      <w:r w:rsidR="00DF2E03">
        <w:rPr>
          <w:szCs w:val="24"/>
        </w:rPr>
        <w:t>PECO</w:t>
      </w:r>
      <w:r w:rsidR="00DA1DC2">
        <w:rPr>
          <w:szCs w:val="24"/>
        </w:rPr>
        <w:t xml:space="preserve">’s </w:t>
      </w:r>
      <w:r>
        <w:rPr>
          <w:szCs w:val="24"/>
        </w:rPr>
        <w:t xml:space="preserve">Answer and New Matter, </w:t>
      </w:r>
      <w:r w:rsidR="00DF2E03">
        <w:rPr>
          <w:szCs w:val="24"/>
        </w:rPr>
        <w:t>PECO</w:t>
      </w:r>
      <w:r>
        <w:rPr>
          <w:szCs w:val="24"/>
        </w:rPr>
        <w:t xml:space="preserve">’s </w:t>
      </w:r>
      <w:r w:rsidRPr="009D0768">
        <w:rPr>
          <w:szCs w:val="24"/>
        </w:rPr>
        <w:t>Preliminary Objection</w:t>
      </w:r>
      <w:r>
        <w:rPr>
          <w:szCs w:val="24"/>
        </w:rPr>
        <w:t xml:space="preserve">s and Complainant’s </w:t>
      </w:r>
      <w:r w:rsidR="00DF2E03">
        <w:rPr>
          <w:szCs w:val="24"/>
        </w:rPr>
        <w:t>Response dated June 17, 2011.</w:t>
      </w:r>
      <w:r>
        <w:rPr>
          <w:szCs w:val="24"/>
        </w:rPr>
        <w:t xml:space="preserve">  </w:t>
      </w:r>
      <w:r w:rsidR="00DF2E03">
        <w:rPr>
          <w:szCs w:val="24"/>
        </w:rPr>
        <w:t xml:space="preserve">PECO requests that the complaint be dismissed pursuant to 52 </w:t>
      </w:r>
      <w:smartTag w:uri="urn:schemas-microsoft-com:office:smarttags" w:element="place">
        <w:smartTag w:uri="urn:schemas-microsoft-com:office:smarttags" w:element="State">
          <w:r w:rsidR="00DF2E03">
            <w:rPr>
              <w:szCs w:val="24"/>
            </w:rPr>
            <w:t>Pa.</w:t>
          </w:r>
        </w:smartTag>
      </w:smartTag>
      <w:r w:rsidR="00DF2E03">
        <w:rPr>
          <w:szCs w:val="24"/>
        </w:rPr>
        <w:t xml:space="preserve"> Code §5.101(a)(1), (2) and (4).  </w:t>
      </w:r>
    </w:p>
    <w:p w:rsidR="00D750A6" w:rsidRPr="009D0768" w:rsidRDefault="00D750A6" w:rsidP="00D750A6">
      <w:pPr>
        <w:spacing w:line="360" w:lineRule="auto"/>
        <w:ind w:firstLine="1440"/>
        <w:rPr>
          <w:szCs w:val="24"/>
        </w:rPr>
      </w:pPr>
      <w:r>
        <w:rPr>
          <w:szCs w:val="24"/>
        </w:rPr>
        <w:t xml:space="preserve">  </w:t>
      </w:r>
      <w:r w:rsidRPr="009D0768">
        <w:rPr>
          <w:szCs w:val="24"/>
        </w:rPr>
        <w:t xml:space="preserve">  </w:t>
      </w:r>
    </w:p>
    <w:p w:rsidR="00D750A6" w:rsidRDefault="0019333D" w:rsidP="00D750A6">
      <w:pPr>
        <w:spacing w:line="360" w:lineRule="auto"/>
        <w:ind w:firstLine="1440"/>
        <w:rPr>
          <w:szCs w:val="24"/>
        </w:rPr>
      </w:pPr>
      <w:r>
        <w:rPr>
          <w:szCs w:val="24"/>
        </w:rPr>
        <w:t xml:space="preserve">The </w:t>
      </w:r>
      <w:r w:rsidR="00D750A6" w:rsidRPr="009D0768">
        <w:rPr>
          <w:szCs w:val="24"/>
        </w:rPr>
        <w:t xml:space="preserve">Commission’s Rules of Administrative Practice and Procedure permit the filing of preliminary objections.  52 </w:t>
      </w:r>
      <w:smartTag w:uri="urn:schemas-microsoft-com:office:smarttags" w:element="place">
        <w:smartTag w:uri="urn:schemas-microsoft-com:office:smarttags" w:element="State">
          <w:r w:rsidR="00D750A6" w:rsidRPr="009D0768">
            <w:rPr>
              <w:szCs w:val="24"/>
            </w:rPr>
            <w:t>Pa.</w:t>
          </w:r>
        </w:smartTag>
      </w:smartTag>
      <w:r w:rsidR="00D750A6" w:rsidRPr="009D0768">
        <w:rPr>
          <w:szCs w:val="24"/>
        </w:rPr>
        <w:t xml:space="preserve"> Code §5.101.  </w:t>
      </w:r>
      <w:r w:rsidR="00D750A6" w:rsidRPr="0095731F">
        <w:rPr>
          <w:i/>
          <w:szCs w:val="24"/>
        </w:rPr>
        <w:t>See</w:t>
      </w:r>
      <w:r w:rsidR="00D750A6" w:rsidRPr="009D0768">
        <w:rPr>
          <w:szCs w:val="24"/>
        </w:rPr>
        <w:t xml:space="preserve"> </w:t>
      </w:r>
      <w:r w:rsidR="00D750A6" w:rsidRPr="009D0768">
        <w:rPr>
          <w:szCs w:val="24"/>
          <w:u w:val="single"/>
        </w:rPr>
        <w:t>Equitable Small Transportation Interveners v. Equitable Gas Company</w:t>
      </w:r>
      <w:r w:rsidR="00D750A6" w:rsidRPr="009D0768">
        <w:rPr>
          <w:szCs w:val="24"/>
        </w:rPr>
        <w:t xml:space="preserve">, 1994 </w:t>
      </w:r>
      <w:smartTag w:uri="urn:schemas-microsoft-com:office:smarttags" w:element="place">
        <w:smartTag w:uri="urn:schemas-microsoft-com:office:smarttags" w:element="State">
          <w:r w:rsidR="00D750A6" w:rsidRPr="009D0768">
            <w:rPr>
              <w:szCs w:val="24"/>
            </w:rPr>
            <w:t>Pa.</w:t>
          </w:r>
        </w:smartTag>
      </w:smartTag>
      <w:r w:rsidR="00D750A6" w:rsidRPr="009D0768">
        <w:rPr>
          <w:szCs w:val="24"/>
        </w:rPr>
        <w:t xml:space="preserve"> PUC LEXIS 69, Docket No. C-00935435 (July 18, 1994).  Commission procedure regarding the disposition of preliminary objections is similar to that utilized in </w:t>
      </w:r>
      <w:smartTag w:uri="urn:schemas-microsoft-com:office:smarttags" w:element="place">
        <w:smartTag w:uri="urn:schemas-microsoft-com:office:smarttags" w:element="State">
          <w:r w:rsidR="00D750A6" w:rsidRPr="009D0768">
            <w:rPr>
              <w:szCs w:val="24"/>
            </w:rPr>
            <w:t>Pennsylvania</w:t>
          </w:r>
        </w:smartTag>
      </w:smartTag>
      <w:r w:rsidR="00D750A6" w:rsidRPr="009D0768">
        <w:rPr>
          <w:szCs w:val="24"/>
        </w:rPr>
        <w:t xml:space="preserve"> civil practice.  </w:t>
      </w:r>
      <w:smartTag w:uri="urn:schemas-microsoft-com:office:smarttags" w:element="place">
        <w:smartTag w:uri="urn:schemas-microsoft-com:office:smarttags" w:element="State">
          <w:r w:rsidR="00D750A6" w:rsidRPr="009D0768">
            <w:rPr>
              <w:szCs w:val="24"/>
              <w:u w:val="single"/>
            </w:rPr>
            <w:t>Id</w:t>
          </w:r>
          <w:r w:rsidR="00D750A6" w:rsidRPr="00305C66">
            <w:rPr>
              <w:szCs w:val="24"/>
            </w:rPr>
            <w:t>.</w:t>
          </w:r>
        </w:smartTag>
      </w:smartTag>
      <w:r w:rsidR="00D750A6" w:rsidRPr="00305C66">
        <w:rPr>
          <w:szCs w:val="24"/>
        </w:rPr>
        <w:t xml:space="preserve">  </w:t>
      </w:r>
      <w:r w:rsidR="00D750A6">
        <w:rPr>
          <w:szCs w:val="24"/>
        </w:rPr>
        <w:t xml:space="preserve">The grounds for preliminary objections are limited.  According to Chapter 5, </w:t>
      </w:r>
      <w:r w:rsidR="00444064">
        <w:rPr>
          <w:szCs w:val="24"/>
        </w:rPr>
        <w:t>S</w:t>
      </w:r>
      <w:r w:rsidR="00D750A6">
        <w:rPr>
          <w:szCs w:val="24"/>
        </w:rPr>
        <w:t>ection 5.101 of the Commission’s Rules of Administrative Practice and Procedure</w:t>
      </w:r>
      <w:r w:rsidR="00444064">
        <w:rPr>
          <w:szCs w:val="24"/>
        </w:rPr>
        <w:t>,</w:t>
      </w:r>
      <w:r w:rsidR="00D750A6">
        <w:rPr>
          <w:szCs w:val="24"/>
        </w:rPr>
        <w:t xml:space="preserve"> those grounds are: </w:t>
      </w:r>
    </w:p>
    <w:p w:rsidR="00D750A6" w:rsidRDefault="00D750A6" w:rsidP="00D750A6">
      <w:pPr>
        <w:spacing w:line="360" w:lineRule="auto"/>
        <w:ind w:firstLine="1440"/>
        <w:rPr>
          <w:szCs w:val="24"/>
        </w:rPr>
      </w:pPr>
    </w:p>
    <w:p w:rsidR="00D750A6" w:rsidRDefault="00D750A6" w:rsidP="00D750A6">
      <w:pPr>
        <w:ind w:left="1440" w:right="1440"/>
        <w:rPr>
          <w:szCs w:val="24"/>
        </w:rPr>
      </w:pPr>
      <w:r>
        <w:rPr>
          <w:szCs w:val="24"/>
        </w:rPr>
        <w:t>(1)  Lack of Commission jurisdiction or improper service of the pleading initiating the proceeding.</w:t>
      </w:r>
    </w:p>
    <w:p w:rsidR="00D750A6" w:rsidRDefault="00D750A6" w:rsidP="00D750A6">
      <w:pPr>
        <w:ind w:left="1440" w:right="1440"/>
        <w:rPr>
          <w:szCs w:val="24"/>
        </w:rPr>
      </w:pPr>
      <w:r>
        <w:rPr>
          <w:szCs w:val="24"/>
        </w:rPr>
        <w:t>(2)  Failure of a pleading to conform to this chapter or the inclusion of scandalous or impertinent matter.</w:t>
      </w:r>
    </w:p>
    <w:p w:rsidR="00D750A6" w:rsidRDefault="00D750A6" w:rsidP="00D750A6">
      <w:pPr>
        <w:ind w:left="1440" w:right="1440"/>
        <w:rPr>
          <w:szCs w:val="24"/>
        </w:rPr>
      </w:pPr>
      <w:r>
        <w:rPr>
          <w:szCs w:val="24"/>
        </w:rPr>
        <w:t>(3)  Insufficient specificity of a pleading.</w:t>
      </w:r>
    </w:p>
    <w:p w:rsidR="00D750A6" w:rsidRDefault="00D750A6" w:rsidP="00D750A6">
      <w:pPr>
        <w:ind w:left="1440" w:right="1440"/>
        <w:rPr>
          <w:szCs w:val="24"/>
        </w:rPr>
      </w:pPr>
      <w:r>
        <w:rPr>
          <w:szCs w:val="24"/>
        </w:rPr>
        <w:t>(4)  Legal insufficiency of a pleading.</w:t>
      </w:r>
    </w:p>
    <w:p w:rsidR="00D750A6" w:rsidRDefault="00D750A6" w:rsidP="00D750A6">
      <w:pPr>
        <w:ind w:left="1440" w:right="1440"/>
        <w:rPr>
          <w:szCs w:val="24"/>
        </w:rPr>
      </w:pPr>
      <w:r>
        <w:rPr>
          <w:szCs w:val="24"/>
        </w:rPr>
        <w:t>(5)  Lack of capacity to sue, nonjoinder of a necessary party or misjoinder of a cause of action.</w:t>
      </w:r>
    </w:p>
    <w:p w:rsidR="00D750A6" w:rsidRDefault="00D750A6" w:rsidP="00D750A6">
      <w:pPr>
        <w:ind w:left="1440" w:right="1440"/>
        <w:rPr>
          <w:szCs w:val="24"/>
        </w:rPr>
      </w:pPr>
      <w:r>
        <w:rPr>
          <w:szCs w:val="24"/>
        </w:rPr>
        <w:t>(6)  Pendency of a prior proceeding or agreement for alternative dispute resolution.</w:t>
      </w:r>
    </w:p>
    <w:p w:rsidR="00D750A6" w:rsidRDefault="00D750A6" w:rsidP="00D750A6">
      <w:pPr>
        <w:spacing w:line="360" w:lineRule="auto"/>
        <w:rPr>
          <w:szCs w:val="24"/>
        </w:rPr>
      </w:pPr>
    </w:p>
    <w:p w:rsidR="00D750A6" w:rsidRPr="009D0768" w:rsidRDefault="00D750A6" w:rsidP="00D750A6">
      <w:pPr>
        <w:spacing w:line="360" w:lineRule="auto"/>
        <w:rPr>
          <w:szCs w:val="24"/>
        </w:rPr>
      </w:pPr>
      <w:r>
        <w:rPr>
          <w:szCs w:val="24"/>
        </w:rPr>
        <w:lastRenderedPageBreak/>
        <w:t xml:space="preserve">52 </w:t>
      </w:r>
      <w:smartTag w:uri="urn:schemas-microsoft-com:office:smarttags" w:element="place">
        <w:smartTag w:uri="urn:schemas-microsoft-com:office:smarttags" w:element="State">
          <w:r>
            <w:rPr>
              <w:szCs w:val="24"/>
            </w:rPr>
            <w:t>Pa.</w:t>
          </w:r>
        </w:smartTag>
      </w:smartTag>
      <w:r>
        <w:rPr>
          <w:szCs w:val="24"/>
        </w:rPr>
        <w:t xml:space="preserve"> Code §5.101(a).</w:t>
      </w:r>
      <w:r w:rsidRPr="009D0768">
        <w:rPr>
          <w:szCs w:val="24"/>
        </w:rPr>
        <w:t xml:space="preserve">  </w:t>
      </w:r>
    </w:p>
    <w:p w:rsidR="00D750A6" w:rsidRPr="009D0768" w:rsidRDefault="00D750A6" w:rsidP="00D750A6">
      <w:pPr>
        <w:spacing w:line="360" w:lineRule="auto"/>
        <w:ind w:firstLine="1440"/>
        <w:rPr>
          <w:szCs w:val="24"/>
        </w:rPr>
      </w:pPr>
    </w:p>
    <w:p w:rsidR="00D750A6" w:rsidRPr="009D0768" w:rsidRDefault="00D750A6" w:rsidP="00D750A6">
      <w:pPr>
        <w:spacing w:line="360" w:lineRule="auto"/>
        <w:ind w:firstLine="1440"/>
        <w:rPr>
          <w:szCs w:val="24"/>
        </w:rPr>
      </w:pPr>
      <w:r w:rsidRPr="009D0768">
        <w:rPr>
          <w:szCs w:val="24"/>
        </w:rPr>
        <w:t xml:space="preserve">A preliminary objection in civil practice seeking dismissal of a pleading will be granted only where relief is clearly warranted and free from doubt.  </w:t>
      </w:r>
      <w:r w:rsidRPr="009D0768">
        <w:rPr>
          <w:szCs w:val="24"/>
          <w:u w:val="single"/>
        </w:rPr>
        <w:t xml:space="preserve">Interstate Traveller Services, Inc. v. </w:t>
      </w:r>
      <w:smartTag w:uri="urn:schemas-microsoft-com:office:smarttags" w:element="State">
        <w:r w:rsidRPr="009D0768">
          <w:rPr>
            <w:szCs w:val="24"/>
            <w:u w:val="single"/>
          </w:rPr>
          <w:t>Pa.</w:t>
        </w:r>
      </w:smartTag>
      <w:r w:rsidRPr="009D0768">
        <w:rPr>
          <w:szCs w:val="24"/>
          <w:u w:val="single"/>
        </w:rPr>
        <w:t xml:space="preserve"> Dept. of Environmental Resources</w:t>
      </w:r>
      <w:r w:rsidRPr="009D0768">
        <w:rPr>
          <w:szCs w:val="24"/>
        </w:rPr>
        <w:t>, 406 A.2d 1020 (</w:t>
      </w:r>
      <w:smartTag w:uri="urn:schemas-microsoft-com:office:smarttags" w:element="State">
        <w:r w:rsidRPr="009D0768">
          <w:rPr>
            <w:szCs w:val="24"/>
          </w:rPr>
          <w:t>Pa.</w:t>
        </w:r>
      </w:smartTag>
      <w:r w:rsidRPr="009D0768">
        <w:rPr>
          <w:szCs w:val="24"/>
        </w:rPr>
        <w:t xml:space="preserve"> 1979); </w:t>
      </w:r>
      <w:r w:rsidRPr="009D0768">
        <w:rPr>
          <w:szCs w:val="24"/>
          <w:u w:val="single"/>
        </w:rPr>
        <w:t xml:space="preserve">Rivera v. </w:t>
      </w:r>
      <w:smartTag w:uri="urn:schemas-microsoft-com:office:smarttags" w:element="City">
        <w:r w:rsidRPr="009D0768">
          <w:rPr>
            <w:szCs w:val="24"/>
            <w:u w:val="single"/>
          </w:rPr>
          <w:t>Philadelphia</w:t>
        </w:r>
      </w:smartTag>
      <w:r w:rsidRPr="009D0768">
        <w:rPr>
          <w:szCs w:val="24"/>
          <w:u w:val="single"/>
        </w:rPr>
        <w:t xml:space="preserve"> Theological Seminary of St. Charles Borromeo, Inc.</w:t>
      </w:r>
      <w:r w:rsidRPr="009D0768">
        <w:rPr>
          <w:szCs w:val="24"/>
        </w:rPr>
        <w:t>, 595 A.2d 172 (</w:t>
      </w:r>
      <w:smartTag w:uri="urn:schemas-microsoft-com:office:smarttags" w:element="place">
        <w:smartTag w:uri="urn:schemas-microsoft-com:office:smarttags" w:element="State">
          <w:r w:rsidRPr="009D0768">
            <w:rPr>
              <w:szCs w:val="24"/>
            </w:rPr>
            <w:t>Pa.</w:t>
          </w:r>
        </w:smartTag>
      </w:smartTag>
      <w:r w:rsidRPr="009D0768">
        <w:rPr>
          <w:szCs w:val="24"/>
        </w:rPr>
        <w:t xml:space="preserve"> Super. 1991).  The Commission has adopted this standard.  </w:t>
      </w:r>
      <w:r w:rsidRPr="009D0768">
        <w:rPr>
          <w:szCs w:val="24"/>
          <w:u w:val="single"/>
        </w:rPr>
        <w:t>Montague v. Philadelphia Electric Company</w:t>
      </w:r>
      <w:r w:rsidRPr="009D0768">
        <w:rPr>
          <w:szCs w:val="24"/>
        </w:rPr>
        <w:t xml:space="preserve">, 66 </w:t>
      </w:r>
      <w:smartTag w:uri="urn:schemas-microsoft-com:office:smarttags" w:element="place">
        <w:smartTag w:uri="urn:schemas-microsoft-com:office:smarttags" w:element="State">
          <w:r w:rsidRPr="009D0768">
            <w:rPr>
              <w:szCs w:val="24"/>
            </w:rPr>
            <w:t>Pa.</w:t>
          </w:r>
        </w:smartTag>
      </w:smartTag>
      <w:r w:rsidRPr="009D0768">
        <w:rPr>
          <w:szCs w:val="24"/>
        </w:rPr>
        <w:t xml:space="preserve"> PUC 24 (1988).  </w:t>
      </w:r>
    </w:p>
    <w:p w:rsidR="00D750A6" w:rsidRPr="009D0768" w:rsidRDefault="00D750A6" w:rsidP="00D750A6">
      <w:pPr>
        <w:spacing w:line="360" w:lineRule="auto"/>
        <w:ind w:firstLine="1440"/>
        <w:rPr>
          <w:szCs w:val="24"/>
        </w:rPr>
      </w:pPr>
    </w:p>
    <w:p w:rsidR="00395DA5" w:rsidRDefault="00D750A6" w:rsidP="00DA1DC2">
      <w:pPr>
        <w:spacing w:line="360" w:lineRule="auto"/>
        <w:ind w:firstLine="1440"/>
      </w:pPr>
      <w:r w:rsidRPr="009D0768">
        <w:rPr>
          <w:szCs w:val="24"/>
        </w:rPr>
        <w:t xml:space="preserve">The moving party may not rely on its own factual assertions, but must accept for the purposes of disposition of the objection, all well-pleaded, material facts of the other party, as well as every inference fairly deducible from those facts.  </w:t>
      </w:r>
      <w:smartTag w:uri="urn:schemas-microsoft-com:office:smarttags" w:element="place">
        <w:smartTag w:uri="urn:schemas-microsoft-com:office:smarttags" w:element="PlaceType">
          <w:r w:rsidRPr="009D0768">
            <w:rPr>
              <w:szCs w:val="24"/>
              <w:u w:val="single"/>
            </w:rPr>
            <w:t>County</w:t>
          </w:r>
        </w:smartTag>
        <w:r w:rsidRPr="009D0768">
          <w:rPr>
            <w:szCs w:val="24"/>
            <w:u w:val="single"/>
          </w:rPr>
          <w:t xml:space="preserve"> of </w:t>
        </w:r>
        <w:smartTag w:uri="urn:schemas-microsoft-com:office:smarttags" w:element="PlaceName">
          <w:r w:rsidRPr="009D0768">
            <w:rPr>
              <w:szCs w:val="24"/>
              <w:u w:val="single"/>
            </w:rPr>
            <w:t>Allegheny</w:t>
          </w:r>
        </w:smartTag>
      </w:smartTag>
      <w:r w:rsidRPr="009D0768">
        <w:rPr>
          <w:szCs w:val="24"/>
          <w:u w:val="single"/>
        </w:rPr>
        <w:t xml:space="preserve"> v. Commw. of </w:t>
      </w:r>
      <w:smartTag w:uri="urn:schemas-microsoft-com:office:smarttags" w:element="State">
        <w:r w:rsidRPr="009D0768">
          <w:rPr>
            <w:szCs w:val="24"/>
            <w:u w:val="single"/>
          </w:rPr>
          <w:t>Pa.</w:t>
        </w:r>
      </w:smartTag>
      <w:r w:rsidRPr="009D0768">
        <w:rPr>
          <w:szCs w:val="24"/>
        </w:rPr>
        <w:t>, 490 A.2d 402 (</w:t>
      </w:r>
      <w:smartTag w:uri="urn:schemas-microsoft-com:office:smarttags" w:element="place">
        <w:smartTag w:uri="urn:schemas-microsoft-com:office:smarttags" w:element="State">
          <w:r w:rsidRPr="009D0768">
            <w:rPr>
              <w:szCs w:val="24"/>
            </w:rPr>
            <w:t>Pa.</w:t>
          </w:r>
        </w:smartTag>
      </w:smartTag>
      <w:r w:rsidRPr="009D0768">
        <w:rPr>
          <w:szCs w:val="24"/>
        </w:rPr>
        <w:t xml:space="preserve"> 1985).  Therefore, in ruling on a preliminary objection, the Commission must assume, for decisional purposes only, that the factual allegations of the Complaint are true.  </w:t>
      </w:r>
      <w:smartTag w:uri="urn:schemas-microsoft-com:office:smarttags" w:element="place">
        <w:smartTag w:uri="urn:schemas-microsoft-com:office:smarttags" w:element="State">
          <w:r w:rsidRPr="009D0768">
            <w:rPr>
              <w:szCs w:val="24"/>
              <w:u w:val="single"/>
            </w:rPr>
            <w:t>Id</w:t>
          </w:r>
          <w:r w:rsidRPr="009D0768">
            <w:rPr>
              <w:szCs w:val="24"/>
            </w:rPr>
            <w:t>.</w:t>
          </w:r>
        </w:smartTag>
      </w:smartTag>
      <w:r w:rsidRPr="009D0768">
        <w:rPr>
          <w:szCs w:val="24"/>
        </w:rPr>
        <w:t xml:space="preserve">  The preliminary objection may be granted only if the moving party prevails as a matter of law.  </w:t>
      </w:r>
      <w:r w:rsidRPr="009D0768">
        <w:rPr>
          <w:szCs w:val="24"/>
          <w:u w:val="single"/>
        </w:rPr>
        <w:t>Roc v. Flaherty</w:t>
      </w:r>
      <w:r w:rsidRPr="009D0768">
        <w:rPr>
          <w:szCs w:val="24"/>
        </w:rPr>
        <w:t>, 527 A.2d 211 (</w:t>
      </w:r>
      <w:smartTag w:uri="urn:schemas-microsoft-com:office:smarttags" w:element="place">
        <w:smartTag w:uri="urn:schemas-microsoft-com:office:smarttags" w:element="State">
          <w:r w:rsidRPr="009D0768">
            <w:rPr>
              <w:szCs w:val="24"/>
            </w:rPr>
            <w:t>Pa.</w:t>
          </w:r>
        </w:smartTag>
      </w:smartTag>
      <w:r w:rsidRPr="009D0768">
        <w:rPr>
          <w:szCs w:val="24"/>
        </w:rPr>
        <w:t xml:space="preserve"> Commw. 1985).  Any doubt must be resolved in favor of the non-moving party by refusing to sustain the preliminary objections.  </w:t>
      </w:r>
      <w:r w:rsidRPr="009D0768">
        <w:rPr>
          <w:szCs w:val="24"/>
          <w:u w:val="single"/>
        </w:rPr>
        <w:t>Dept. of Auditor General, et al. v. State Employees’ Retirement System, et al.</w:t>
      </w:r>
      <w:r w:rsidRPr="009D0768">
        <w:rPr>
          <w:szCs w:val="24"/>
        </w:rPr>
        <w:t xml:space="preserve">, 836 A.2d 1053, 1064 (Pa. Commw. 2003) </w:t>
      </w:r>
      <w:r w:rsidRPr="009D0768">
        <w:rPr>
          <w:szCs w:val="24"/>
          <w:u w:val="single"/>
        </w:rPr>
        <w:t>citing</w:t>
      </w:r>
      <w:r w:rsidRPr="009D0768">
        <w:rPr>
          <w:szCs w:val="24"/>
        </w:rPr>
        <w:t xml:space="preserve">, </w:t>
      </w:r>
      <w:r w:rsidRPr="009D0768">
        <w:rPr>
          <w:szCs w:val="24"/>
          <w:u w:val="single"/>
        </w:rPr>
        <w:t>Boyd v. Ward</w:t>
      </w:r>
      <w:r w:rsidRPr="009D0768">
        <w:rPr>
          <w:szCs w:val="24"/>
        </w:rPr>
        <w:t xml:space="preserve">, 802 A.2d 705 (Pa. Commw. 2002).  </w:t>
      </w:r>
      <w:r w:rsidR="00B455DC">
        <w:t xml:space="preserve"> </w:t>
      </w:r>
      <w:r w:rsidR="00D360BF">
        <w:t xml:space="preserve"> </w:t>
      </w:r>
      <w:r w:rsidR="00142329">
        <w:t xml:space="preserve">  </w:t>
      </w:r>
    </w:p>
    <w:p w:rsidR="00341473" w:rsidRDefault="00341473" w:rsidP="00105835">
      <w:pPr>
        <w:tabs>
          <w:tab w:val="left" w:pos="2250"/>
        </w:tabs>
        <w:spacing w:line="360" w:lineRule="auto"/>
        <w:ind w:firstLine="1440"/>
      </w:pPr>
    </w:p>
    <w:p w:rsidR="00341473" w:rsidRDefault="00341473" w:rsidP="00341473">
      <w:pPr>
        <w:spacing w:line="360" w:lineRule="auto"/>
        <w:ind w:firstLine="1440"/>
      </w:pPr>
      <w:r w:rsidRPr="00F81039">
        <w:t xml:space="preserve">Section 701 of the Public Utility </w:t>
      </w:r>
      <w:r>
        <w:t>C</w:t>
      </w:r>
      <w:r w:rsidRPr="00F81039">
        <w:t xml:space="preserve">ode (Code), </w:t>
      </w:r>
      <w:r w:rsidRPr="00C81B96">
        <w:t xml:space="preserve">66 </w:t>
      </w:r>
      <w:smartTag w:uri="urn:schemas-microsoft-com:office:smarttags" w:element="State">
        <w:smartTag w:uri="urn:schemas-microsoft-com:office:smarttags" w:element="place">
          <w:r w:rsidRPr="00C81B96">
            <w:t>Pa.</w:t>
          </w:r>
        </w:smartTag>
      </w:smartTag>
      <w:r w:rsidRPr="00C81B96">
        <w:t xml:space="preserve"> C.S. §701</w:t>
      </w:r>
      <w:r>
        <w:t xml:space="preserve">, </w:t>
      </w:r>
      <w:r w:rsidRPr="00F81039">
        <w:t xml:space="preserve">provides that any person may complain, in writing, about any act or thing done or omitted to be done by a public utility in violation, or claimed violation, of any law which the Commission has the jurisdiction to administer, or of any regulation or order of the Commission.  </w:t>
      </w:r>
      <w:r>
        <w:t>A person</w:t>
      </w:r>
      <w:r w:rsidRPr="00F81039">
        <w:t xml:space="preserve"> seeking affirmative relief from the Commi</w:t>
      </w:r>
      <w:r>
        <w:t>ssion has the burden of proof.</w:t>
      </w:r>
      <w:r>
        <w:rPr>
          <w:rStyle w:val="FootnoteReference"/>
        </w:rPr>
        <w:footnoteReference w:id="1"/>
      </w:r>
    </w:p>
    <w:p w:rsidR="00341473" w:rsidRPr="00F81039" w:rsidRDefault="00341473" w:rsidP="00341473">
      <w:pPr>
        <w:spacing w:line="360" w:lineRule="auto"/>
        <w:ind w:firstLine="1440"/>
      </w:pPr>
    </w:p>
    <w:p w:rsidR="00E35D44" w:rsidRDefault="00B06959" w:rsidP="005B3FCA">
      <w:pPr>
        <w:pStyle w:val="FootnoteText"/>
        <w:spacing w:line="360" w:lineRule="auto"/>
        <w:ind w:firstLine="1440"/>
      </w:pPr>
      <w:r>
        <w:t xml:space="preserve">In this matter, </w:t>
      </w:r>
      <w:r w:rsidR="00341473">
        <w:t xml:space="preserve">Complainant </w:t>
      </w:r>
      <w:r w:rsidR="00341473" w:rsidRPr="00F81039">
        <w:t>is the party seeking affirmative relief from the Commission and</w:t>
      </w:r>
      <w:r w:rsidR="00341473">
        <w:t>,</w:t>
      </w:r>
      <w:r w:rsidR="00341473" w:rsidRPr="00F81039">
        <w:t xml:space="preserve"> therefore,</w:t>
      </w:r>
      <w:r w:rsidR="00341473">
        <w:t xml:space="preserve"> </w:t>
      </w:r>
      <w:r w:rsidR="00805891">
        <w:t>s</w:t>
      </w:r>
      <w:r w:rsidR="00341473">
        <w:t>he</w:t>
      </w:r>
      <w:r w:rsidR="00341473" w:rsidRPr="00F81039">
        <w:t xml:space="preserve"> has the burden of proof.  This means that </w:t>
      </w:r>
      <w:r w:rsidR="00E35D44">
        <w:t>s</w:t>
      </w:r>
      <w:r w:rsidR="00341473" w:rsidRPr="00F81039">
        <w:t xml:space="preserve">he has the duty to establish a fact by a preponderance of the evidence, and must show that </w:t>
      </w:r>
      <w:r w:rsidR="00E35D44">
        <w:t>PECO</w:t>
      </w:r>
      <w:r w:rsidR="005B3FCA">
        <w:t xml:space="preserve"> </w:t>
      </w:r>
      <w:r w:rsidR="00341473">
        <w:t xml:space="preserve">has violated the </w:t>
      </w:r>
      <w:r w:rsidR="00341473">
        <w:lastRenderedPageBreak/>
        <w:t>Public Utility Code or Commission regulations</w:t>
      </w:r>
      <w:r w:rsidR="00341473" w:rsidRPr="00F81039">
        <w:t>.</w:t>
      </w:r>
      <w:r w:rsidR="005B3FCA">
        <w:t xml:space="preserve">  </w:t>
      </w:r>
      <w:r w:rsidR="005B3FCA" w:rsidRPr="00697F9E">
        <w:rPr>
          <w:u w:val="single"/>
        </w:rPr>
        <w:t>Se-Ling Hosiery, Inc. v. Margulies</w:t>
      </w:r>
      <w:r w:rsidR="005B3FCA" w:rsidRPr="00C81B96">
        <w:t xml:space="preserve">, 364 </w:t>
      </w:r>
      <w:smartTag w:uri="urn:schemas-microsoft-com:office:smarttags" w:element="place">
        <w:smartTag w:uri="urn:schemas-microsoft-com:office:smarttags" w:element="State">
          <w:r w:rsidR="005B3FCA" w:rsidRPr="00C81B96">
            <w:t>Pa.</w:t>
          </w:r>
        </w:smartTag>
      </w:smartTag>
      <w:r w:rsidR="005B3FCA" w:rsidRPr="00C81B96">
        <w:t xml:space="preserve"> 45, 70 A.2d 854 (1950); </w:t>
      </w:r>
      <w:r w:rsidR="005B3FCA" w:rsidRPr="00697F9E">
        <w:rPr>
          <w:u w:val="single"/>
        </w:rPr>
        <w:t>Feinstein v. Philadelphia Suburban Water Company</w:t>
      </w:r>
      <w:r w:rsidR="005B3FCA" w:rsidRPr="000213A4">
        <w:t>,</w:t>
      </w:r>
      <w:r w:rsidR="005B3FCA" w:rsidRPr="00C81B96">
        <w:t xml:space="preserve"> 50 PA PUC 300 (1976).</w:t>
      </w:r>
    </w:p>
    <w:p w:rsidR="00805891" w:rsidRDefault="00805891" w:rsidP="005B3FCA">
      <w:pPr>
        <w:pStyle w:val="FootnoteText"/>
        <w:spacing w:line="360" w:lineRule="auto"/>
        <w:ind w:firstLine="1440"/>
      </w:pPr>
    </w:p>
    <w:p w:rsidR="00A64AE7" w:rsidRPr="009D0768" w:rsidRDefault="00805891" w:rsidP="00A64AE7">
      <w:pPr>
        <w:tabs>
          <w:tab w:val="left" w:pos="1584"/>
        </w:tabs>
        <w:spacing w:line="360" w:lineRule="auto"/>
        <w:ind w:firstLine="1440"/>
        <w:rPr>
          <w:szCs w:val="24"/>
        </w:rPr>
      </w:pPr>
      <w:r>
        <w:t xml:space="preserve">PECO claims that the complaint should be dismissed for lack of subject matter jurisdiction.  52 </w:t>
      </w:r>
      <w:smartTag w:uri="urn:schemas-microsoft-com:office:smarttags" w:element="place">
        <w:smartTag w:uri="urn:schemas-microsoft-com:office:smarttags" w:element="State">
          <w:r>
            <w:t>Pa.</w:t>
          </w:r>
        </w:smartTag>
      </w:smartTag>
      <w:r>
        <w:t xml:space="preserve"> Code §</w:t>
      </w:r>
      <w:r w:rsidR="005E1D43">
        <w:t xml:space="preserve">5.101(a)(1).  </w:t>
      </w:r>
      <w:r w:rsidR="00A64AE7" w:rsidRPr="009D0768">
        <w:rPr>
          <w:szCs w:val="24"/>
        </w:rPr>
        <w:t xml:space="preserve">As in every case coming before this forum, the Commission must decide initially whether it has jurisdiction over the parties and the subject matter of this dispute.  As a creature of legislation, the Commission possesses only the authority the state legislature has specifically granted to it in the Public Utility Code.  66 </w:t>
      </w:r>
      <w:smartTag w:uri="urn:schemas-microsoft-com:office:smarttags" w:element="place">
        <w:smartTag w:uri="urn:schemas-microsoft-com:office:smarttags" w:element="State">
          <w:r w:rsidR="00A64AE7" w:rsidRPr="009D0768">
            <w:rPr>
              <w:szCs w:val="24"/>
            </w:rPr>
            <w:t>Pa.</w:t>
          </w:r>
        </w:smartTag>
      </w:smartTag>
      <w:r w:rsidR="00A64AE7" w:rsidRPr="009D0768">
        <w:rPr>
          <w:szCs w:val="24"/>
        </w:rPr>
        <w:t xml:space="preserve"> C.S. §101 </w:t>
      </w:r>
      <w:r w:rsidR="00A64AE7" w:rsidRPr="001D5DA0">
        <w:rPr>
          <w:i/>
          <w:szCs w:val="24"/>
        </w:rPr>
        <w:t>et seq.</w:t>
      </w:r>
      <w:r w:rsidR="00A64AE7" w:rsidRPr="009D0768">
        <w:rPr>
          <w:szCs w:val="24"/>
        </w:rPr>
        <w:t xml:space="preserve">  Its jurisdiction must arise from the express language of the pertinent enabling legislation or by strong and necessary implication therefrom.  </w:t>
      </w:r>
      <w:r w:rsidR="00A64AE7" w:rsidRPr="009D0768">
        <w:rPr>
          <w:szCs w:val="24"/>
          <w:u w:val="single"/>
        </w:rPr>
        <w:t xml:space="preserve">Feingold v. </w:t>
      </w:r>
      <w:smartTag w:uri="urn:schemas-microsoft-com:office:smarttags" w:element="City">
        <w:r w:rsidR="00A64AE7" w:rsidRPr="009D0768">
          <w:rPr>
            <w:szCs w:val="24"/>
            <w:u w:val="single"/>
          </w:rPr>
          <w:t>Bell</w:t>
        </w:r>
      </w:smartTag>
      <w:r w:rsidR="00A64AE7" w:rsidRPr="009D0768">
        <w:rPr>
          <w:szCs w:val="24"/>
          <w:u w:val="single"/>
        </w:rPr>
        <w:t xml:space="preserve"> of </w:t>
      </w:r>
      <w:smartTag w:uri="urn:schemas-microsoft-com:office:smarttags" w:element="State">
        <w:r w:rsidR="00A64AE7" w:rsidRPr="009D0768">
          <w:rPr>
            <w:szCs w:val="24"/>
            <w:u w:val="single"/>
          </w:rPr>
          <w:t>Pa.</w:t>
        </w:r>
      </w:smartTag>
      <w:r w:rsidR="00A64AE7" w:rsidRPr="009D0768">
        <w:rPr>
          <w:szCs w:val="24"/>
        </w:rPr>
        <w:t>, 383 A.2d 791 (</w:t>
      </w:r>
      <w:smartTag w:uri="urn:schemas-microsoft-com:office:smarttags" w:element="place">
        <w:smartTag w:uri="urn:schemas-microsoft-com:office:smarttags" w:element="State">
          <w:r w:rsidR="00A64AE7" w:rsidRPr="009D0768">
            <w:rPr>
              <w:szCs w:val="24"/>
            </w:rPr>
            <w:t>Pa.</w:t>
          </w:r>
        </w:smartTag>
      </w:smartTag>
      <w:r w:rsidR="00A64AE7" w:rsidRPr="009D0768">
        <w:rPr>
          <w:szCs w:val="24"/>
        </w:rPr>
        <w:t xml:space="preserve"> 1977).  </w:t>
      </w:r>
    </w:p>
    <w:p w:rsidR="00A64AE7" w:rsidRPr="009D0768" w:rsidRDefault="00A64AE7" w:rsidP="00A64AE7">
      <w:pPr>
        <w:tabs>
          <w:tab w:val="left" w:pos="1584"/>
        </w:tabs>
        <w:spacing w:line="360" w:lineRule="auto"/>
        <w:ind w:firstLine="1440"/>
        <w:rPr>
          <w:szCs w:val="24"/>
        </w:rPr>
      </w:pPr>
    </w:p>
    <w:p w:rsidR="00A64AE7" w:rsidRPr="009D0768" w:rsidRDefault="00A64AE7" w:rsidP="00A64AE7">
      <w:pPr>
        <w:spacing w:line="360" w:lineRule="auto"/>
        <w:ind w:firstLine="1440"/>
        <w:rPr>
          <w:szCs w:val="24"/>
        </w:rPr>
      </w:pPr>
      <w:r w:rsidRPr="009D0768">
        <w:rPr>
          <w:szCs w:val="24"/>
        </w:rPr>
        <w:t xml:space="preserve">The Commission must act within, and cannot exceed, its jurisdiction.  </w:t>
      </w:r>
      <w:r w:rsidRPr="009D0768">
        <w:rPr>
          <w:szCs w:val="24"/>
          <w:u w:val="single"/>
        </w:rPr>
        <w:t xml:space="preserve">City of </w:t>
      </w:r>
      <w:smartTag w:uri="urn:schemas-microsoft-com:office:smarttags" w:element="City">
        <w:r w:rsidRPr="009D0768">
          <w:rPr>
            <w:szCs w:val="24"/>
            <w:u w:val="single"/>
          </w:rPr>
          <w:t>Pittsburgh</w:t>
        </w:r>
      </w:smartTag>
      <w:r w:rsidRPr="009D0768">
        <w:rPr>
          <w:szCs w:val="24"/>
          <w:u w:val="single"/>
        </w:rPr>
        <w:t xml:space="preserve"> v. PA Public Utility Comm’n</w:t>
      </w:r>
      <w:r w:rsidRPr="009D0768">
        <w:rPr>
          <w:szCs w:val="24"/>
        </w:rPr>
        <w:t>, 43 A.2d 348 (</w:t>
      </w:r>
      <w:smartTag w:uri="urn:schemas-microsoft-com:office:smarttags" w:element="place">
        <w:smartTag w:uri="urn:schemas-microsoft-com:office:smarttags" w:element="State">
          <w:r w:rsidRPr="009D0768">
            <w:rPr>
              <w:szCs w:val="24"/>
            </w:rPr>
            <w:t>Pa.</w:t>
          </w:r>
        </w:smartTag>
      </w:smartTag>
      <w:r w:rsidRPr="009D0768">
        <w:rPr>
          <w:szCs w:val="24"/>
        </w:rPr>
        <w:t xml:space="preserve"> Super. 1945).  Jurisdiction may not be conferred by the parties where none exists.  </w:t>
      </w:r>
      <w:r w:rsidRPr="009D0768">
        <w:rPr>
          <w:szCs w:val="24"/>
          <w:u w:val="single"/>
        </w:rPr>
        <w:t>Roberts v. Martorano</w:t>
      </w:r>
      <w:r w:rsidRPr="009D0768">
        <w:rPr>
          <w:szCs w:val="24"/>
        </w:rPr>
        <w:t>, 235 A.2d 602 (</w:t>
      </w:r>
      <w:smartTag w:uri="urn:schemas-microsoft-com:office:smarttags" w:element="place">
        <w:smartTag w:uri="urn:schemas-microsoft-com:office:smarttags" w:element="State">
          <w:r w:rsidRPr="009D0768">
            <w:rPr>
              <w:szCs w:val="24"/>
            </w:rPr>
            <w:t>Pa.</w:t>
          </w:r>
        </w:smartTag>
      </w:smartTag>
      <w:r w:rsidRPr="009D0768">
        <w:rPr>
          <w:szCs w:val="24"/>
        </w:rPr>
        <w:t xml:space="preserve"> 1967).  Neither silence nor agreement of the parties will confer jurisdiction where it otherwise would not exist, </w:t>
      </w:r>
      <w:r w:rsidRPr="009D0768">
        <w:rPr>
          <w:szCs w:val="24"/>
          <w:u w:val="single"/>
        </w:rPr>
        <w:t>Commonwealth v. VanBuskirk</w:t>
      </w:r>
      <w:r w:rsidRPr="009D0768">
        <w:rPr>
          <w:szCs w:val="24"/>
        </w:rPr>
        <w:t xml:space="preserve">, 449 A.2d 621 (Pa. Super. 1982), nor can jurisdiction be obtained by waiver or </w:t>
      </w:r>
      <w:r w:rsidR="00CE3BA6">
        <w:rPr>
          <w:szCs w:val="24"/>
        </w:rPr>
        <w:t xml:space="preserve">estoppels. </w:t>
      </w:r>
      <w:r w:rsidRPr="009D0768">
        <w:rPr>
          <w:szCs w:val="24"/>
        </w:rPr>
        <w:t xml:space="preserve"> </w:t>
      </w:r>
      <w:r w:rsidRPr="009D0768">
        <w:rPr>
          <w:szCs w:val="24"/>
          <w:u w:val="single"/>
        </w:rPr>
        <w:t>In Re Borough Of Valley-Hi</w:t>
      </w:r>
      <w:r w:rsidRPr="009D0768">
        <w:rPr>
          <w:szCs w:val="24"/>
        </w:rPr>
        <w:t>, 420 A.2d 15 (Pa. Commw. 1980).</w:t>
      </w:r>
    </w:p>
    <w:p w:rsidR="00A64AE7" w:rsidRPr="009D0768" w:rsidRDefault="00A64AE7" w:rsidP="00A64AE7">
      <w:pPr>
        <w:spacing w:line="360" w:lineRule="auto"/>
        <w:ind w:firstLine="1440"/>
        <w:rPr>
          <w:szCs w:val="24"/>
        </w:rPr>
      </w:pPr>
    </w:p>
    <w:p w:rsidR="00A64AE7" w:rsidRDefault="00A64AE7" w:rsidP="00A64AE7">
      <w:pPr>
        <w:spacing w:line="360" w:lineRule="auto"/>
        <w:ind w:firstLine="1440"/>
        <w:rPr>
          <w:szCs w:val="24"/>
        </w:rPr>
      </w:pPr>
      <w:r w:rsidRPr="009D0768">
        <w:rPr>
          <w:szCs w:val="24"/>
        </w:rPr>
        <w:t xml:space="preserve">Subject matter jurisdiction is a prerequisite to the exercise of the power to decide a controversy.  </w:t>
      </w:r>
      <w:r w:rsidRPr="009D0768">
        <w:rPr>
          <w:i/>
          <w:iCs/>
          <w:szCs w:val="24"/>
        </w:rPr>
        <w:t>Cf</w:t>
      </w:r>
      <w:r w:rsidRPr="009D0768">
        <w:rPr>
          <w:i/>
          <w:szCs w:val="24"/>
        </w:rPr>
        <w:t>.</w:t>
      </w:r>
      <w:r w:rsidRPr="009D0768">
        <w:rPr>
          <w:szCs w:val="24"/>
        </w:rPr>
        <w:t xml:space="preserve">, </w:t>
      </w:r>
      <w:r w:rsidRPr="009D0768">
        <w:rPr>
          <w:szCs w:val="24"/>
          <w:u w:val="single"/>
        </w:rPr>
        <w:t>Hughes v. PA State Police</w:t>
      </w:r>
      <w:r w:rsidRPr="009D0768">
        <w:rPr>
          <w:szCs w:val="24"/>
        </w:rPr>
        <w:t xml:space="preserve">, 152 </w:t>
      </w:r>
      <w:smartTag w:uri="urn:schemas-microsoft-com:office:smarttags" w:element="place">
        <w:smartTag w:uri="urn:schemas-microsoft-com:office:smarttags" w:element="State">
          <w:r w:rsidRPr="009D0768">
            <w:rPr>
              <w:szCs w:val="24"/>
            </w:rPr>
            <w:t>Pa.</w:t>
          </w:r>
        </w:smartTag>
      </w:smartTag>
      <w:r>
        <w:rPr>
          <w:szCs w:val="24"/>
        </w:rPr>
        <w:t xml:space="preserve"> </w:t>
      </w:r>
      <w:r w:rsidRPr="009D0768">
        <w:rPr>
          <w:szCs w:val="24"/>
        </w:rPr>
        <w:t xml:space="preserve">Commw. 409, 619 A.2d 390 (1992), </w:t>
      </w:r>
      <w:r w:rsidRPr="009D0768">
        <w:rPr>
          <w:i/>
          <w:szCs w:val="24"/>
        </w:rPr>
        <w:t>a</w:t>
      </w:r>
      <w:r w:rsidRPr="009D0768">
        <w:rPr>
          <w:i/>
          <w:iCs/>
          <w:szCs w:val="24"/>
        </w:rPr>
        <w:t>lloc. den</w:t>
      </w:r>
      <w:r w:rsidRPr="009D0768">
        <w:rPr>
          <w:szCs w:val="24"/>
        </w:rPr>
        <w:t>., 637 A.2d 293 (1993).</w:t>
      </w:r>
    </w:p>
    <w:p w:rsidR="003243AF" w:rsidRDefault="003243AF" w:rsidP="00A64AE7">
      <w:pPr>
        <w:spacing w:line="360" w:lineRule="auto"/>
        <w:ind w:firstLine="1440"/>
        <w:rPr>
          <w:szCs w:val="24"/>
        </w:rPr>
      </w:pPr>
    </w:p>
    <w:p w:rsidR="00835F89" w:rsidRDefault="003243AF" w:rsidP="003243AF">
      <w:pPr>
        <w:spacing w:line="360" w:lineRule="auto"/>
        <w:ind w:firstLine="1440"/>
      </w:pPr>
      <w:r>
        <w:t>In this case</w:t>
      </w:r>
      <w:r w:rsidR="00174423">
        <w:t>,</w:t>
      </w:r>
      <w:r>
        <w:t xml:space="preserve"> </w:t>
      </w:r>
      <w:r w:rsidR="00174423">
        <w:t>Complainant alleged that she tendered credit to settle her bill</w:t>
      </w:r>
      <w:r>
        <w:t xml:space="preserve"> </w:t>
      </w:r>
      <w:r w:rsidR="00174423">
        <w:t xml:space="preserve">to PECO and </w:t>
      </w:r>
      <w:r>
        <w:t xml:space="preserve">PECO </w:t>
      </w:r>
      <w:r w:rsidR="00F503B7">
        <w:t>stole</w:t>
      </w:r>
      <w:r w:rsidR="006C0CAF">
        <w:t xml:space="preserve"> the tender</w:t>
      </w:r>
      <w:r w:rsidR="00F503B7">
        <w:t xml:space="preserve">.  </w:t>
      </w:r>
      <w:r w:rsidR="006C0CAF">
        <w:t>“</w:t>
      </w:r>
      <w:r w:rsidR="00F503B7">
        <w:t>[T]</w:t>
      </w:r>
      <w:r w:rsidR="006C0CAF">
        <w:t>heft of public funds</w:t>
      </w:r>
      <w:r w:rsidR="00F503B7">
        <w:t xml:space="preserve">,” she averred.  </w:t>
      </w:r>
      <w:r w:rsidR="006C0CAF">
        <w:rPr>
          <w:i/>
        </w:rPr>
        <w:t xml:space="preserve">See </w:t>
      </w:r>
      <w:r w:rsidR="006C0CAF">
        <w:t>Formal Complaint Form, Relief</w:t>
      </w:r>
      <w:r w:rsidR="00F503B7">
        <w:t xml:space="preserve">.  </w:t>
      </w:r>
      <w:r w:rsidR="006C0CAF">
        <w:t xml:space="preserve"> </w:t>
      </w:r>
      <w:r w:rsidR="00F503B7">
        <w:t xml:space="preserve">Complainant requests that the Commission order PECO to settle her account and apply credit to future bills.  </w:t>
      </w:r>
    </w:p>
    <w:p w:rsidR="00835F89" w:rsidRDefault="00835F89" w:rsidP="003243AF">
      <w:pPr>
        <w:spacing w:line="360" w:lineRule="auto"/>
        <w:ind w:firstLine="1440"/>
      </w:pPr>
    </w:p>
    <w:p w:rsidR="003243AF" w:rsidRDefault="003243AF" w:rsidP="00A64AE7">
      <w:pPr>
        <w:spacing w:line="360" w:lineRule="auto"/>
        <w:ind w:firstLine="1440"/>
        <w:rPr>
          <w:szCs w:val="24"/>
        </w:rPr>
      </w:pPr>
      <w:r>
        <w:lastRenderedPageBreak/>
        <w:t xml:space="preserve">The Commission’s regulations provide that payment for services may be made in “any reasonable manner.”  52 </w:t>
      </w:r>
      <w:smartTag w:uri="urn:schemas-microsoft-com:office:smarttags" w:element="place">
        <w:smartTag w:uri="urn:schemas-microsoft-com:office:smarttags" w:element="State">
          <w:r>
            <w:t>Pa.</w:t>
          </w:r>
        </w:smartTag>
      </w:smartTag>
      <w:r>
        <w:t xml:space="preserve"> Code § 56.94.  As a result, the decision</w:t>
      </w:r>
      <w:r w:rsidR="00835F89">
        <w:t xml:space="preserve"> as to the “reasonableness” of Complainant’s</w:t>
      </w:r>
      <w:r>
        <w:t xml:space="preserve"> method of payment is within the Commission’s authority.  However, in order to determine if </w:t>
      </w:r>
      <w:r w:rsidR="00835F89">
        <w:t xml:space="preserve">Complainant’s tender </w:t>
      </w:r>
      <w:r>
        <w:t xml:space="preserve">is a reasonable manner of payment, the Commission would be required to determine the </w:t>
      </w:r>
      <w:r w:rsidR="00835F89">
        <w:t xml:space="preserve">negotiability of </w:t>
      </w:r>
      <w:r>
        <w:t>instruments</w:t>
      </w:r>
      <w:r w:rsidR="00835F89">
        <w:t xml:space="preserve">, </w:t>
      </w:r>
      <w:r>
        <w:t xml:space="preserve">which is a question of law governed by application of the </w:t>
      </w:r>
      <w:r w:rsidR="00E35BF7">
        <w:t>Uniform Commercial Code (“</w:t>
      </w:r>
      <w:r>
        <w:t>UCC</w:t>
      </w:r>
      <w:r w:rsidR="00E35BF7">
        <w:t>”)</w:t>
      </w:r>
      <w:r>
        <w:t>, and in particular 13 Pa. C.S. §3104.  Whether an instrument is negotiable is a legal conclusion</w:t>
      </w:r>
      <w:r w:rsidR="00257F64">
        <w:t>.</w:t>
      </w:r>
      <w:r>
        <w:t xml:space="preserve">  </w:t>
      </w:r>
      <w:r>
        <w:rPr>
          <w:i/>
        </w:rPr>
        <w:t xml:space="preserve">See, </w:t>
      </w:r>
      <w:r w:rsidRPr="002C3001">
        <w:rPr>
          <w:u w:val="single"/>
        </w:rPr>
        <w:t>Triffin v. Dillabough</w:t>
      </w:r>
      <w:r>
        <w:t xml:space="preserve">, 552 </w:t>
      </w:r>
      <w:smartTag w:uri="urn:schemas-microsoft-com:office:smarttags" w:element="place">
        <w:smartTag w:uri="urn:schemas-microsoft-com:office:smarttags" w:element="State">
          <w:r>
            <w:t>Pa.</w:t>
          </w:r>
        </w:smartTag>
      </w:smartTag>
      <w:r>
        <w:t xml:space="preserve"> 550, 716 A.2d 605 (1998); </w:t>
      </w:r>
      <w:r w:rsidRPr="002C3001">
        <w:rPr>
          <w:u w:val="single"/>
        </w:rPr>
        <w:t>Dorfman</w:t>
      </w:r>
      <w:r>
        <w:t xml:space="preserve">.  I have concluded that the Commission lacks subject matter jurisdiction to entertain the Complaint.  This preliminary objection </w:t>
      </w:r>
      <w:r w:rsidR="00257F64">
        <w:t xml:space="preserve">based on lack of subject matter jurisdiction </w:t>
      </w:r>
      <w:r>
        <w:t>must be sustained.</w:t>
      </w:r>
      <w:r w:rsidR="002C3001">
        <w:t xml:space="preserve">  </w:t>
      </w:r>
      <w:r w:rsidR="002C3001">
        <w:rPr>
          <w:i/>
        </w:rPr>
        <w:t>See</w:t>
      </w:r>
      <w:r w:rsidR="002C3001">
        <w:t xml:space="preserve"> </w:t>
      </w:r>
      <w:r w:rsidR="00A65B73" w:rsidRPr="00A65B73">
        <w:rPr>
          <w:u w:val="single"/>
        </w:rPr>
        <w:t xml:space="preserve">James </w:t>
      </w:r>
      <w:r w:rsidR="002C3001" w:rsidRPr="00A65B73">
        <w:rPr>
          <w:u w:val="single"/>
        </w:rPr>
        <w:t>C</w:t>
      </w:r>
      <w:r w:rsidR="002C3001" w:rsidRPr="002C3001">
        <w:rPr>
          <w:u w:val="single"/>
        </w:rPr>
        <w:t>opp</w:t>
      </w:r>
      <w:r w:rsidR="002C3001">
        <w:rPr>
          <w:u w:val="single"/>
        </w:rPr>
        <w:t>edge v. PECO Energy Company</w:t>
      </w:r>
      <w:r w:rsidR="002C3001">
        <w:t xml:space="preserve">, F-2009-2135893 (Opinion and Order entered </w:t>
      </w:r>
      <w:r w:rsidR="0030230C">
        <w:t>August 3, 2010).</w:t>
      </w:r>
    </w:p>
    <w:p w:rsidR="004C2F5B" w:rsidRDefault="004C2F5B" w:rsidP="005B3FCA">
      <w:pPr>
        <w:pStyle w:val="FootnoteText"/>
        <w:spacing w:line="360" w:lineRule="auto"/>
        <w:ind w:firstLine="1440"/>
      </w:pPr>
    </w:p>
    <w:p w:rsidR="002343F4" w:rsidRDefault="004C2F5B" w:rsidP="005B3FCA">
      <w:pPr>
        <w:pStyle w:val="FootnoteText"/>
        <w:spacing w:line="360" w:lineRule="auto"/>
        <w:ind w:firstLine="1440"/>
      </w:pPr>
      <w:r>
        <w:t xml:space="preserve">PECO next asserts in its Preliminary Objections that the complaint is legally insufficient.  52 </w:t>
      </w:r>
      <w:smartTag w:uri="urn:schemas-microsoft-com:office:smarttags" w:element="place">
        <w:smartTag w:uri="urn:schemas-microsoft-com:office:smarttags" w:element="State">
          <w:r>
            <w:t>Pa.</w:t>
          </w:r>
        </w:smartTag>
      </w:smartTag>
      <w:r>
        <w:t xml:space="preserve"> Code §5.101(a)(4).</w:t>
      </w:r>
      <w:r w:rsidR="00A65B73">
        <w:t xml:space="preserve">  Citing the </w:t>
      </w:r>
      <w:r w:rsidR="00A65B73">
        <w:rPr>
          <w:u w:val="single"/>
        </w:rPr>
        <w:t>Coppedge</w:t>
      </w:r>
      <w:r w:rsidR="00A65B73">
        <w:t xml:space="preserve"> Opinion and Order, </w:t>
      </w:r>
      <w:r w:rsidR="00AA6586">
        <w:t xml:space="preserve">PECO contends that the complaint must be dismissed because the relief requested cannot be granted as a matter of law and is contrary to the policy of the Commission.  </w:t>
      </w:r>
      <w:r w:rsidR="002343F4">
        <w:t>According to PECO,</w:t>
      </w:r>
    </w:p>
    <w:p w:rsidR="002343F4" w:rsidRDefault="002343F4" w:rsidP="005B3FCA">
      <w:pPr>
        <w:pStyle w:val="FootnoteText"/>
        <w:spacing w:line="360" w:lineRule="auto"/>
        <w:ind w:firstLine="1440"/>
      </w:pPr>
    </w:p>
    <w:p w:rsidR="00BF47D3" w:rsidRDefault="002343F4" w:rsidP="002343F4">
      <w:pPr>
        <w:pStyle w:val="FootnoteText"/>
        <w:ind w:left="1440" w:right="1440"/>
      </w:pPr>
      <w:r>
        <w:t xml:space="preserve">Complainant attempts to force PECO to accept as legal tender bogus monetary instruments as payment for her utility bills.  PECO does not accept </w:t>
      </w:r>
      <w:r w:rsidR="00BF47D3">
        <w:t>OIDs or 1099-V forms for payment by its customers.  On the contrary, PECO accepts legal tender only, i.e., a check or money order.</w:t>
      </w:r>
    </w:p>
    <w:p w:rsidR="00BF47D3" w:rsidRDefault="00BF47D3" w:rsidP="00BF47D3">
      <w:pPr>
        <w:pStyle w:val="FootnoteText"/>
        <w:spacing w:line="360" w:lineRule="auto"/>
      </w:pPr>
    </w:p>
    <w:p w:rsidR="00BF47D3" w:rsidRDefault="00BF47D3" w:rsidP="00BF47D3">
      <w:pPr>
        <w:pStyle w:val="FootnoteText"/>
        <w:spacing w:line="360" w:lineRule="auto"/>
      </w:pPr>
      <w:r>
        <w:t>Preliminary Objections, p. 4.</w:t>
      </w:r>
    </w:p>
    <w:p w:rsidR="00537F97" w:rsidRDefault="00537F97" w:rsidP="00BF47D3">
      <w:pPr>
        <w:pStyle w:val="FootnoteText"/>
        <w:spacing w:line="360" w:lineRule="auto"/>
      </w:pPr>
    </w:p>
    <w:p w:rsidR="000903C7" w:rsidRDefault="000A3230" w:rsidP="000A3230">
      <w:pPr>
        <w:spacing w:line="360" w:lineRule="auto"/>
        <w:ind w:right="-72" w:firstLine="1440"/>
      </w:pPr>
      <w:r>
        <w:t xml:space="preserve">The complaint does not set forth an “act or thing done or omitted to be done or about to be done or omitted to be done by the respondent in violation, or claimed violation, </w:t>
      </w:r>
      <w:r w:rsidRPr="000A3230">
        <w:rPr>
          <w:u w:val="single"/>
        </w:rPr>
        <w:t>of a statu</w:t>
      </w:r>
      <w:r>
        <w:rPr>
          <w:u w:val="single"/>
        </w:rPr>
        <w:t>t</w:t>
      </w:r>
      <w:r w:rsidRPr="000A3230">
        <w:rPr>
          <w:u w:val="single"/>
        </w:rPr>
        <w:t>e which the Commission has jurisdiction to administer, or of a regulation or order of the Commission.</w:t>
      </w:r>
      <w:r>
        <w:t xml:space="preserve">”  </w:t>
      </w:r>
      <w:r>
        <w:rPr>
          <w:i/>
        </w:rPr>
        <w:t>See</w:t>
      </w:r>
      <w:r>
        <w:t xml:space="preserve"> 52 </w:t>
      </w:r>
      <w:smartTag w:uri="urn:schemas-microsoft-com:office:smarttags" w:element="place">
        <w:smartTag w:uri="urn:schemas-microsoft-com:office:smarttags" w:element="State">
          <w:r>
            <w:t>Pa.</w:t>
          </w:r>
        </w:smartTag>
      </w:smartTag>
      <w:r>
        <w:t xml:space="preserve"> Code §5.22(a)(4)</w:t>
      </w:r>
      <w:r w:rsidR="00444064">
        <w:t xml:space="preserve"> </w:t>
      </w:r>
      <w:r>
        <w:t xml:space="preserve">(emphasis added).  </w:t>
      </w:r>
      <w:r w:rsidR="00537F97">
        <w:t xml:space="preserve">PECO is correct.  The relief requested by Complainant here cannot be granted as a matter of law.  The Commission lacks subject matter jurisdiction to determine whether Complainant’s purported tender is a negotiable instrument.  The analysis with respect to the above preliminary objection based on a lack of </w:t>
      </w:r>
      <w:r w:rsidR="00537F97">
        <w:lastRenderedPageBreak/>
        <w:t xml:space="preserve">subject matter jurisdiction is applicable here as well.  The complaint is legally insufficient.  The relief requested cannot be granted because the Commission lacks subject matter jurisdiction.  </w:t>
      </w:r>
    </w:p>
    <w:p w:rsidR="0042540E" w:rsidRDefault="0042540E" w:rsidP="00BF47D3">
      <w:pPr>
        <w:pStyle w:val="FootnoteText"/>
        <w:spacing w:line="360" w:lineRule="auto"/>
      </w:pPr>
    </w:p>
    <w:p w:rsidR="000903C7" w:rsidRDefault="000903C7" w:rsidP="00BF47D3">
      <w:pPr>
        <w:pStyle w:val="FootnoteText"/>
        <w:spacing w:line="360" w:lineRule="auto"/>
      </w:pPr>
      <w:r>
        <w:tab/>
      </w:r>
      <w:r>
        <w:tab/>
        <w:t xml:space="preserve">PECO’s final preliminary objection is the complaint contains scandalous and impertinent matter.  </w:t>
      </w:r>
      <w:r>
        <w:rPr>
          <w:i/>
        </w:rPr>
        <w:t>See</w:t>
      </w:r>
      <w:r>
        <w:t xml:space="preserve"> 52 </w:t>
      </w:r>
      <w:smartTag w:uri="urn:schemas-microsoft-com:office:smarttags" w:element="place">
        <w:smartTag w:uri="urn:schemas-microsoft-com:office:smarttags" w:element="State">
          <w:r>
            <w:t>Pa.</w:t>
          </w:r>
        </w:smartTag>
      </w:smartTag>
      <w:r>
        <w:t xml:space="preserve"> Code §5.101(a)(2).  According to PECO, </w:t>
      </w:r>
      <w:r w:rsidR="00994A37">
        <w:t xml:space="preserve">the averment in the complaint </w:t>
      </w:r>
      <w:r w:rsidR="009A4F97">
        <w:t>“</w:t>
      </w:r>
      <w:r w:rsidR="00994A37">
        <w:t>that PECO has stolen public funds related to bogus payments purportedly made to the United States Treasury Department for Complainant’s utility bills is outrageous and cannot stand.</w:t>
      </w:r>
      <w:r w:rsidR="009A4F97">
        <w:t>”</w:t>
      </w:r>
      <w:r w:rsidR="00994A37">
        <w:t xml:space="preserve">  </w:t>
      </w:r>
      <w:r w:rsidR="00D3521F">
        <w:t xml:space="preserve">In addition, PECO contends the other scandalous and impertinent matters </w:t>
      </w:r>
      <w:r w:rsidR="00606AE4">
        <w:t xml:space="preserve">contained in the complaint are the reference to federal law and other authority to suggest that PECO acted improperly by refusing to accept “the bogus payment vouchers and </w:t>
      </w:r>
      <w:r w:rsidR="00CE3BA6">
        <w:t>OI</w:t>
      </w:r>
      <w:r w:rsidR="00606AE4">
        <w:t xml:space="preserve">Ds.”  </w:t>
      </w:r>
      <w:r w:rsidR="00994A37">
        <w:t xml:space="preserve"> </w:t>
      </w:r>
    </w:p>
    <w:p w:rsidR="0042540E" w:rsidRDefault="0042540E" w:rsidP="00BF47D3">
      <w:pPr>
        <w:pStyle w:val="FootnoteText"/>
        <w:spacing w:line="360" w:lineRule="auto"/>
      </w:pPr>
    </w:p>
    <w:p w:rsidR="0042540E" w:rsidRDefault="0042540E" w:rsidP="0042540E">
      <w:pPr>
        <w:spacing w:line="360" w:lineRule="auto"/>
        <w:ind w:firstLine="1440"/>
      </w:pPr>
      <w:r>
        <w:t>There are no definitions of “scandalous” or “impertinent” in the Commission’s regulations.  However, Black’s Law Dictionary provides sufficient guidance.  It defines the words, “impertinent” and “scandal” as follows:</w:t>
      </w:r>
    </w:p>
    <w:p w:rsidR="0042540E" w:rsidRDefault="0042540E" w:rsidP="0042540E"/>
    <w:p w:rsidR="0042540E" w:rsidRDefault="0042540E" w:rsidP="0042540E">
      <w:pPr>
        <w:rPr>
          <w:b/>
        </w:rPr>
      </w:pPr>
    </w:p>
    <w:p w:rsidR="0042540E" w:rsidRPr="00BF26CF" w:rsidRDefault="0042540E" w:rsidP="0042540E">
      <w:pPr>
        <w:ind w:left="1440" w:right="1440"/>
      </w:pPr>
      <w:r>
        <w:rPr>
          <w:b/>
        </w:rPr>
        <w:t xml:space="preserve">Impertinent.  </w:t>
      </w:r>
      <w:r>
        <w:t xml:space="preserve">That which does not belong to a pleading, interrogatory, or other proceeding; out of place; superfluous; irrelevant.  A term applied to matter not necessary to constitute the cause of action or ground of defense.  Such matter may be ordered stricken from the pleading.  Fed.R.Civil P. 12(f).  See also </w:t>
      </w:r>
      <w:r>
        <w:rPr>
          <w:b/>
        </w:rPr>
        <w:t>Immaterial averment; Surplusage.</w:t>
      </w:r>
      <w:r>
        <w:t xml:space="preserve"> </w:t>
      </w:r>
    </w:p>
    <w:p w:rsidR="0042540E" w:rsidRDefault="0042540E" w:rsidP="0042540E">
      <w:pPr>
        <w:ind w:left="1440" w:right="1440"/>
      </w:pPr>
    </w:p>
    <w:p w:rsidR="0042540E" w:rsidRDefault="0042540E" w:rsidP="0042540E">
      <w:pPr>
        <w:ind w:left="1440" w:right="1440"/>
      </w:pPr>
      <w:r>
        <w:rPr>
          <w:b/>
        </w:rPr>
        <w:t>Scandal.</w:t>
      </w:r>
      <w:r>
        <w:t xml:space="preserve">  Defamatory reports or rumors; aspersion or slanderous talk, uttered recklessly or maliciously.  Scandalous matter may be ordered stricken from the pleadings by a motion to strike. Fed.R.Civ.P. 12(f).  See also </w:t>
      </w:r>
      <w:r>
        <w:rPr>
          <w:b/>
        </w:rPr>
        <w:t>Defamation.</w:t>
      </w:r>
      <w:r>
        <w:t xml:space="preserve">  </w:t>
      </w:r>
    </w:p>
    <w:p w:rsidR="0042540E" w:rsidRDefault="0042540E" w:rsidP="0042540E"/>
    <w:p w:rsidR="00947B31" w:rsidRDefault="0042540E" w:rsidP="00E403AA">
      <w:pPr>
        <w:spacing w:line="360" w:lineRule="auto"/>
      </w:pPr>
      <w:r>
        <w:t>Black’s Law Dictionary 679 and 1206 (rev. 5</w:t>
      </w:r>
      <w:r w:rsidRPr="008940AB">
        <w:rPr>
          <w:vertAlign w:val="superscript"/>
        </w:rPr>
        <w:t>th</w:t>
      </w:r>
      <w:r>
        <w:t xml:space="preserve"> ed. 1979) (Emphasis in the original</w:t>
      </w:r>
      <w:r w:rsidR="00F55B7C">
        <w:t>).</w:t>
      </w:r>
    </w:p>
    <w:p w:rsidR="00947B31" w:rsidRDefault="00947B31" w:rsidP="00E403AA">
      <w:pPr>
        <w:spacing w:line="360" w:lineRule="auto"/>
      </w:pPr>
    </w:p>
    <w:p w:rsidR="0010476A" w:rsidRDefault="00947B31" w:rsidP="00E403AA">
      <w:pPr>
        <w:spacing w:line="360" w:lineRule="auto"/>
      </w:pPr>
      <w:r>
        <w:tab/>
      </w:r>
      <w:r>
        <w:tab/>
        <w:t xml:space="preserve">The undersigned ALJ finds that the following allegation in the complaint under the </w:t>
      </w:r>
      <w:r w:rsidR="0010476A">
        <w:t xml:space="preserve">subheading “Relief” is scandalous and must be stricken: “[t]his is a theft of public funds.”  </w:t>
      </w:r>
    </w:p>
    <w:p w:rsidR="0010476A" w:rsidRDefault="0010476A" w:rsidP="00E403AA">
      <w:pPr>
        <w:spacing w:line="360" w:lineRule="auto"/>
      </w:pPr>
    </w:p>
    <w:p w:rsidR="0042540E" w:rsidRDefault="0010476A" w:rsidP="00E403AA">
      <w:pPr>
        <w:spacing w:line="360" w:lineRule="auto"/>
      </w:pPr>
      <w:r>
        <w:tab/>
      </w:r>
      <w:r>
        <w:tab/>
        <w:t xml:space="preserve">The undersigned finds there is no need to strike the vague references to federal law and other rules </w:t>
      </w:r>
      <w:r w:rsidR="00D92224">
        <w:t xml:space="preserve">contained in Complainant’s pleadings because, as the Commission concluded in the </w:t>
      </w:r>
      <w:r w:rsidR="00D92224" w:rsidRPr="00D92224">
        <w:rPr>
          <w:u w:val="single"/>
        </w:rPr>
        <w:t>Coppedge</w:t>
      </w:r>
      <w:r w:rsidR="00D92224">
        <w:t xml:space="preserve"> Opinion and Order, “this case is about subject matter jurisdiction.”  </w:t>
      </w:r>
      <w:r w:rsidR="00D92224" w:rsidRPr="00D92224">
        <w:rPr>
          <w:u w:val="single"/>
        </w:rPr>
        <w:t>Coppedge</w:t>
      </w:r>
      <w:r w:rsidR="003760B2">
        <w:t xml:space="preserve">, </w:t>
      </w:r>
      <w:r w:rsidR="003760B2">
        <w:lastRenderedPageBreak/>
        <w:t>at p.</w:t>
      </w:r>
      <w:r w:rsidR="00444064">
        <w:t xml:space="preserve"> </w:t>
      </w:r>
      <w:r w:rsidR="003760B2">
        <w:t xml:space="preserve">11.  </w:t>
      </w:r>
      <w:r w:rsidR="00D92224">
        <w:t>As discussed above, the Commission does not have the requisite subject matter jurisdiction to determine the negotiability of Complainant’s alleged tender of payments.</w:t>
      </w:r>
      <w:r>
        <w:t xml:space="preserve"> </w:t>
      </w:r>
      <w:r w:rsidR="0042540E">
        <w:t xml:space="preserve"> </w:t>
      </w:r>
    </w:p>
    <w:p w:rsidR="000A3230" w:rsidRDefault="000A3230" w:rsidP="0010476A">
      <w:pPr>
        <w:spacing w:line="360" w:lineRule="auto"/>
      </w:pPr>
    </w:p>
    <w:p w:rsidR="000A3230" w:rsidRDefault="000A3230" w:rsidP="000A3230">
      <w:pPr>
        <w:spacing w:line="360" w:lineRule="auto"/>
        <w:ind w:right="-72" w:firstLine="1440"/>
      </w:pPr>
      <w:r>
        <w:t xml:space="preserve">Section 703 of the Public Utility Code, 66 </w:t>
      </w:r>
      <w:smartTag w:uri="urn:schemas-microsoft-com:office:smarttags" w:element="State">
        <w:smartTag w:uri="urn:schemas-microsoft-com:office:smarttags" w:element="place">
          <w:r>
            <w:t>Pa.</w:t>
          </w:r>
        </w:smartTag>
      </w:smartTag>
      <w:r>
        <w:t xml:space="preserve"> C.S. §703(b), provides that the Commission may dismiss any complaint without a hearing if, in its opinion, a hearing is not necessary in the public interest.  </w:t>
      </w:r>
      <w:r>
        <w:rPr>
          <w:i/>
        </w:rPr>
        <w:t>See also</w:t>
      </w:r>
      <w:r>
        <w:t xml:space="preserve">, 52 </w:t>
      </w:r>
      <w:smartTag w:uri="urn:schemas-microsoft-com:office:smarttags" w:element="place">
        <w:smartTag w:uri="urn:schemas-microsoft-com:office:smarttags" w:element="State">
          <w:r>
            <w:t>Pa.</w:t>
          </w:r>
        </w:smartTag>
      </w:smartTag>
      <w:r>
        <w:t xml:space="preserve"> Code §5.21(d).  The public interest does not require a hearing in this case.  </w:t>
      </w:r>
      <w:r w:rsidR="003932DF">
        <w:t xml:space="preserve">The Commission does not have the requisite subject matter jurisdiction to determine the negotiability of Complainant’s alleged tender of payments.  </w:t>
      </w:r>
      <w:r>
        <w:t xml:space="preserve">A hearing in this case would be a fruitless exercise and therefore is not necessary or in the public interest.  </w:t>
      </w:r>
    </w:p>
    <w:p w:rsidR="003932DF" w:rsidRDefault="003932DF" w:rsidP="000A3230">
      <w:pPr>
        <w:spacing w:line="360" w:lineRule="auto"/>
        <w:ind w:right="-72" w:firstLine="1440"/>
      </w:pPr>
    </w:p>
    <w:p w:rsidR="003932DF" w:rsidRPr="009D0768" w:rsidRDefault="003932DF" w:rsidP="00444064">
      <w:pPr>
        <w:spacing w:line="360" w:lineRule="auto"/>
        <w:ind w:right="-28"/>
        <w:jc w:val="center"/>
        <w:rPr>
          <w:szCs w:val="24"/>
          <w:u w:val="single"/>
        </w:rPr>
      </w:pPr>
      <w:r w:rsidRPr="009D0768">
        <w:rPr>
          <w:szCs w:val="24"/>
          <w:u w:val="single"/>
        </w:rPr>
        <w:t>CONCLUSIONS OF LAW</w:t>
      </w:r>
    </w:p>
    <w:p w:rsidR="003932DF" w:rsidRPr="009D0768" w:rsidRDefault="003932DF" w:rsidP="00444064">
      <w:pPr>
        <w:spacing w:line="360" w:lineRule="auto"/>
        <w:jc w:val="center"/>
        <w:rPr>
          <w:szCs w:val="24"/>
          <w:u w:val="single"/>
        </w:rPr>
      </w:pPr>
    </w:p>
    <w:p w:rsidR="003932DF" w:rsidRPr="009D0768" w:rsidRDefault="003932DF" w:rsidP="00444064">
      <w:pPr>
        <w:spacing w:line="360" w:lineRule="auto"/>
        <w:ind w:firstLine="1440"/>
        <w:rPr>
          <w:szCs w:val="24"/>
        </w:rPr>
      </w:pPr>
      <w:r w:rsidRPr="009D0768">
        <w:rPr>
          <w:szCs w:val="24"/>
        </w:rPr>
        <w:t>1.</w:t>
      </w:r>
      <w:r w:rsidRPr="009D0768">
        <w:rPr>
          <w:szCs w:val="24"/>
        </w:rPr>
        <w:tab/>
        <w:t>The Commission must act within its jurisdiction.</w:t>
      </w:r>
    </w:p>
    <w:p w:rsidR="003932DF" w:rsidRPr="009D0768" w:rsidRDefault="003932DF" w:rsidP="00444064">
      <w:pPr>
        <w:spacing w:line="360" w:lineRule="auto"/>
        <w:ind w:firstLine="1440"/>
        <w:rPr>
          <w:szCs w:val="24"/>
        </w:rPr>
      </w:pPr>
    </w:p>
    <w:p w:rsidR="003932DF" w:rsidRPr="009D0768" w:rsidRDefault="003932DF" w:rsidP="00444064">
      <w:pPr>
        <w:spacing w:line="360" w:lineRule="auto"/>
        <w:ind w:firstLine="1440"/>
        <w:rPr>
          <w:szCs w:val="24"/>
        </w:rPr>
      </w:pPr>
      <w:r w:rsidRPr="009D0768">
        <w:rPr>
          <w:szCs w:val="24"/>
        </w:rPr>
        <w:t>2.</w:t>
      </w:r>
      <w:r w:rsidRPr="009D0768">
        <w:rPr>
          <w:szCs w:val="24"/>
        </w:rPr>
        <w:tab/>
        <w:t>The Commission</w:t>
      </w:r>
      <w:r>
        <w:rPr>
          <w:szCs w:val="24"/>
        </w:rPr>
        <w:t xml:space="preserve">’s Rules of Administrative Practice and Procedure permit the filing of preliminary objections.  </w:t>
      </w:r>
      <w:r w:rsidRPr="009D0768">
        <w:rPr>
          <w:szCs w:val="24"/>
        </w:rPr>
        <w:t xml:space="preserve">  </w:t>
      </w:r>
    </w:p>
    <w:p w:rsidR="003932DF" w:rsidRPr="009D0768" w:rsidRDefault="003932DF" w:rsidP="00444064">
      <w:pPr>
        <w:spacing w:line="360" w:lineRule="auto"/>
        <w:ind w:firstLine="1440"/>
        <w:rPr>
          <w:szCs w:val="24"/>
        </w:rPr>
      </w:pPr>
    </w:p>
    <w:p w:rsidR="003932DF" w:rsidRDefault="003932DF" w:rsidP="00444064">
      <w:pPr>
        <w:spacing w:line="360" w:lineRule="auto"/>
        <w:ind w:firstLine="1440"/>
        <w:rPr>
          <w:szCs w:val="24"/>
        </w:rPr>
      </w:pPr>
      <w:r w:rsidRPr="009D0768">
        <w:rPr>
          <w:szCs w:val="24"/>
        </w:rPr>
        <w:t>3.</w:t>
      </w:r>
      <w:r w:rsidRPr="009D0768">
        <w:rPr>
          <w:szCs w:val="24"/>
        </w:rPr>
        <w:tab/>
      </w:r>
      <w:r>
        <w:rPr>
          <w:szCs w:val="24"/>
        </w:rPr>
        <w:t xml:space="preserve">Preliminary objections must state specifically the legal and factual grounds relied upon and be limited to the following: </w:t>
      </w:r>
      <w:r w:rsidRPr="009D0768">
        <w:rPr>
          <w:szCs w:val="24"/>
        </w:rPr>
        <w:t xml:space="preserve">  </w:t>
      </w:r>
    </w:p>
    <w:p w:rsidR="003932DF" w:rsidRDefault="003932DF" w:rsidP="003932DF">
      <w:pPr>
        <w:ind w:left="1440" w:right="1440"/>
        <w:rPr>
          <w:szCs w:val="24"/>
        </w:rPr>
      </w:pPr>
      <w:r>
        <w:rPr>
          <w:szCs w:val="24"/>
        </w:rPr>
        <w:t>i.  Lack of Commission jurisdiction or improper service of the pleading initiating the proceeding.</w:t>
      </w:r>
    </w:p>
    <w:p w:rsidR="003932DF" w:rsidRDefault="003932DF" w:rsidP="003932DF">
      <w:pPr>
        <w:ind w:left="1440" w:right="1440"/>
        <w:rPr>
          <w:szCs w:val="24"/>
        </w:rPr>
      </w:pPr>
    </w:p>
    <w:p w:rsidR="003932DF" w:rsidRDefault="003932DF" w:rsidP="003932DF">
      <w:pPr>
        <w:ind w:left="1440" w:right="1440"/>
        <w:rPr>
          <w:szCs w:val="24"/>
        </w:rPr>
      </w:pPr>
      <w:r>
        <w:rPr>
          <w:szCs w:val="24"/>
        </w:rPr>
        <w:t>ii.  Failure of a pleading to conform to this chapter or the inclusion of scandalous or impertinent matter.</w:t>
      </w:r>
    </w:p>
    <w:p w:rsidR="003932DF" w:rsidRDefault="003932DF" w:rsidP="003932DF">
      <w:pPr>
        <w:ind w:left="1440" w:right="1440"/>
        <w:rPr>
          <w:szCs w:val="24"/>
        </w:rPr>
      </w:pPr>
    </w:p>
    <w:p w:rsidR="003932DF" w:rsidRDefault="003932DF" w:rsidP="003932DF">
      <w:pPr>
        <w:ind w:left="1440" w:right="1440"/>
        <w:rPr>
          <w:szCs w:val="24"/>
        </w:rPr>
      </w:pPr>
      <w:r>
        <w:rPr>
          <w:szCs w:val="24"/>
        </w:rPr>
        <w:t>iii.  Insufficient specificity of a pleading.</w:t>
      </w:r>
    </w:p>
    <w:p w:rsidR="003932DF" w:rsidRDefault="003932DF" w:rsidP="003932DF">
      <w:pPr>
        <w:ind w:left="1440" w:right="1440"/>
        <w:rPr>
          <w:szCs w:val="24"/>
        </w:rPr>
      </w:pPr>
    </w:p>
    <w:p w:rsidR="003932DF" w:rsidRDefault="003932DF" w:rsidP="003932DF">
      <w:pPr>
        <w:ind w:left="1440" w:right="1440"/>
        <w:rPr>
          <w:szCs w:val="24"/>
        </w:rPr>
      </w:pPr>
      <w:r>
        <w:rPr>
          <w:szCs w:val="24"/>
        </w:rPr>
        <w:t>iv.  Legal insufficiency of a pleading.</w:t>
      </w:r>
    </w:p>
    <w:p w:rsidR="003932DF" w:rsidRDefault="003932DF" w:rsidP="003932DF">
      <w:pPr>
        <w:ind w:left="1440" w:right="1440"/>
        <w:rPr>
          <w:szCs w:val="24"/>
        </w:rPr>
      </w:pPr>
    </w:p>
    <w:p w:rsidR="003932DF" w:rsidRDefault="003932DF" w:rsidP="003932DF">
      <w:pPr>
        <w:ind w:left="1440" w:right="1440"/>
        <w:rPr>
          <w:szCs w:val="24"/>
        </w:rPr>
      </w:pPr>
      <w:r>
        <w:rPr>
          <w:szCs w:val="24"/>
        </w:rPr>
        <w:t>v.  Lack of capacity to sue, nonjoinder of a necessary party or misjoinder of a cause of action.</w:t>
      </w:r>
    </w:p>
    <w:p w:rsidR="003932DF" w:rsidRDefault="003932DF" w:rsidP="003932DF">
      <w:pPr>
        <w:ind w:left="1440" w:right="1440"/>
        <w:rPr>
          <w:szCs w:val="24"/>
        </w:rPr>
      </w:pPr>
    </w:p>
    <w:p w:rsidR="009C455D" w:rsidRDefault="009C455D">
      <w:pPr>
        <w:rPr>
          <w:szCs w:val="24"/>
        </w:rPr>
      </w:pPr>
      <w:r>
        <w:rPr>
          <w:szCs w:val="24"/>
        </w:rPr>
        <w:br w:type="page"/>
      </w:r>
    </w:p>
    <w:p w:rsidR="003932DF" w:rsidRDefault="003932DF" w:rsidP="003932DF">
      <w:pPr>
        <w:ind w:left="1440" w:right="1440"/>
        <w:rPr>
          <w:szCs w:val="24"/>
        </w:rPr>
      </w:pPr>
      <w:r>
        <w:rPr>
          <w:szCs w:val="24"/>
        </w:rPr>
        <w:lastRenderedPageBreak/>
        <w:t>vi.  Pendency of a prior proceeding or agreement for alternative dispute resolution.</w:t>
      </w:r>
    </w:p>
    <w:p w:rsidR="003932DF" w:rsidRDefault="003932DF" w:rsidP="003932DF">
      <w:pPr>
        <w:ind w:left="1440" w:right="1440"/>
        <w:rPr>
          <w:szCs w:val="24"/>
        </w:rPr>
      </w:pPr>
    </w:p>
    <w:p w:rsidR="003932DF" w:rsidRPr="009D0768" w:rsidRDefault="003932DF" w:rsidP="003932DF">
      <w:pPr>
        <w:ind w:left="1440" w:right="1440"/>
        <w:rPr>
          <w:szCs w:val="24"/>
        </w:rPr>
      </w:pPr>
      <w:r>
        <w:rPr>
          <w:szCs w:val="24"/>
        </w:rPr>
        <w:t xml:space="preserve">52 </w:t>
      </w:r>
      <w:smartTag w:uri="urn:schemas-microsoft-com:office:smarttags" w:element="place">
        <w:smartTag w:uri="urn:schemas-microsoft-com:office:smarttags" w:element="State">
          <w:r>
            <w:rPr>
              <w:szCs w:val="24"/>
            </w:rPr>
            <w:t>Pa.</w:t>
          </w:r>
        </w:smartTag>
      </w:smartTag>
      <w:r>
        <w:rPr>
          <w:szCs w:val="24"/>
        </w:rPr>
        <w:t xml:space="preserve"> Code §5.101(a).</w:t>
      </w:r>
    </w:p>
    <w:p w:rsidR="003932DF" w:rsidRPr="009D0768" w:rsidRDefault="003932DF" w:rsidP="003932DF">
      <w:pPr>
        <w:spacing w:line="360" w:lineRule="auto"/>
        <w:ind w:firstLine="1440"/>
        <w:rPr>
          <w:szCs w:val="24"/>
        </w:rPr>
      </w:pPr>
    </w:p>
    <w:p w:rsidR="003932DF" w:rsidRDefault="003932DF" w:rsidP="00E403AA">
      <w:pPr>
        <w:spacing w:line="360" w:lineRule="auto"/>
        <w:ind w:firstLine="1440"/>
        <w:rPr>
          <w:szCs w:val="24"/>
        </w:rPr>
      </w:pPr>
      <w:r w:rsidRPr="009D0768">
        <w:rPr>
          <w:szCs w:val="24"/>
        </w:rPr>
        <w:t>4.</w:t>
      </w:r>
      <w:r w:rsidRPr="009D0768">
        <w:rPr>
          <w:szCs w:val="24"/>
        </w:rPr>
        <w:tab/>
        <w:t>The Commission has been granted broad powers to supervise and regulate all public utilities doing business within the Commonwealth.</w:t>
      </w:r>
    </w:p>
    <w:p w:rsidR="00C1596F" w:rsidRDefault="00C1596F" w:rsidP="003932DF">
      <w:pPr>
        <w:spacing w:line="360" w:lineRule="auto"/>
        <w:ind w:firstLine="1440"/>
        <w:rPr>
          <w:szCs w:val="24"/>
        </w:rPr>
      </w:pPr>
    </w:p>
    <w:p w:rsidR="003932DF" w:rsidRDefault="00C1596F" w:rsidP="00C1596F">
      <w:pPr>
        <w:spacing w:line="360" w:lineRule="auto"/>
        <w:ind w:firstLine="1440"/>
        <w:rPr>
          <w:szCs w:val="24"/>
        </w:rPr>
      </w:pPr>
      <w:r>
        <w:rPr>
          <w:szCs w:val="24"/>
        </w:rPr>
        <w:t>5.</w:t>
      </w:r>
      <w:r>
        <w:rPr>
          <w:szCs w:val="24"/>
        </w:rPr>
        <w:tab/>
        <w:t xml:space="preserve">The Commission does not have the requisite subject matter jurisdiction to determine the negotiability of instruments </w:t>
      </w:r>
      <w:r w:rsidR="007D06D9">
        <w:rPr>
          <w:szCs w:val="24"/>
        </w:rPr>
        <w:t xml:space="preserve">and cannot, therefore, determine the negotiability of Complainant’s tenders of payment.  </w:t>
      </w:r>
      <w:r w:rsidRPr="00A65B73">
        <w:rPr>
          <w:u w:val="single"/>
        </w:rPr>
        <w:t>James C</w:t>
      </w:r>
      <w:r w:rsidRPr="002C3001">
        <w:rPr>
          <w:u w:val="single"/>
        </w:rPr>
        <w:t>opp</w:t>
      </w:r>
      <w:r>
        <w:rPr>
          <w:u w:val="single"/>
        </w:rPr>
        <w:t>edge v. PECO Energy Company</w:t>
      </w:r>
      <w:r>
        <w:t>, F-2009-2135893 (Opinion and Order entered August 3, 2010).</w:t>
      </w:r>
      <w:r w:rsidR="003932DF">
        <w:rPr>
          <w:szCs w:val="24"/>
        </w:rPr>
        <w:t xml:space="preserve">     </w:t>
      </w:r>
    </w:p>
    <w:p w:rsidR="00A83D4B" w:rsidRDefault="00A83D4B" w:rsidP="00C1596F">
      <w:pPr>
        <w:spacing w:line="360" w:lineRule="auto"/>
        <w:ind w:firstLine="1440"/>
        <w:rPr>
          <w:szCs w:val="24"/>
        </w:rPr>
      </w:pPr>
    </w:p>
    <w:p w:rsidR="00A83D4B" w:rsidRDefault="00A83D4B" w:rsidP="00C1596F">
      <w:pPr>
        <w:spacing w:line="360" w:lineRule="auto"/>
        <w:ind w:firstLine="1440"/>
        <w:rPr>
          <w:szCs w:val="24"/>
        </w:rPr>
      </w:pPr>
      <w:r>
        <w:rPr>
          <w:szCs w:val="24"/>
        </w:rPr>
        <w:t>6.</w:t>
      </w:r>
      <w:r>
        <w:rPr>
          <w:szCs w:val="24"/>
        </w:rPr>
        <w:tab/>
      </w:r>
      <w:r>
        <w:t xml:space="preserve">The complaint does not set forth an “act or thing done or omitted to be done or about to be done or omitted to be done by the respondent in violation, or claimed violation, </w:t>
      </w:r>
      <w:r w:rsidRPr="00A83D4B">
        <w:t>of a statute which the Commission has jurisdiction to administer, or of a regulation or order of the Commission.”</w:t>
      </w:r>
      <w:r>
        <w:t xml:space="preserve">  52 </w:t>
      </w:r>
      <w:smartTag w:uri="urn:schemas-microsoft-com:office:smarttags" w:element="place">
        <w:smartTag w:uri="urn:schemas-microsoft-com:office:smarttags" w:element="State">
          <w:r>
            <w:t>Pa.</w:t>
          </w:r>
        </w:smartTag>
      </w:smartTag>
      <w:r>
        <w:t xml:space="preserve"> Code §5.22(a)(</w:t>
      </w:r>
      <w:r w:rsidR="0071672A">
        <w:t>5</w:t>
      </w:r>
      <w:r>
        <w:t>).</w:t>
      </w:r>
    </w:p>
    <w:p w:rsidR="00A83D4B" w:rsidRDefault="00A83D4B" w:rsidP="00C1596F">
      <w:pPr>
        <w:spacing w:line="360" w:lineRule="auto"/>
        <w:ind w:firstLine="1440"/>
        <w:rPr>
          <w:szCs w:val="24"/>
        </w:rPr>
      </w:pPr>
    </w:p>
    <w:p w:rsidR="00A83D4B" w:rsidRDefault="00A83D4B" w:rsidP="00C1596F">
      <w:pPr>
        <w:spacing w:line="360" w:lineRule="auto"/>
        <w:ind w:firstLine="1440"/>
        <w:rPr>
          <w:szCs w:val="24"/>
        </w:rPr>
      </w:pPr>
      <w:r>
        <w:rPr>
          <w:szCs w:val="24"/>
        </w:rPr>
        <w:t>7.</w:t>
      </w:r>
      <w:r>
        <w:rPr>
          <w:szCs w:val="24"/>
        </w:rPr>
        <w:tab/>
        <w:t xml:space="preserve">The allegation in the complaint, “this is a theft of public funds,” is scandalous and must be stricken.  </w:t>
      </w:r>
      <w:r w:rsidR="0071672A">
        <w:t xml:space="preserve">52 </w:t>
      </w:r>
      <w:smartTag w:uri="urn:schemas-microsoft-com:office:smarttags" w:element="place">
        <w:smartTag w:uri="urn:schemas-microsoft-com:office:smarttags" w:element="State">
          <w:r w:rsidR="0071672A">
            <w:t>Pa.</w:t>
          </w:r>
        </w:smartTag>
      </w:smartTag>
      <w:r w:rsidR="0071672A">
        <w:t xml:space="preserve"> Code §5.101(a)(2).</w:t>
      </w:r>
    </w:p>
    <w:p w:rsidR="003932DF" w:rsidRDefault="003932DF" w:rsidP="003932DF">
      <w:pPr>
        <w:spacing w:line="360" w:lineRule="auto"/>
        <w:ind w:firstLine="1440"/>
        <w:rPr>
          <w:szCs w:val="24"/>
          <w:u w:val="single"/>
        </w:rPr>
      </w:pPr>
    </w:p>
    <w:p w:rsidR="003932DF" w:rsidRPr="009D0768" w:rsidRDefault="003932DF" w:rsidP="00156760">
      <w:pPr>
        <w:spacing w:line="360" w:lineRule="auto"/>
        <w:ind w:left="2160" w:hanging="2160"/>
        <w:jc w:val="center"/>
        <w:rPr>
          <w:szCs w:val="24"/>
          <w:u w:val="single"/>
        </w:rPr>
      </w:pPr>
      <w:r w:rsidRPr="009D0768">
        <w:rPr>
          <w:szCs w:val="24"/>
          <w:u w:val="single"/>
        </w:rPr>
        <w:t>ORDER</w:t>
      </w:r>
    </w:p>
    <w:p w:rsidR="003932DF" w:rsidRPr="009D0768" w:rsidRDefault="003932DF" w:rsidP="003932DF">
      <w:pPr>
        <w:spacing w:line="360" w:lineRule="auto"/>
        <w:jc w:val="center"/>
        <w:rPr>
          <w:szCs w:val="24"/>
          <w:u w:val="single"/>
        </w:rPr>
      </w:pPr>
    </w:p>
    <w:p w:rsidR="003932DF" w:rsidRPr="009D0768" w:rsidRDefault="003932DF" w:rsidP="003932DF">
      <w:pPr>
        <w:spacing w:line="360" w:lineRule="auto"/>
        <w:ind w:firstLine="1440"/>
        <w:rPr>
          <w:szCs w:val="24"/>
        </w:rPr>
      </w:pPr>
      <w:r w:rsidRPr="009D0768">
        <w:rPr>
          <w:szCs w:val="24"/>
        </w:rPr>
        <w:t>THEREFORE,</w:t>
      </w:r>
    </w:p>
    <w:p w:rsidR="003932DF" w:rsidRPr="009D0768" w:rsidRDefault="003932DF" w:rsidP="003932DF">
      <w:pPr>
        <w:spacing w:line="360" w:lineRule="auto"/>
        <w:ind w:firstLine="1440"/>
        <w:rPr>
          <w:szCs w:val="24"/>
        </w:rPr>
      </w:pPr>
    </w:p>
    <w:p w:rsidR="003932DF" w:rsidRPr="009D0768" w:rsidRDefault="003932DF" w:rsidP="003932DF">
      <w:pPr>
        <w:spacing w:line="360" w:lineRule="auto"/>
        <w:ind w:firstLine="1440"/>
        <w:rPr>
          <w:szCs w:val="24"/>
        </w:rPr>
      </w:pPr>
      <w:r w:rsidRPr="009D0768">
        <w:rPr>
          <w:szCs w:val="24"/>
        </w:rPr>
        <w:t xml:space="preserve">IT IS ORDERED: </w:t>
      </w:r>
    </w:p>
    <w:p w:rsidR="003932DF" w:rsidRPr="009D0768" w:rsidRDefault="003932DF" w:rsidP="003932DF">
      <w:pPr>
        <w:spacing w:line="360" w:lineRule="auto"/>
        <w:ind w:firstLine="1440"/>
        <w:rPr>
          <w:szCs w:val="24"/>
        </w:rPr>
      </w:pPr>
    </w:p>
    <w:p w:rsidR="003932DF" w:rsidRPr="009D0768" w:rsidRDefault="003932DF" w:rsidP="003932DF">
      <w:pPr>
        <w:spacing w:line="360" w:lineRule="auto"/>
        <w:ind w:firstLine="1440"/>
        <w:rPr>
          <w:szCs w:val="24"/>
        </w:rPr>
      </w:pPr>
      <w:r w:rsidRPr="009D0768">
        <w:rPr>
          <w:szCs w:val="24"/>
        </w:rPr>
        <w:t>1.</w:t>
      </w:r>
      <w:r w:rsidRPr="009D0768">
        <w:rPr>
          <w:szCs w:val="24"/>
        </w:rPr>
        <w:tab/>
        <w:t xml:space="preserve">That </w:t>
      </w:r>
      <w:r w:rsidR="00F2431F">
        <w:rPr>
          <w:szCs w:val="24"/>
        </w:rPr>
        <w:t xml:space="preserve">PECO Energy Company’s </w:t>
      </w:r>
      <w:r>
        <w:rPr>
          <w:szCs w:val="24"/>
        </w:rPr>
        <w:t xml:space="preserve">Preliminary Objections </w:t>
      </w:r>
      <w:r w:rsidRPr="009D0768">
        <w:rPr>
          <w:szCs w:val="24"/>
        </w:rPr>
        <w:t xml:space="preserve">seeking dismissal of the </w:t>
      </w:r>
      <w:r>
        <w:rPr>
          <w:szCs w:val="24"/>
        </w:rPr>
        <w:t xml:space="preserve">Formal </w:t>
      </w:r>
      <w:r w:rsidRPr="009D0768">
        <w:rPr>
          <w:szCs w:val="24"/>
        </w:rPr>
        <w:t xml:space="preserve">Complaint filed by </w:t>
      </w:r>
      <w:r w:rsidR="00F2431F">
        <w:rPr>
          <w:szCs w:val="24"/>
        </w:rPr>
        <w:t>Haleema Alkhatib</w:t>
      </w:r>
      <w:r w:rsidRPr="009D0768">
        <w:rPr>
          <w:szCs w:val="24"/>
        </w:rPr>
        <w:t xml:space="preserve">, at PUC Docket No. </w:t>
      </w:r>
      <w:r w:rsidR="00F2431F">
        <w:rPr>
          <w:szCs w:val="24"/>
        </w:rPr>
        <w:t>C-2011-2242125</w:t>
      </w:r>
      <w:r w:rsidRPr="009D0768">
        <w:rPr>
          <w:szCs w:val="24"/>
        </w:rPr>
        <w:t xml:space="preserve">, </w:t>
      </w:r>
      <w:r>
        <w:rPr>
          <w:szCs w:val="24"/>
        </w:rPr>
        <w:t>are</w:t>
      </w:r>
      <w:r w:rsidRPr="009D0768">
        <w:rPr>
          <w:szCs w:val="24"/>
        </w:rPr>
        <w:t xml:space="preserve"> granted</w:t>
      </w:r>
      <w:r>
        <w:rPr>
          <w:szCs w:val="24"/>
        </w:rPr>
        <w:t>.</w:t>
      </w:r>
    </w:p>
    <w:p w:rsidR="003932DF" w:rsidRPr="009D0768" w:rsidRDefault="003932DF" w:rsidP="003932DF">
      <w:pPr>
        <w:spacing w:line="360" w:lineRule="auto"/>
        <w:ind w:firstLine="1440"/>
        <w:rPr>
          <w:szCs w:val="24"/>
        </w:rPr>
      </w:pPr>
    </w:p>
    <w:p w:rsidR="003932DF" w:rsidRPr="009D0768" w:rsidRDefault="003932DF" w:rsidP="003932DF">
      <w:pPr>
        <w:spacing w:line="360" w:lineRule="auto"/>
        <w:ind w:firstLine="1440"/>
        <w:rPr>
          <w:szCs w:val="24"/>
        </w:rPr>
      </w:pPr>
      <w:r w:rsidRPr="009D0768">
        <w:rPr>
          <w:szCs w:val="24"/>
        </w:rPr>
        <w:lastRenderedPageBreak/>
        <w:t>2.</w:t>
      </w:r>
      <w:r w:rsidRPr="009D0768">
        <w:rPr>
          <w:szCs w:val="24"/>
        </w:rPr>
        <w:tab/>
        <w:t xml:space="preserve">That the </w:t>
      </w:r>
      <w:r>
        <w:rPr>
          <w:szCs w:val="24"/>
        </w:rPr>
        <w:t xml:space="preserve">Formal </w:t>
      </w:r>
      <w:r w:rsidRPr="009D0768">
        <w:rPr>
          <w:szCs w:val="24"/>
        </w:rPr>
        <w:t xml:space="preserve">Complaint </w:t>
      </w:r>
      <w:r>
        <w:rPr>
          <w:szCs w:val="24"/>
        </w:rPr>
        <w:t xml:space="preserve">of </w:t>
      </w:r>
      <w:r w:rsidR="00F2431F">
        <w:rPr>
          <w:szCs w:val="24"/>
        </w:rPr>
        <w:t>Haleema Alkhatib</w:t>
      </w:r>
      <w:r>
        <w:rPr>
          <w:szCs w:val="24"/>
        </w:rPr>
        <w:t xml:space="preserve"> against </w:t>
      </w:r>
      <w:r w:rsidR="00F2431F">
        <w:rPr>
          <w:szCs w:val="24"/>
        </w:rPr>
        <w:t xml:space="preserve">PECO Energy Company </w:t>
      </w:r>
      <w:r>
        <w:rPr>
          <w:szCs w:val="24"/>
        </w:rPr>
        <w:t>at Docket No. C-201</w:t>
      </w:r>
      <w:r w:rsidR="00F2431F">
        <w:rPr>
          <w:szCs w:val="24"/>
        </w:rPr>
        <w:t>1-2242125</w:t>
      </w:r>
      <w:r>
        <w:rPr>
          <w:szCs w:val="24"/>
        </w:rPr>
        <w:t xml:space="preserve"> </w:t>
      </w:r>
      <w:r w:rsidRPr="009D0768">
        <w:rPr>
          <w:szCs w:val="24"/>
        </w:rPr>
        <w:t xml:space="preserve">is dismissed.  </w:t>
      </w:r>
    </w:p>
    <w:p w:rsidR="003932DF" w:rsidRPr="009D0768" w:rsidRDefault="003932DF" w:rsidP="003932DF">
      <w:pPr>
        <w:spacing w:line="360" w:lineRule="auto"/>
        <w:rPr>
          <w:szCs w:val="24"/>
        </w:rPr>
      </w:pPr>
    </w:p>
    <w:p w:rsidR="00E403AA" w:rsidRDefault="00E403AA" w:rsidP="003932DF">
      <w:pPr>
        <w:rPr>
          <w:szCs w:val="24"/>
        </w:rPr>
      </w:pPr>
    </w:p>
    <w:p w:rsidR="003932DF" w:rsidRPr="009D0768" w:rsidRDefault="003932DF" w:rsidP="003932DF">
      <w:pPr>
        <w:rPr>
          <w:szCs w:val="24"/>
        </w:rPr>
      </w:pPr>
      <w:r w:rsidRPr="009D0768">
        <w:rPr>
          <w:szCs w:val="24"/>
        </w:rPr>
        <w:t>Dated:</w:t>
      </w:r>
      <w:r w:rsidRPr="009D0768">
        <w:rPr>
          <w:szCs w:val="24"/>
        </w:rPr>
        <w:tab/>
      </w:r>
      <w:r w:rsidR="0098641C">
        <w:rPr>
          <w:szCs w:val="24"/>
          <w:u w:val="single"/>
        </w:rPr>
        <w:t>September 1</w:t>
      </w:r>
      <w:r w:rsidR="00444064">
        <w:rPr>
          <w:szCs w:val="24"/>
          <w:u w:val="single"/>
        </w:rPr>
        <w:t>6</w:t>
      </w:r>
      <w:r w:rsidR="00F2431F" w:rsidRPr="00F2431F">
        <w:rPr>
          <w:szCs w:val="24"/>
          <w:u w:val="single"/>
        </w:rPr>
        <w:t>, 2011</w:t>
      </w:r>
      <w:r w:rsidRPr="009D0768">
        <w:rPr>
          <w:szCs w:val="24"/>
        </w:rPr>
        <w:tab/>
      </w:r>
      <w:r w:rsidRPr="009D0768">
        <w:rPr>
          <w:szCs w:val="24"/>
        </w:rPr>
        <w:tab/>
      </w:r>
      <w:r w:rsidRPr="009D0768">
        <w:rPr>
          <w:szCs w:val="24"/>
        </w:rPr>
        <w:tab/>
      </w:r>
      <w:r w:rsidRPr="009D0768">
        <w:rPr>
          <w:szCs w:val="24"/>
        </w:rPr>
        <w:tab/>
        <w:t>_____________________________</w:t>
      </w:r>
    </w:p>
    <w:p w:rsidR="003932DF" w:rsidRPr="009D0768" w:rsidRDefault="003932DF" w:rsidP="003932DF">
      <w:pPr>
        <w:rPr>
          <w:szCs w:val="24"/>
        </w:rPr>
      </w:pPr>
      <w:r w:rsidRPr="009D0768">
        <w:rPr>
          <w:szCs w:val="24"/>
        </w:rPr>
        <w:tab/>
      </w:r>
      <w:r w:rsidRPr="009D0768">
        <w:rPr>
          <w:szCs w:val="24"/>
        </w:rPr>
        <w:tab/>
      </w:r>
      <w:r w:rsidRPr="009D0768">
        <w:rPr>
          <w:szCs w:val="24"/>
        </w:rPr>
        <w:tab/>
      </w:r>
      <w:r w:rsidRPr="009D0768">
        <w:rPr>
          <w:szCs w:val="24"/>
        </w:rPr>
        <w:tab/>
      </w:r>
      <w:r w:rsidRPr="009D0768">
        <w:rPr>
          <w:szCs w:val="24"/>
        </w:rPr>
        <w:tab/>
      </w:r>
      <w:r w:rsidRPr="009D0768">
        <w:rPr>
          <w:szCs w:val="24"/>
        </w:rPr>
        <w:tab/>
      </w:r>
      <w:r w:rsidRPr="009D0768">
        <w:rPr>
          <w:szCs w:val="24"/>
        </w:rPr>
        <w:tab/>
      </w:r>
      <w:r>
        <w:rPr>
          <w:szCs w:val="24"/>
        </w:rPr>
        <w:t>Mark A. Hoyer</w:t>
      </w:r>
      <w:r w:rsidRPr="009D0768">
        <w:rPr>
          <w:szCs w:val="24"/>
        </w:rPr>
        <w:t xml:space="preserve"> </w:t>
      </w:r>
    </w:p>
    <w:p w:rsidR="003932DF" w:rsidRPr="003F6EF9" w:rsidRDefault="003932DF" w:rsidP="00E403AA">
      <w:pPr>
        <w:rPr>
          <w:szCs w:val="24"/>
        </w:rPr>
      </w:pPr>
      <w:r w:rsidRPr="009D0768">
        <w:rPr>
          <w:szCs w:val="24"/>
        </w:rPr>
        <w:tab/>
      </w:r>
      <w:r w:rsidRPr="009D0768">
        <w:rPr>
          <w:szCs w:val="24"/>
        </w:rPr>
        <w:tab/>
      </w:r>
      <w:r w:rsidRPr="009D0768">
        <w:rPr>
          <w:szCs w:val="24"/>
        </w:rPr>
        <w:tab/>
      </w:r>
      <w:r w:rsidRPr="009D0768">
        <w:rPr>
          <w:szCs w:val="24"/>
        </w:rPr>
        <w:tab/>
      </w:r>
      <w:r w:rsidRPr="009D0768">
        <w:rPr>
          <w:szCs w:val="24"/>
        </w:rPr>
        <w:tab/>
      </w:r>
      <w:r w:rsidRPr="009D0768">
        <w:rPr>
          <w:szCs w:val="24"/>
        </w:rPr>
        <w:tab/>
      </w:r>
      <w:r w:rsidRPr="009D0768">
        <w:rPr>
          <w:szCs w:val="24"/>
        </w:rPr>
        <w:tab/>
        <w:t>Administrative Law Judge</w:t>
      </w:r>
    </w:p>
    <w:p w:rsidR="000A3230" w:rsidRDefault="000A3230" w:rsidP="0010476A">
      <w:pPr>
        <w:spacing w:line="360" w:lineRule="auto"/>
      </w:pPr>
    </w:p>
    <w:sectPr w:rsidR="000A3230" w:rsidSect="00B03444">
      <w:footerReference w:type="default" r:id="rId7"/>
      <w:footerReference w:type="first" r:id="rId8"/>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26" w:rsidRDefault="00566926">
      <w:r>
        <w:separator/>
      </w:r>
    </w:p>
  </w:endnote>
  <w:endnote w:type="continuationSeparator" w:id="0">
    <w:p w:rsidR="00566926" w:rsidRDefault="00566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553316"/>
      <w:docPartObj>
        <w:docPartGallery w:val="Page Numbers (Bottom of Page)"/>
        <w:docPartUnique/>
      </w:docPartObj>
    </w:sdtPr>
    <w:sdtContent>
      <w:p w:rsidR="00B03444" w:rsidRDefault="00E4177B">
        <w:pPr>
          <w:pStyle w:val="Footer"/>
          <w:jc w:val="center"/>
        </w:pPr>
        <w:r w:rsidRPr="00B03444">
          <w:rPr>
            <w:sz w:val="22"/>
            <w:szCs w:val="22"/>
          </w:rPr>
          <w:fldChar w:fldCharType="begin"/>
        </w:r>
        <w:r w:rsidR="00B03444" w:rsidRPr="00B03444">
          <w:rPr>
            <w:sz w:val="22"/>
            <w:szCs w:val="22"/>
          </w:rPr>
          <w:instrText xml:space="preserve"> PAGE   \* MERGEFORMAT </w:instrText>
        </w:r>
        <w:r w:rsidRPr="00B03444">
          <w:rPr>
            <w:sz w:val="22"/>
            <w:szCs w:val="22"/>
          </w:rPr>
          <w:fldChar w:fldCharType="separate"/>
        </w:r>
        <w:r w:rsidR="00564CD2">
          <w:rPr>
            <w:noProof/>
            <w:sz w:val="22"/>
            <w:szCs w:val="22"/>
          </w:rPr>
          <w:t>10</w:t>
        </w:r>
        <w:r w:rsidRPr="00B03444">
          <w:rPr>
            <w:sz w:val="22"/>
            <w:szCs w:val="22"/>
          </w:rPr>
          <w:fldChar w:fldCharType="end"/>
        </w:r>
      </w:p>
    </w:sdtContent>
  </w:sdt>
  <w:p w:rsidR="00B03444" w:rsidRDefault="00B034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444" w:rsidRDefault="00B03444">
    <w:pPr>
      <w:pStyle w:val="Footer"/>
      <w:jc w:val="center"/>
    </w:pPr>
  </w:p>
  <w:p w:rsidR="00B03444" w:rsidRDefault="00B034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26" w:rsidRDefault="00566926">
      <w:r>
        <w:separator/>
      </w:r>
    </w:p>
  </w:footnote>
  <w:footnote w:type="continuationSeparator" w:id="0">
    <w:p w:rsidR="00566926" w:rsidRDefault="00566926">
      <w:r>
        <w:continuationSeparator/>
      </w:r>
    </w:p>
  </w:footnote>
  <w:footnote w:id="1">
    <w:p w:rsidR="00B8424F" w:rsidRPr="00DA166E" w:rsidRDefault="00B8424F" w:rsidP="00B03444">
      <w:pPr>
        <w:pStyle w:val="FootnoteText"/>
        <w:ind w:firstLine="720"/>
        <w:rPr>
          <w:sz w:val="20"/>
          <w:szCs w:val="20"/>
        </w:rPr>
      </w:pPr>
      <w:r w:rsidRPr="00DA166E">
        <w:rPr>
          <w:rStyle w:val="FootnoteReference"/>
          <w:sz w:val="20"/>
          <w:szCs w:val="20"/>
        </w:rPr>
        <w:footnoteRef/>
      </w:r>
      <w:r w:rsidRPr="00DA166E">
        <w:rPr>
          <w:sz w:val="20"/>
          <w:szCs w:val="20"/>
        </w:rPr>
        <w:t xml:space="preserve"> </w:t>
      </w:r>
      <w:r w:rsidRPr="00DA166E">
        <w:rPr>
          <w:sz w:val="20"/>
          <w:szCs w:val="20"/>
        </w:rPr>
        <w:tab/>
        <w:t xml:space="preserve">66 </w:t>
      </w:r>
      <w:smartTag w:uri="urn:schemas-microsoft-com:office:smarttags" w:element="place">
        <w:smartTag w:uri="urn:schemas-microsoft-com:office:smarttags" w:element="State">
          <w:r w:rsidRPr="00DA166E">
            <w:rPr>
              <w:sz w:val="20"/>
              <w:szCs w:val="20"/>
            </w:rPr>
            <w:t>Pa.</w:t>
          </w:r>
        </w:smartTag>
      </w:smartTag>
      <w:r w:rsidRPr="00DA166E">
        <w:rPr>
          <w:sz w:val="20"/>
          <w:szCs w:val="20"/>
        </w:rPr>
        <w:t xml:space="preserve"> C.S. §332(a).</w:t>
      </w:r>
    </w:p>
    <w:p w:rsidR="00B8424F" w:rsidRDefault="00B8424F" w:rsidP="00341473">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15362"/>
  </w:hdrShapeDefaults>
  <w:footnotePr>
    <w:numRestart w:val="eachSect"/>
    <w:footnote w:id="-1"/>
    <w:footnote w:id="0"/>
  </w:footnotePr>
  <w:endnotePr>
    <w:endnote w:id="-1"/>
    <w:endnote w:id="0"/>
  </w:endnotePr>
  <w:compat/>
  <w:rsids>
    <w:rsidRoot w:val="0020610A"/>
    <w:rsid w:val="00000775"/>
    <w:rsid w:val="00001210"/>
    <w:rsid w:val="0000215B"/>
    <w:rsid w:val="000028EA"/>
    <w:rsid w:val="000032E2"/>
    <w:rsid w:val="000063C9"/>
    <w:rsid w:val="00011A38"/>
    <w:rsid w:val="00012B91"/>
    <w:rsid w:val="00012D61"/>
    <w:rsid w:val="000140E9"/>
    <w:rsid w:val="000146A7"/>
    <w:rsid w:val="00015A49"/>
    <w:rsid w:val="0001622B"/>
    <w:rsid w:val="0001773B"/>
    <w:rsid w:val="00020FC4"/>
    <w:rsid w:val="000216B6"/>
    <w:rsid w:val="000218E1"/>
    <w:rsid w:val="00022144"/>
    <w:rsid w:val="0002329E"/>
    <w:rsid w:val="00023625"/>
    <w:rsid w:val="00024CF1"/>
    <w:rsid w:val="00026509"/>
    <w:rsid w:val="000269BD"/>
    <w:rsid w:val="00027DB7"/>
    <w:rsid w:val="00030767"/>
    <w:rsid w:val="00030BB9"/>
    <w:rsid w:val="00031FF7"/>
    <w:rsid w:val="0003241F"/>
    <w:rsid w:val="000324A1"/>
    <w:rsid w:val="000325F2"/>
    <w:rsid w:val="000336E5"/>
    <w:rsid w:val="00033E93"/>
    <w:rsid w:val="00034674"/>
    <w:rsid w:val="00034D3C"/>
    <w:rsid w:val="00035A3D"/>
    <w:rsid w:val="00036843"/>
    <w:rsid w:val="0003750C"/>
    <w:rsid w:val="0004010E"/>
    <w:rsid w:val="0004050B"/>
    <w:rsid w:val="000422D4"/>
    <w:rsid w:val="000430DC"/>
    <w:rsid w:val="00043283"/>
    <w:rsid w:val="000437DD"/>
    <w:rsid w:val="00043859"/>
    <w:rsid w:val="0004539F"/>
    <w:rsid w:val="000470C8"/>
    <w:rsid w:val="000512E8"/>
    <w:rsid w:val="00051FFD"/>
    <w:rsid w:val="00053371"/>
    <w:rsid w:val="000535F1"/>
    <w:rsid w:val="00053889"/>
    <w:rsid w:val="000539E5"/>
    <w:rsid w:val="00054B0F"/>
    <w:rsid w:val="000553AC"/>
    <w:rsid w:val="00062073"/>
    <w:rsid w:val="000627DE"/>
    <w:rsid w:val="00062C66"/>
    <w:rsid w:val="00062E85"/>
    <w:rsid w:val="00065B67"/>
    <w:rsid w:val="00066622"/>
    <w:rsid w:val="00070496"/>
    <w:rsid w:val="000710D5"/>
    <w:rsid w:val="00071162"/>
    <w:rsid w:val="000720DE"/>
    <w:rsid w:val="00072898"/>
    <w:rsid w:val="00072D10"/>
    <w:rsid w:val="00072DB1"/>
    <w:rsid w:val="00073B37"/>
    <w:rsid w:val="00073CA5"/>
    <w:rsid w:val="000747ED"/>
    <w:rsid w:val="00074ABE"/>
    <w:rsid w:val="00075400"/>
    <w:rsid w:val="00075416"/>
    <w:rsid w:val="00076C1A"/>
    <w:rsid w:val="00077CCF"/>
    <w:rsid w:val="00080B11"/>
    <w:rsid w:val="00081337"/>
    <w:rsid w:val="00081570"/>
    <w:rsid w:val="00081933"/>
    <w:rsid w:val="00081998"/>
    <w:rsid w:val="000824DA"/>
    <w:rsid w:val="0008407E"/>
    <w:rsid w:val="00084C66"/>
    <w:rsid w:val="0008657E"/>
    <w:rsid w:val="00087B9F"/>
    <w:rsid w:val="000903B9"/>
    <w:rsid w:val="000903C7"/>
    <w:rsid w:val="00091FEC"/>
    <w:rsid w:val="000928CA"/>
    <w:rsid w:val="000928E2"/>
    <w:rsid w:val="00093261"/>
    <w:rsid w:val="00093845"/>
    <w:rsid w:val="00093B31"/>
    <w:rsid w:val="00093BAE"/>
    <w:rsid w:val="00093F77"/>
    <w:rsid w:val="000962D8"/>
    <w:rsid w:val="00096B81"/>
    <w:rsid w:val="00097748"/>
    <w:rsid w:val="000A0209"/>
    <w:rsid w:val="000A0E0D"/>
    <w:rsid w:val="000A0E92"/>
    <w:rsid w:val="000A3230"/>
    <w:rsid w:val="000A3725"/>
    <w:rsid w:val="000A5D0A"/>
    <w:rsid w:val="000A63B7"/>
    <w:rsid w:val="000A6BD6"/>
    <w:rsid w:val="000B0889"/>
    <w:rsid w:val="000B112F"/>
    <w:rsid w:val="000B187E"/>
    <w:rsid w:val="000B39B8"/>
    <w:rsid w:val="000B3C14"/>
    <w:rsid w:val="000B4044"/>
    <w:rsid w:val="000B4126"/>
    <w:rsid w:val="000B580E"/>
    <w:rsid w:val="000B604F"/>
    <w:rsid w:val="000B6CD0"/>
    <w:rsid w:val="000C0783"/>
    <w:rsid w:val="000C1D29"/>
    <w:rsid w:val="000C1D99"/>
    <w:rsid w:val="000C1DB5"/>
    <w:rsid w:val="000C1E2D"/>
    <w:rsid w:val="000C1FD9"/>
    <w:rsid w:val="000C228E"/>
    <w:rsid w:val="000C24A9"/>
    <w:rsid w:val="000C32EA"/>
    <w:rsid w:val="000C35E3"/>
    <w:rsid w:val="000C3715"/>
    <w:rsid w:val="000C4803"/>
    <w:rsid w:val="000C4BD7"/>
    <w:rsid w:val="000C5A00"/>
    <w:rsid w:val="000C5D99"/>
    <w:rsid w:val="000C6239"/>
    <w:rsid w:val="000C73CC"/>
    <w:rsid w:val="000C7CA7"/>
    <w:rsid w:val="000D0ED5"/>
    <w:rsid w:val="000D2832"/>
    <w:rsid w:val="000D3769"/>
    <w:rsid w:val="000D7D3F"/>
    <w:rsid w:val="000E073F"/>
    <w:rsid w:val="000E0BCB"/>
    <w:rsid w:val="000E0DAE"/>
    <w:rsid w:val="000E0DDA"/>
    <w:rsid w:val="000E0FB9"/>
    <w:rsid w:val="000E12EF"/>
    <w:rsid w:val="000E13F2"/>
    <w:rsid w:val="000E1C96"/>
    <w:rsid w:val="000E3ACB"/>
    <w:rsid w:val="000E4351"/>
    <w:rsid w:val="000E4583"/>
    <w:rsid w:val="000E6257"/>
    <w:rsid w:val="000E6A51"/>
    <w:rsid w:val="000E6CFD"/>
    <w:rsid w:val="000E7A9E"/>
    <w:rsid w:val="000F0082"/>
    <w:rsid w:val="000F0BE4"/>
    <w:rsid w:val="000F1471"/>
    <w:rsid w:val="000F4D6B"/>
    <w:rsid w:val="000F548B"/>
    <w:rsid w:val="000F76B5"/>
    <w:rsid w:val="0010040A"/>
    <w:rsid w:val="001004D3"/>
    <w:rsid w:val="00100714"/>
    <w:rsid w:val="00100892"/>
    <w:rsid w:val="001011B3"/>
    <w:rsid w:val="00101E25"/>
    <w:rsid w:val="00101F0F"/>
    <w:rsid w:val="0010282F"/>
    <w:rsid w:val="00102FEF"/>
    <w:rsid w:val="0010472F"/>
    <w:rsid w:val="0010476A"/>
    <w:rsid w:val="001047D9"/>
    <w:rsid w:val="0010485E"/>
    <w:rsid w:val="00104A6F"/>
    <w:rsid w:val="0010544A"/>
    <w:rsid w:val="00105835"/>
    <w:rsid w:val="00105DF9"/>
    <w:rsid w:val="001060E6"/>
    <w:rsid w:val="0010675A"/>
    <w:rsid w:val="00111306"/>
    <w:rsid w:val="00111C8F"/>
    <w:rsid w:val="00111DF0"/>
    <w:rsid w:val="00114016"/>
    <w:rsid w:val="001158E4"/>
    <w:rsid w:val="00116CF1"/>
    <w:rsid w:val="00116CFA"/>
    <w:rsid w:val="0011777E"/>
    <w:rsid w:val="0011788E"/>
    <w:rsid w:val="00121823"/>
    <w:rsid w:val="00121987"/>
    <w:rsid w:val="00121ACF"/>
    <w:rsid w:val="00122386"/>
    <w:rsid w:val="0012333C"/>
    <w:rsid w:val="0012361F"/>
    <w:rsid w:val="00123D83"/>
    <w:rsid w:val="0012463E"/>
    <w:rsid w:val="00126813"/>
    <w:rsid w:val="00130364"/>
    <w:rsid w:val="00131461"/>
    <w:rsid w:val="00132233"/>
    <w:rsid w:val="00133732"/>
    <w:rsid w:val="001339E0"/>
    <w:rsid w:val="00134B3A"/>
    <w:rsid w:val="001351EB"/>
    <w:rsid w:val="00135D0F"/>
    <w:rsid w:val="0013746D"/>
    <w:rsid w:val="00140D64"/>
    <w:rsid w:val="00141004"/>
    <w:rsid w:val="0014184A"/>
    <w:rsid w:val="00142329"/>
    <w:rsid w:val="001424BA"/>
    <w:rsid w:val="001428B9"/>
    <w:rsid w:val="0014432A"/>
    <w:rsid w:val="00144608"/>
    <w:rsid w:val="00144617"/>
    <w:rsid w:val="00144748"/>
    <w:rsid w:val="001459C3"/>
    <w:rsid w:val="00146ED2"/>
    <w:rsid w:val="001513EC"/>
    <w:rsid w:val="001516FC"/>
    <w:rsid w:val="001517C3"/>
    <w:rsid w:val="00154ED7"/>
    <w:rsid w:val="001552A9"/>
    <w:rsid w:val="001555B2"/>
    <w:rsid w:val="00155861"/>
    <w:rsid w:val="00155AD5"/>
    <w:rsid w:val="001562FF"/>
    <w:rsid w:val="00156636"/>
    <w:rsid w:val="00156760"/>
    <w:rsid w:val="001571F6"/>
    <w:rsid w:val="00160092"/>
    <w:rsid w:val="00160915"/>
    <w:rsid w:val="00160B64"/>
    <w:rsid w:val="00161488"/>
    <w:rsid w:val="00161B75"/>
    <w:rsid w:val="001624FE"/>
    <w:rsid w:val="0016322D"/>
    <w:rsid w:val="001632A7"/>
    <w:rsid w:val="00163824"/>
    <w:rsid w:val="00164210"/>
    <w:rsid w:val="00167358"/>
    <w:rsid w:val="00167C14"/>
    <w:rsid w:val="00170117"/>
    <w:rsid w:val="001716F0"/>
    <w:rsid w:val="00172D74"/>
    <w:rsid w:val="00173219"/>
    <w:rsid w:val="00174423"/>
    <w:rsid w:val="00174F65"/>
    <w:rsid w:val="0017580A"/>
    <w:rsid w:val="0017621D"/>
    <w:rsid w:val="00176B45"/>
    <w:rsid w:val="00176DF8"/>
    <w:rsid w:val="0017775E"/>
    <w:rsid w:val="001817CF"/>
    <w:rsid w:val="0018197E"/>
    <w:rsid w:val="00182633"/>
    <w:rsid w:val="00182AA8"/>
    <w:rsid w:val="00182CDE"/>
    <w:rsid w:val="0018379D"/>
    <w:rsid w:val="0018434F"/>
    <w:rsid w:val="00186361"/>
    <w:rsid w:val="00186F34"/>
    <w:rsid w:val="00187CD1"/>
    <w:rsid w:val="00187CD9"/>
    <w:rsid w:val="00187FA3"/>
    <w:rsid w:val="00190299"/>
    <w:rsid w:val="0019059C"/>
    <w:rsid w:val="00190DDC"/>
    <w:rsid w:val="0019228D"/>
    <w:rsid w:val="0019333D"/>
    <w:rsid w:val="001935B4"/>
    <w:rsid w:val="00194139"/>
    <w:rsid w:val="0019519A"/>
    <w:rsid w:val="0019535F"/>
    <w:rsid w:val="00195C50"/>
    <w:rsid w:val="00195D07"/>
    <w:rsid w:val="00197350"/>
    <w:rsid w:val="001A06F2"/>
    <w:rsid w:val="001A2585"/>
    <w:rsid w:val="001A290C"/>
    <w:rsid w:val="001A38EF"/>
    <w:rsid w:val="001A4058"/>
    <w:rsid w:val="001A4398"/>
    <w:rsid w:val="001A46FF"/>
    <w:rsid w:val="001A581E"/>
    <w:rsid w:val="001B21D5"/>
    <w:rsid w:val="001B36A5"/>
    <w:rsid w:val="001B62BB"/>
    <w:rsid w:val="001C1070"/>
    <w:rsid w:val="001C1985"/>
    <w:rsid w:val="001C308D"/>
    <w:rsid w:val="001C3CFA"/>
    <w:rsid w:val="001C4095"/>
    <w:rsid w:val="001C5CD8"/>
    <w:rsid w:val="001C6763"/>
    <w:rsid w:val="001C7C22"/>
    <w:rsid w:val="001D1908"/>
    <w:rsid w:val="001D1B49"/>
    <w:rsid w:val="001D2A18"/>
    <w:rsid w:val="001D5DA0"/>
    <w:rsid w:val="001D5F62"/>
    <w:rsid w:val="001D71D8"/>
    <w:rsid w:val="001D798D"/>
    <w:rsid w:val="001D79FF"/>
    <w:rsid w:val="001D7AAD"/>
    <w:rsid w:val="001D7C47"/>
    <w:rsid w:val="001E0151"/>
    <w:rsid w:val="001E0180"/>
    <w:rsid w:val="001E0A78"/>
    <w:rsid w:val="001E0DA2"/>
    <w:rsid w:val="001E1DB5"/>
    <w:rsid w:val="001E4576"/>
    <w:rsid w:val="001E4DF2"/>
    <w:rsid w:val="001E5C18"/>
    <w:rsid w:val="001E61BB"/>
    <w:rsid w:val="001F1C06"/>
    <w:rsid w:val="001F3221"/>
    <w:rsid w:val="001F33A2"/>
    <w:rsid w:val="001F33CC"/>
    <w:rsid w:val="001F40AB"/>
    <w:rsid w:val="001F4604"/>
    <w:rsid w:val="0020066F"/>
    <w:rsid w:val="00200A1F"/>
    <w:rsid w:val="00200ED0"/>
    <w:rsid w:val="00202191"/>
    <w:rsid w:val="0020261F"/>
    <w:rsid w:val="0020354E"/>
    <w:rsid w:val="00204E02"/>
    <w:rsid w:val="002060F3"/>
    <w:rsid w:val="0020610A"/>
    <w:rsid w:val="0020639A"/>
    <w:rsid w:val="00207047"/>
    <w:rsid w:val="00210484"/>
    <w:rsid w:val="00210D6E"/>
    <w:rsid w:val="002115A3"/>
    <w:rsid w:val="00214300"/>
    <w:rsid w:val="00214CD0"/>
    <w:rsid w:val="00214D9F"/>
    <w:rsid w:val="0021552D"/>
    <w:rsid w:val="002176B2"/>
    <w:rsid w:val="0022062B"/>
    <w:rsid w:val="00220B4D"/>
    <w:rsid w:val="00220CAD"/>
    <w:rsid w:val="002217DD"/>
    <w:rsid w:val="00222240"/>
    <w:rsid w:val="00222810"/>
    <w:rsid w:val="00223FDE"/>
    <w:rsid w:val="00226536"/>
    <w:rsid w:val="00226E2D"/>
    <w:rsid w:val="00227BC5"/>
    <w:rsid w:val="002302DF"/>
    <w:rsid w:val="00230372"/>
    <w:rsid w:val="00230D85"/>
    <w:rsid w:val="00230EAD"/>
    <w:rsid w:val="00231E69"/>
    <w:rsid w:val="00232143"/>
    <w:rsid w:val="002338DA"/>
    <w:rsid w:val="002341F6"/>
    <w:rsid w:val="002343F4"/>
    <w:rsid w:val="00234DE0"/>
    <w:rsid w:val="00241C46"/>
    <w:rsid w:val="00241F86"/>
    <w:rsid w:val="0024429C"/>
    <w:rsid w:val="00250413"/>
    <w:rsid w:val="00250715"/>
    <w:rsid w:val="002509CB"/>
    <w:rsid w:val="00250B7B"/>
    <w:rsid w:val="0025373E"/>
    <w:rsid w:val="00253A7A"/>
    <w:rsid w:val="00253EE9"/>
    <w:rsid w:val="00256000"/>
    <w:rsid w:val="00257758"/>
    <w:rsid w:val="00257B36"/>
    <w:rsid w:val="00257F64"/>
    <w:rsid w:val="00261B60"/>
    <w:rsid w:val="0026212A"/>
    <w:rsid w:val="00263620"/>
    <w:rsid w:val="00263EFE"/>
    <w:rsid w:val="002661E3"/>
    <w:rsid w:val="00270D09"/>
    <w:rsid w:val="00270D82"/>
    <w:rsid w:val="00271A71"/>
    <w:rsid w:val="00271B54"/>
    <w:rsid w:val="002729F0"/>
    <w:rsid w:val="00272EDB"/>
    <w:rsid w:val="00275123"/>
    <w:rsid w:val="00275B18"/>
    <w:rsid w:val="00276040"/>
    <w:rsid w:val="0027622F"/>
    <w:rsid w:val="00276353"/>
    <w:rsid w:val="00276874"/>
    <w:rsid w:val="00276F0E"/>
    <w:rsid w:val="002816A3"/>
    <w:rsid w:val="0028194E"/>
    <w:rsid w:val="0028218C"/>
    <w:rsid w:val="002823AC"/>
    <w:rsid w:val="00283E87"/>
    <w:rsid w:val="00285DD4"/>
    <w:rsid w:val="00290B98"/>
    <w:rsid w:val="00290E59"/>
    <w:rsid w:val="00290E9B"/>
    <w:rsid w:val="002923C8"/>
    <w:rsid w:val="00292D88"/>
    <w:rsid w:val="00293257"/>
    <w:rsid w:val="00293826"/>
    <w:rsid w:val="00293901"/>
    <w:rsid w:val="002945A5"/>
    <w:rsid w:val="00294AD2"/>
    <w:rsid w:val="00294E0F"/>
    <w:rsid w:val="00294EF1"/>
    <w:rsid w:val="002953C3"/>
    <w:rsid w:val="002A085B"/>
    <w:rsid w:val="002A0E74"/>
    <w:rsid w:val="002A2105"/>
    <w:rsid w:val="002A287B"/>
    <w:rsid w:val="002A44F4"/>
    <w:rsid w:val="002A5CEA"/>
    <w:rsid w:val="002B0D28"/>
    <w:rsid w:val="002B15F2"/>
    <w:rsid w:val="002B16FA"/>
    <w:rsid w:val="002B2145"/>
    <w:rsid w:val="002B2FD8"/>
    <w:rsid w:val="002B3445"/>
    <w:rsid w:val="002B4DF1"/>
    <w:rsid w:val="002B4DFA"/>
    <w:rsid w:val="002B67BB"/>
    <w:rsid w:val="002B6AAA"/>
    <w:rsid w:val="002B7222"/>
    <w:rsid w:val="002C3001"/>
    <w:rsid w:val="002C3DD4"/>
    <w:rsid w:val="002C3EAC"/>
    <w:rsid w:val="002C4B14"/>
    <w:rsid w:val="002C4C10"/>
    <w:rsid w:val="002D0AB1"/>
    <w:rsid w:val="002D1B12"/>
    <w:rsid w:val="002D2C94"/>
    <w:rsid w:val="002D64E3"/>
    <w:rsid w:val="002D6518"/>
    <w:rsid w:val="002D6F20"/>
    <w:rsid w:val="002E16E8"/>
    <w:rsid w:val="002E2A0F"/>
    <w:rsid w:val="002E2E25"/>
    <w:rsid w:val="002E319A"/>
    <w:rsid w:val="002E4ECA"/>
    <w:rsid w:val="002E526A"/>
    <w:rsid w:val="002E5A74"/>
    <w:rsid w:val="002E5ED6"/>
    <w:rsid w:val="002E6B7A"/>
    <w:rsid w:val="002E70B3"/>
    <w:rsid w:val="002F143F"/>
    <w:rsid w:val="002F1D6B"/>
    <w:rsid w:val="002F1E51"/>
    <w:rsid w:val="002F2888"/>
    <w:rsid w:val="002F3CF9"/>
    <w:rsid w:val="002F42D4"/>
    <w:rsid w:val="002F50BD"/>
    <w:rsid w:val="002F5253"/>
    <w:rsid w:val="002F6588"/>
    <w:rsid w:val="002F6592"/>
    <w:rsid w:val="002F6D26"/>
    <w:rsid w:val="002F6E54"/>
    <w:rsid w:val="002F6E91"/>
    <w:rsid w:val="003001D7"/>
    <w:rsid w:val="0030230C"/>
    <w:rsid w:val="00302C62"/>
    <w:rsid w:val="00303B20"/>
    <w:rsid w:val="0030400B"/>
    <w:rsid w:val="00304492"/>
    <w:rsid w:val="00305646"/>
    <w:rsid w:val="00305988"/>
    <w:rsid w:val="00305C66"/>
    <w:rsid w:val="003101B2"/>
    <w:rsid w:val="003102C4"/>
    <w:rsid w:val="00310D41"/>
    <w:rsid w:val="0031113E"/>
    <w:rsid w:val="003116DC"/>
    <w:rsid w:val="00311C62"/>
    <w:rsid w:val="00313DE6"/>
    <w:rsid w:val="00314F93"/>
    <w:rsid w:val="00316827"/>
    <w:rsid w:val="00316F81"/>
    <w:rsid w:val="003208BA"/>
    <w:rsid w:val="00320A03"/>
    <w:rsid w:val="00320E5C"/>
    <w:rsid w:val="0032142B"/>
    <w:rsid w:val="0032175B"/>
    <w:rsid w:val="003225B9"/>
    <w:rsid w:val="00322F1D"/>
    <w:rsid w:val="003233B7"/>
    <w:rsid w:val="00323C2D"/>
    <w:rsid w:val="00323F63"/>
    <w:rsid w:val="003243AF"/>
    <w:rsid w:val="00324ACA"/>
    <w:rsid w:val="00324B10"/>
    <w:rsid w:val="00324C69"/>
    <w:rsid w:val="00325190"/>
    <w:rsid w:val="0032538B"/>
    <w:rsid w:val="003259A1"/>
    <w:rsid w:val="00325E5C"/>
    <w:rsid w:val="00331449"/>
    <w:rsid w:val="003320C3"/>
    <w:rsid w:val="00332DC1"/>
    <w:rsid w:val="00333634"/>
    <w:rsid w:val="003347F1"/>
    <w:rsid w:val="003349D4"/>
    <w:rsid w:val="003361FF"/>
    <w:rsid w:val="00336B5D"/>
    <w:rsid w:val="00336C24"/>
    <w:rsid w:val="003409D2"/>
    <w:rsid w:val="003413E9"/>
    <w:rsid w:val="00341473"/>
    <w:rsid w:val="00341911"/>
    <w:rsid w:val="003459C1"/>
    <w:rsid w:val="00346565"/>
    <w:rsid w:val="00347DE8"/>
    <w:rsid w:val="00350974"/>
    <w:rsid w:val="003511BF"/>
    <w:rsid w:val="0035124F"/>
    <w:rsid w:val="00351D24"/>
    <w:rsid w:val="00352B64"/>
    <w:rsid w:val="00354C33"/>
    <w:rsid w:val="00354FE2"/>
    <w:rsid w:val="00356989"/>
    <w:rsid w:val="00361638"/>
    <w:rsid w:val="0036265F"/>
    <w:rsid w:val="00362DC5"/>
    <w:rsid w:val="00363C65"/>
    <w:rsid w:val="00364200"/>
    <w:rsid w:val="003649AC"/>
    <w:rsid w:val="00367C61"/>
    <w:rsid w:val="00367F91"/>
    <w:rsid w:val="00370538"/>
    <w:rsid w:val="0037417C"/>
    <w:rsid w:val="00374822"/>
    <w:rsid w:val="003749F1"/>
    <w:rsid w:val="003760B2"/>
    <w:rsid w:val="0037614B"/>
    <w:rsid w:val="00376706"/>
    <w:rsid w:val="0037694C"/>
    <w:rsid w:val="00376DC9"/>
    <w:rsid w:val="00377107"/>
    <w:rsid w:val="00377279"/>
    <w:rsid w:val="0037767B"/>
    <w:rsid w:val="00381152"/>
    <w:rsid w:val="00384A21"/>
    <w:rsid w:val="00384C8C"/>
    <w:rsid w:val="00385C97"/>
    <w:rsid w:val="003861E3"/>
    <w:rsid w:val="003862E2"/>
    <w:rsid w:val="003900C2"/>
    <w:rsid w:val="0039039A"/>
    <w:rsid w:val="00390AD7"/>
    <w:rsid w:val="00391F1E"/>
    <w:rsid w:val="00391F53"/>
    <w:rsid w:val="00392151"/>
    <w:rsid w:val="003932DF"/>
    <w:rsid w:val="00394A95"/>
    <w:rsid w:val="00394C3D"/>
    <w:rsid w:val="00395DA5"/>
    <w:rsid w:val="00397B15"/>
    <w:rsid w:val="003A02D3"/>
    <w:rsid w:val="003A66C0"/>
    <w:rsid w:val="003A7265"/>
    <w:rsid w:val="003A7E4D"/>
    <w:rsid w:val="003A7F89"/>
    <w:rsid w:val="003B0C64"/>
    <w:rsid w:val="003B2987"/>
    <w:rsid w:val="003B2C88"/>
    <w:rsid w:val="003B34B5"/>
    <w:rsid w:val="003B42E6"/>
    <w:rsid w:val="003B4332"/>
    <w:rsid w:val="003B4A43"/>
    <w:rsid w:val="003B4CEE"/>
    <w:rsid w:val="003B5D25"/>
    <w:rsid w:val="003B7783"/>
    <w:rsid w:val="003B7C2C"/>
    <w:rsid w:val="003B7F17"/>
    <w:rsid w:val="003C1FC0"/>
    <w:rsid w:val="003C2163"/>
    <w:rsid w:val="003C28A0"/>
    <w:rsid w:val="003C2EE2"/>
    <w:rsid w:val="003C31C8"/>
    <w:rsid w:val="003C3AE5"/>
    <w:rsid w:val="003C4B10"/>
    <w:rsid w:val="003C5F9B"/>
    <w:rsid w:val="003C64F7"/>
    <w:rsid w:val="003C6C30"/>
    <w:rsid w:val="003C7DA1"/>
    <w:rsid w:val="003C7E32"/>
    <w:rsid w:val="003D10E5"/>
    <w:rsid w:val="003D14C6"/>
    <w:rsid w:val="003D22DB"/>
    <w:rsid w:val="003D325C"/>
    <w:rsid w:val="003D45EF"/>
    <w:rsid w:val="003D49CF"/>
    <w:rsid w:val="003D500A"/>
    <w:rsid w:val="003D5173"/>
    <w:rsid w:val="003E2CBA"/>
    <w:rsid w:val="003E2D32"/>
    <w:rsid w:val="003E3F12"/>
    <w:rsid w:val="003E4427"/>
    <w:rsid w:val="003E4996"/>
    <w:rsid w:val="003E4AAA"/>
    <w:rsid w:val="003E60E7"/>
    <w:rsid w:val="003E6398"/>
    <w:rsid w:val="003E6A0B"/>
    <w:rsid w:val="003E6A46"/>
    <w:rsid w:val="003F0505"/>
    <w:rsid w:val="003F1BC1"/>
    <w:rsid w:val="003F2AA8"/>
    <w:rsid w:val="003F3685"/>
    <w:rsid w:val="003F39DB"/>
    <w:rsid w:val="003F4F22"/>
    <w:rsid w:val="003F56DB"/>
    <w:rsid w:val="003F5DD5"/>
    <w:rsid w:val="003F6EF9"/>
    <w:rsid w:val="0040125C"/>
    <w:rsid w:val="00402DFB"/>
    <w:rsid w:val="00403CD1"/>
    <w:rsid w:val="0040445A"/>
    <w:rsid w:val="00405CC9"/>
    <w:rsid w:val="0041083F"/>
    <w:rsid w:val="00410B2F"/>
    <w:rsid w:val="00411468"/>
    <w:rsid w:val="0041243C"/>
    <w:rsid w:val="00412C2F"/>
    <w:rsid w:val="00414880"/>
    <w:rsid w:val="0041540A"/>
    <w:rsid w:val="00415724"/>
    <w:rsid w:val="004175DF"/>
    <w:rsid w:val="00420C9C"/>
    <w:rsid w:val="00421193"/>
    <w:rsid w:val="00421585"/>
    <w:rsid w:val="004215FE"/>
    <w:rsid w:val="00421AD2"/>
    <w:rsid w:val="0042264F"/>
    <w:rsid w:val="004226E7"/>
    <w:rsid w:val="00424129"/>
    <w:rsid w:val="00425215"/>
    <w:rsid w:val="0042540E"/>
    <w:rsid w:val="0042596C"/>
    <w:rsid w:val="00425976"/>
    <w:rsid w:val="004267A5"/>
    <w:rsid w:val="00426E21"/>
    <w:rsid w:val="0042750F"/>
    <w:rsid w:val="00430582"/>
    <w:rsid w:val="00430945"/>
    <w:rsid w:val="00431F47"/>
    <w:rsid w:val="004324F4"/>
    <w:rsid w:val="004334DD"/>
    <w:rsid w:val="00433620"/>
    <w:rsid w:val="00435920"/>
    <w:rsid w:val="00437183"/>
    <w:rsid w:val="00440B6B"/>
    <w:rsid w:val="0044157C"/>
    <w:rsid w:val="00441C58"/>
    <w:rsid w:val="00443180"/>
    <w:rsid w:val="0044343A"/>
    <w:rsid w:val="00444064"/>
    <w:rsid w:val="00444F19"/>
    <w:rsid w:val="004450CF"/>
    <w:rsid w:val="00445A61"/>
    <w:rsid w:val="00446E51"/>
    <w:rsid w:val="004475DA"/>
    <w:rsid w:val="00452061"/>
    <w:rsid w:val="00452183"/>
    <w:rsid w:val="0045380E"/>
    <w:rsid w:val="00453929"/>
    <w:rsid w:val="00453957"/>
    <w:rsid w:val="00453B58"/>
    <w:rsid w:val="00453E3E"/>
    <w:rsid w:val="00454AF3"/>
    <w:rsid w:val="00455F74"/>
    <w:rsid w:val="00456482"/>
    <w:rsid w:val="00460C83"/>
    <w:rsid w:val="00464C04"/>
    <w:rsid w:val="00466A7E"/>
    <w:rsid w:val="00466B6A"/>
    <w:rsid w:val="00467477"/>
    <w:rsid w:val="004674F8"/>
    <w:rsid w:val="0046775E"/>
    <w:rsid w:val="00467A10"/>
    <w:rsid w:val="0047014C"/>
    <w:rsid w:val="004708C1"/>
    <w:rsid w:val="00473632"/>
    <w:rsid w:val="00474C53"/>
    <w:rsid w:val="00476E11"/>
    <w:rsid w:val="0047710A"/>
    <w:rsid w:val="00480938"/>
    <w:rsid w:val="00480AFE"/>
    <w:rsid w:val="00481AA7"/>
    <w:rsid w:val="00481C06"/>
    <w:rsid w:val="00482573"/>
    <w:rsid w:val="004830B1"/>
    <w:rsid w:val="00483A2D"/>
    <w:rsid w:val="00486085"/>
    <w:rsid w:val="00486B68"/>
    <w:rsid w:val="00486F94"/>
    <w:rsid w:val="00486FF8"/>
    <w:rsid w:val="00490788"/>
    <w:rsid w:val="00490FFA"/>
    <w:rsid w:val="0049215D"/>
    <w:rsid w:val="00492229"/>
    <w:rsid w:val="004926B2"/>
    <w:rsid w:val="00492ABD"/>
    <w:rsid w:val="00492B16"/>
    <w:rsid w:val="004930E8"/>
    <w:rsid w:val="0049583D"/>
    <w:rsid w:val="00496B19"/>
    <w:rsid w:val="004A0442"/>
    <w:rsid w:val="004A192B"/>
    <w:rsid w:val="004A2D96"/>
    <w:rsid w:val="004A3B1F"/>
    <w:rsid w:val="004A4094"/>
    <w:rsid w:val="004A4CD3"/>
    <w:rsid w:val="004A51A1"/>
    <w:rsid w:val="004A564B"/>
    <w:rsid w:val="004A6594"/>
    <w:rsid w:val="004A6E1D"/>
    <w:rsid w:val="004A7CBD"/>
    <w:rsid w:val="004B02F1"/>
    <w:rsid w:val="004B0446"/>
    <w:rsid w:val="004B1271"/>
    <w:rsid w:val="004B23FF"/>
    <w:rsid w:val="004B26C4"/>
    <w:rsid w:val="004B2A74"/>
    <w:rsid w:val="004B34C6"/>
    <w:rsid w:val="004B39FE"/>
    <w:rsid w:val="004B414A"/>
    <w:rsid w:val="004B41E1"/>
    <w:rsid w:val="004B422F"/>
    <w:rsid w:val="004B4524"/>
    <w:rsid w:val="004B561B"/>
    <w:rsid w:val="004B5AA5"/>
    <w:rsid w:val="004B6498"/>
    <w:rsid w:val="004B7067"/>
    <w:rsid w:val="004C1D72"/>
    <w:rsid w:val="004C1EF2"/>
    <w:rsid w:val="004C2BBA"/>
    <w:rsid w:val="004C2F5B"/>
    <w:rsid w:val="004C2FF7"/>
    <w:rsid w:val="004C31DE"/>
    <w:rsid w:val="004C40F3"/>
    <w:rsid w:val="004C563C"/>
    <w:rsid w:val="004C5D0F"/>
    <w:rsid w:val="004C7DF7"/>
    <w:rsid w:val="004D1808"/>
    <w:rsid w:val="004D21F6"/>
    <w:rsid w:val="004D273A"/>
    <w:rsid w:val="004D3339"/>
    <w:rsid w:val="004D454A"/>
    <w:rsid w:val="004D4E47"/>
    <w:rsid w:val="004D5509"/>
    <w:rsid w:val="004D6C14"/>
    <w:rsid w:val="004E00B1"/>
    <w:rsid w:val="004E09C6"/>
    <w:rsid w:val="004E0FAA"/>
    <w:rsid w:val="004E2A35"/>
    <w:rsid w:val="004E30BF"/>
    <w:rsid w:val="004E4496"/>
    <w:rsid w:val="004E588B"/>
    <w:rsid w:val="004E59DA"/>
    <w:rsid w:val="004E5B98"/>
    <w:rsid w:val="004E61E7"/>
    <w:rsid w:val="004E7695"/>
    <w:rsid w:val="004E7C6B"/>
    <w:rsid w:val="004F01FB"/>
    <w:rsid w:val="004F05E6"/>
    <w:rsid w:val="004F21C0"/>
    <w:rsid w:val="004F29C9"/>
    <w:rsid w:val="004F2A68"/>
    <w:rsid w:val="004F2ED4"/>
    <w:rsid w:val="004F38A7"/>
    <w:rsid w:val="004F47BC"/>
    <w:rsid w:val="004F6312"/>
    <w:rsid w:val="005015BC"/>
    <w:rsid w:val="005028BE"/>
    <w:rsid w:val="00504572"/>
    <w:rsid w:val="00505992"/>
    <w:rsid w:val="00505DB6"/>
    <w:rsid w:val="0050645D"/>
    <w:rsid w:val="00506C6F"/>
    <w:rsid w:val="005074E3"/>
    <w:rsid w:val="00507785"/>
    <w:rsid w:val="005078FD"/>
    <w:rsid w:val="0050794A"/>
    <w:rsid w:val="00507C8A"/>
    <w:rsid w:val="00511572"/>
    <w:rsid w:val="00511930"/>
    <w:rsid w:val="0051336F"/>
    <w:rsid w:val="005158A5"/>
    <w:rsid w:val="00516236"/>
    <w:rsid w:val="00516CB4"/>
    <w:rsid w:val="00517217"/>
    <w:rsid w:val="0052044E"/>
    <w:rsid w:val="00522985"/>
    <w:rsid w:val="005232A8"/>
    <w:rsid w:val="00523384"/>
    <w:rsid w:val="0052435C"/>
    <w:rsid w:val="00524C5D"/>
    <w:rsid w:val="00525A6E"/>
    <w:rsid w:val="0052637F"/>
    <w:rsid w:val="0052653D"/>
    <w:rsid w:val="00531A50"/>
    <w:rsid w:val="00532799"/>
    <w:rsid w:val="005329EE"/>
    <w:rsid w:val="005334A3"/>
    <w:rsid w:val="00533522"/>
    <w:rsid w:val="0053444C"/>
    <w:rsid w:val="005354B0"/>
    <w:rsid w:val="00535AA7"/>
    <w:rsid w:val="0053685D"/>
    <w:rsid w:val="00536EC4"/>
    <w:rsid w:val="00537F97"/>
    <w:rsid w:val="00542B32"/>
    <w:rsid w:val="00542D59"/>
    <w:rsid w:val="00543F0D"/>
    <w:rsid w:val="005447FE"/>
    <w:rsid w:val="00544F7E"/>
    <w:rsid w:val="00545AA4"/>
    <w:rsid w:val="005472EC"/>
    <w:rsid w:val="005473C3"/>
    <w:rsid w:val="005474A4"/>
    <w:rsid w:val="00547746"/>
    <w:rsid w:val="00550222"/>
    <w:rsid w:val="00550966"/>
    <w:rsid w:val="00552EBE"/>
    <w:rsid w:val="00553031"/>
    <w:rsid w:val="00553125"/>
    <w:rsid w:val="0055315B"/>
    <w:rsid w:val="00553EA0"/>
    <w:rsid w:val="005542A4"/>
    <w:rsid w:val="005550D1"/>
    <w:rsid w:val="005553A5"/>
    <w:rsid w:val="00555875"/>
    <w:rsid w:val="00556080"/>
    <w:rsid w:val="0055672C"/>
    <w:rsid w:val="005572FC"/>
    <w:rsid w:val="0055758B"/>
    <w:rsid w:val="00557E81"/>
    <w:rsid w:val="00560D16"/>
    <w:rsid w:val="00561406"/>
    <w:rsid w:val="00562960"/>
    <w:rsid w:val="00564544"/>
    <w:rsid w:val="00564BAF"/>
    <w:rsid w:val="00564CD2"/>
    <w:rsid w:val="00565E54"/>
    <w:rsid w:val="00566926"/>
    <w:rsid w:val="00570D55"/>
    <w:rsid w:val="00572DAF"/>
    <w:rsid w:val="00573075"/>
    <w:rsid w:val="005733AA"/>
    <w:rsid w:val="0057505B"/>
    <w:rsid w:val="00575993"/>
    <w:rsid w:val="005777C4"/>
    <w:rsid w:val="005779B7"/>
    <w:rsid w:val="005800F9"/>
    <w:rsid w:val="00580D66"/>
    <w:rsid w:val="005815C7"/>
    <w:rsid w:val="0058231C"/>
    <w:rsid w:val="0058333F"/>
    <w:rsid w:val="0058491B"/>
    <w:rsid w:val="00584965"/>
    <w:rsid w:val="00585553"/>
    <w:rsid w:val="00586A20"/>
    <w:rsid w:val="00590803"/>
    <w:rsid w:val="00590EF3"/>
    <w:rsid w:val="00591640"/>
    <w:rsid w:val="0059277A"/>
    <w:rsid w:val="00594C73"/>
    <w:rsid w:val="0059592F"/>
    <w:rsid w:val="005960B8"/>
    <w:rsid w:val="0059637A"/>
    <w:rsid w:val="00597367"/>
    <w:rsid w:val="00597D4B"/>
    <w:rsid w:val="005A148C"/>
    <w:rsid w:val="005A2758"/>
    <w:rsid w:val="005A420D"/>
    <w:rsid w:val="005A453B"/>
    <w:rsid w:val="005A77F6"/>
    <w:rsid w:val="005B018E"/>
    <w:rsid w:val="005B0307"/>
    <w:rsid w:val="005B044C"/>
    <w:rsid w:val="005B0499"/>
    <w:rsid w:val="005B0B1F"/>
    <w:rsid w:val="005B0E4C"/>
    <w:rsid w:val="005B10A7"/>
    <w:rsid w:val="005B11CE"/>
    <w:rsid w:val="005B1696"/>
    <w:rsid w:val="005B1C21"/>
    <w:rsid w:val="005B1EC6"/>
    <w:rsid w:val="005B2066"/>
    <w:rsid w:val="005B26FD"/>
    <w:rsid w:val="005B2F60"/>
    <w:rsid w:val="005B347E"/>
    <w:rsid w:val="005B3FCA"/>
    <w:rsid w:val="005B4B23"/>
    <w:rsid w:val="005B4F94"/>
    <w:rsid w:val="005C03D7"/>
    <w:rsid w:val="005C067A"/>
    <w:rsid w:val="005C10AC"/>
    <w:rsid w:val="005C19F7"/>
    <w:rsid w:val="005C1BB4"/>
    <w:rsid w:val="005C2CD8"/>
    <w:rsid w:val="005C2EE4"/>
    <w:rsid w:val="005C3622"/>
    <w:rsid w:val="005C37FF"/>
    <w:rsid w:val="005C3EF9"/>
    <w:rsid w:val="005C63D2"/>
    <w:rsid w:val="005D13F6"/>
    <w:rsid w:val="005D1CB1"/>
    <w:rsid w:val="005D201E"/>
    <w:rsid w:val="005D2B10"/>
    <w:rsid w:val="005D349D"/>
    <w:rsid w:val="005D361A"/>
    <w:rsid w:val="005D3780"/>
    <w:rsid w:val="005D558E"/>
    <w:rsid w:val="005D5A3C"/>
    <w:rsid w:val="005D5D2D"/>
    <w:rsid w:val="005D6E89"/>
    <w:rsid w:val="005D71A0"/>
    <w:rsid w:val="005E05B9"/>
    <w:rsid w:val="005E08DC"/>
    <w:rsid w:val="005E0C66"/>
    <w:rsid w:val="005E19D1"/>
    <w:rsid w:val="005E1D43"/>
    <w:rsid w:val="005E4D9E"/>
    <w:rsid w:val="005E5300"/>
    <w:rsid w:val="005E6867"/>
    <w:rsid w:val="005F0A1B"/>
    <w:rsid w:val="005F12AF"/>
    <w:rsid w:val="005F2689"/>
    <w:rsid w:val="005F4DE0"/>
    <w:rsid w:val="005F79FA"/>
    <w:rsid w:val="006030FB"/>
    <w:rsid w:val="0060335F"/>
    <w:rsid w:val="00605A50"/>
    <w:rsid w:val="00606AE4"/>
    <w:rsid w:val="00607868"/>
    <w:rsid w:val="00610E1F"/>
    <w:rsid w:val="00612854"/>
    <w:rsid w:val="00612926"/>
    <w:rsid w:val="006139A1"/>
    <w:rsid w:val="00613F7A"/>
    <w:rsid w:val="00614997"/>
    <w:rsid w:val="00615B2F"/>
    <w:rsid w:val="00615C96"/>
    <w:rsid w:val="00615CFA"/>
    <w:rsid w:val="00616F4D"/>
    <w:rsid w:val="0061734C"/>
    <w:rsid w:val="00620127"/>
    <w:rsid w:val="0062080B"/>
    <w:rsid w:val="00621611"/>
    <w:rsid w:val="00621775"/>
    <w:rsid w:val="00622698"/>
    <w:rsid w:val="00623339"/>
    <w:rsid w:val="00623738"/>
    <w:rsid w:val="00623C65"/>
    <w:rsid w:val="00624713"/>
    <w:rsid w:val="006249DB"/>
    <w:rsid w:val="00624ECF"/>
    <w:rsid w:val="006257FE"/>
    <w:rsid w:val="0062618F"/>
    <w:rsid w:val="0062625B"/>
    <w:rsid w:val="00627D35"/>
    <w:rsid w:val="00632A88"/>
    <w:rsid w:val="0063405A"/>
    <w:rsid w:val="00636D8A"/>
    <w:rsid w:val="006374E0"/>
    <w:rsid w:val="006403C7"/>
    <w:rsid w:val="00640BED"/>
    <w:rsid w:val="00641052"/>
    <w:rsid w:val="00641F47"/>
    <w:rsid w:val="0064239A"/>
    <w:rsid w:val="006428D8"/>
    <w:rsid w:val="00643034"/>
    <w:rsid w:val="00643180"/>
    <w:rsid w:val="00643CCB"/>
    <w:rsid w:val="00643EBE"/>
    <w:rsid w:val="00644984"/>
    <w:rsid w:val="0064562D"/>
    <w:rsid w:val="00646F62"/>
    <w:rsid w:val="00647512"/>
    <w:rsid w:val="006476FF"/>
    <w:rsid w:val="006503A0"/>
    <w:rsid w:val="00650F3B"/>
    <w:rsid w:val="0065134C"/>
    <w:rsid w:val="006514EE"/>
    <w:rsid w:val="00651747"/>
    <w:rsid w:val="0065195C"/>
    <w:rsid w:val="00651AB0"/>
    <w:rsid w:val="00652010"/>
    <w:rsid w:val="00652A3E"/>
    <w:rsid w:val="00653CA7"/>
    <w:rsid w:val="0065412B"/>
    <w:rsid w:val="00657EBA"/>
    <w:rsid w:val="00660E1C"/>
    <w:rsid w:val="00661EC4"/>
    <w:rsid w:val="0066514A"/>
    <w:rsid w:val="00666387"/>
    <w:rsid w:val="00666C8F"/>
    <w:rsid w:val="00666E24"/>
    <w:rsid w:val="0066784E"/>
    <w:rsid w:val="006709A2"/>
    <w:rsid w:val="0067215F"/>
    <w:rsid w:val="00673408"/>
    <w:rsid w:val="00674D02"/>
    <w:rsid w:val="00675A42"/>
    <w:rsid w:val="006771E3"/>
    <w:rsid w:val="00677263"/>
    <w:rsid w:val="006772A2"/>
    <w:rsid w:val="00677BCA"/>
    <w:rsid w:val="00680567"/>
    <w:rsid w:val="00681154"/>
    <w:rsid w:val="0068245C"/>
    <w:rsid w:val="006836AB"/>
    <w:rsid w:val="00686453"/>
    <w:rsid w:val="006869B5"/>
    <w:rsid w:val="006870EF"/>
    <w:rsid w:val="00690F22"/>
    <w:rsid w:val="00690FEF"/>
    <w:rsid w:val="00691FDA"/>
    <w:rsid w:val="006920BE"/>
    <w:rsid w:val="00692347"/>
    <w:rsid w:val="006924A3"/>
    <w:rsid w:val="0069347E"/>
    <w:rsid w:val="0069512C"/>
    <w:rsid w:val="006954BC"/>
    <w:rsid w:val="00695BDE"/>
    <w:rsid w:val="00696516"/>
    <w:rsid w:val="00697F9E"/>
    <w:rsid w:val="006A01D4"/>
    <w:rsid w:val="006A08F5"/>
    <w:rsid w:val="006A09C1"/>
    <w:rsid w:val="006A181C"/>
    <w:rsid w:val="006A4850"/>
    <w:rsid w:val="006A4F91"/>
    <w:rsid w:val="006A5996"/>
    <w:rsid w:val="006A6353"/>
    <w:rsid w:val="006A6400"/>
    <w:rsid w:val="006A7A5C"/>
    <w:rsid w:val="006B0263"/>
    <w:rsid w:val="006B17E3"/>
    <w:rsid w:val="006B1C12"/>
    <w:rsid w:val="006B470F"/>
    <w:rsid w:val="006B7C9C"/>
    <w:rsid w:val="006B7CB7"/>
    <w:rsid w:val="006B7DE7"/>
    <w:rsid w:val="006C0CAF"/>
    <w:rsid w:val="006C186A"/>
    <w:rsid w:val="006C24F2"/>
    <w:rsid w:val="006C256F"/>
    <w:rsid w:val="006C2F83"/>
    <w:rsid w:val="006C3675"/>
    <w:rsid w:val="006C3AB1"/>
    <w:rsid w:val="006C3EA2"/>
    <w:rsid w:val="006C4030"/>
    <w:rsid w:val="006C45E5"/>
    <w:rsid w:val="006C4982"/>
    <w:rsid w:val="006C583B"/>
    <w:rsid w:val="006C633D"/>
    <w:rsid w:val="006C7C59"/>
    <w:rsid w:val="006D00BC"/>
    <w:rsid w:val="006D03A3"/>
    <w:rsid w:val="006D0468"/>
    <w:rsid w:val="006D10DF"/>
    <w:rsid w:val="006D28E1"/>
    <w:rsid w:val="006D2E25"/>
    <w:rsid w:val="006D2EB9"/>
    <w:rsid w:val="006D2F3E"/>
    <w:rsid w:val="006D3BF1"/>
    <w:rsid w:val="006D3DFA"/>
    <w:rsid w:val="006D47D3"/>
    <w:rsid w:val="006D49A9"/>
    <w:rsid w:val="006D54F7"/>
    <w:rsid w:val="006D6F4B"/>
    <w:rsid w:val="006D7697"/>
    <w:rsid w:val="006D781D"/>
    <w:rsid w:val="006E0282"/>
    <w:rsid w:val="006E0787"/>
    <w:rsid w:val="006E0E78"/>
    <w:rsid w:val="006E175B"/>
    <w:rsid w:val="006E1CA5"/>
    <w:rsid w:val="006E2567"/>
    <w:rsid w:val="006E3523"/>
    <w:rsid w:val="006E405A"/>
    <w:rsid w:val="006E48F3"/>
    <w:rsid w:val="006E5E72"/>
    <w:rsid w:val="006E71BC"/>
    <w:rsid w:val="006E795F"/>
    <w:rsid w:val="006E7E71"/>
    <w:rsid w:val="006F3B92"/>
    <w:rsid w:val="006F4D2F"/>
    <w:rsid w:val="006F58EC"/>
    <w:rsid w:val="006F5B31"/>
    <w:rsid w:val="006F5CD0"/>
    <w:rsid w:val="006F772F"/>
    <w:rsid w:val="006F785D"/>
    <w:rsid w:val="006F7AF9"/>
    <w:rsid w:val="0070431A"/>
    <w:rsid w:val="00704821"/>
    <w:rsid w:val="0070517D"/>
    <w:rsid w:val="00705C0E"/>
    <w:rsid w:val="00705F16"/>
    <w:rsid w:val="00706459"/>
    <w:rsid w:val="0070720D"/>
    <w:rsid w:val="00707A5B"/>
    <w:rsid w:val="00707D5B"/>
    <w:rsid w:val="007118E8"/>
    <w:rsid w:val="00711DF5"/>
    <w:rsid w:val="007121EF"/>
    <w:rsid w:val="00712200"/>
    <w:rsid w:val="007123F7"/>
    <w:rsid w:val="00712800"/>
    <w:rsid w:val="0071303A"/>
    <w:rsid w:val="007130CB"/>
    <w:rsid w:val="007131BE"/>
    <w:rsid w:val="007133C5"/>
    <w:rsid w:val="00713E97"/>
    <w:rsid w:val="00714B52"/>
    <w:rsid w:val="0071557A"/>
    <w:rsid w:val="0071588F"/>
    <w:rsid w:val="007158B4"/>
    <w:rsid w:val="0071672A"/>
    <w:rsid w:val="00716B5B"/>
    <w:rsid w:val="0071736D"/>
    <w:rsid w:val="0072233A"/>
    <w:rsid w:val="00724D8B"/>
    <w:rsid w:val="00725AC8"/>
    <w:rsid w:val="007278FF"/>
    <w:rsid w:val="00727DD5"/>
    <w:rsid w:val="00734C7D"/>
    <w:rsid w:val="00734F3B"/>
    <w:rsid w:val="00736AAE"/>
    <w:rsid w:val="0073768F"/>
    <w:rsid w:val="00740681"/>
    <w:rsid w:val="00740D0F"/>
    <w:rsid w:val="00740F72"/>
    <w:rsid w:val="007418B3"/>
    <w:rsid w:val="007424D3"/>
    <w:rsid w:val="00743191"/>
    <w:rsid w:val="00743ACD"/>
    <w:rsid w:val="00745F9C"/>
    <w:rsid w:val="007516F2"/>
    <w:rsid w:val="00751E15"/>
    <w:rsid w:val="0075422A"/>
    <w:rsid w:val="0075459A"/>
    <w:rsid w:val="00754FD3"/>
    <w:rsid w:val="007566CC"/>
    <w:rsid w:val="007567CE"/>
    <w:rsid w:val="007577E3"/>
    <w:rsid w:val="00760E0E"/>
    <w:rsid w:val="0076183C"/>
    <w:rsid w:val="00761D76"/>
    <w:rsid w:val="00762C48"/>
    <w:rsid w:val="00762F3C"/>
    <w:rsid w:val="007630EE"/>
    <w:rsid w:val="00767380"/>
    <w:rsid w:val="00771973"/>
    <w:rsid w:val="00771D75"/>
    <w:rsid w:val="00772F7E"/>
    <w:rsid w:val="007731DC"/>
    <w:rsid w:val="0077327C"/>
    <w:rsid w:val="00773F54"/>
    <w:rsid w:val="007756CA"/>
    <w:rsid w:val="00775A4D"/>
    <w:rsid w:val="0077688E"/>
    <w:rsid w:val="00776B0C"/>
    <w:rsid w:val="007771A7"/>
    <w:rsid w:val="0078110D"/>
    <w:rsid w:val="00782613"/>
    <w:rsid w:val="00782DDF"/>
    <w:rsid w:val="00783095"/>
    <w:rsid w:val="00783DB3"/>
    <w:rsid w:val="00783FF9"/>
    <w:rsid w:val="007847C4"/>
    <w:rsid w:val="00785766"/>
    <w:rsid w:val="007861CF"/>
    <w:rsid w:val="00787066"/>
    <w:rsid w:val="007870FF"/>
    <w:rsid w:val="007877C1"/>
    <w:rsid w:val="0079033A"/>
    <w:rsid w:val="00790CEF"/>
    <w:rsid w:val="00792C22"/>
    <w:rsid w:val="00792D7C"/>
    <w:rsid w:val="00792E5E"/>
    <w:rsid w:val="00793009"/>
    <w:rsid w:val="00793BAD"/>
    <w:rsid w:val="00794987"/>
    <w:rsid w:val="00794B65"/>
    <w:rsid w:val="00794F1B"/>
    <w:rsid w:val="007955BC"/>
    <w:rsid w:val="007957AE"/>
    <w:rsid w:val="00795900"/>
    <w:rsid w:val="00796C17"/>
    <w:rsid w:val="007A1050"/>
    <w:rsid w:val="007A1CC9"/>
    <w:rsid w:val="007A298D"/>
    <w:rsid w:val="007A2B84"/>
    <w:rsid w:val="007A2C9B"/>
    <w:rsid w:val="007A2CB5"/>
    <w:rsid w:val="007A375E"/>
    <w:rsid w:val="007A39FC"/>
    <w:rsid w:val="007A4585"/>
    <w:rsid w:val="007A4AF8"/>
    <w:rsid w:val="007A4EAA"/>
    <w:rsid w:val="007A5079"/>
    <w:rsid w:val="007A5552"/>
    <w:rsid w:val="007A5925"/>
    <w:rsid w:val="007A6C12"/>
    <w:rsid w:val="007A6C1F"/>
    <w:rsid w:val="007A7074"/>
    <w:rsid w:val="007A7423"/>
    <w:rsid w:val="007B0911"/>
    <w:rsid w:val="007B175E"/>
    <w:rsid w:val="007B1E18"/>
    <w:rsid w:val="007B2D9F"/>
    <w:rsid w:val="007B32A0"/>
    <w:rsid w:val="007B3D11"/>
    <w:rsid w:val="007B4E0D"/>
    <w:rsid w:val="007B5A12"/>
    <w:rsid w:val="007B5B44"/>
    <w:rsid w:val="007B5B5E"/>
    <w:rsid w:val="007B63E7"/>
    <w:rsid w:val="007B70F3"/>
    <w:rsid w:val="007B737A"/>
    <w:rsid w:val="007B78D0"/>
    <w:rsid w:val="007C1765"/>
    <w:rsid w:val="007C1C96"/>
    <w:rsid w:val="007C24B9"/>
    <w:rsid w:val="007C3933"/>
    <w:rsid w:val="007C4DFB"/>
    <w:rsid w:val="007C5A67"/>
    <w:rsid w:val="007C6BED"/>
    <w:rsid w:val="007C6C03"/>
    <w:rsid w:val="007D06D9"/>
    <w:rsid w:val="007D0FA2"/>
    <w:rsid w:val="007D308B"/>
    <w:rsid w:val="007D41A8"/>
    <w:rsid w:val="007D4BA1"/>
    <w:rsid w:val="007D4E50"/>
    <w:rsid w:val="007D4ED8"/>
    <w:rsid w:val="007D5C21"/>
    <w:rsid w:val="007D5DA1"/>
    <w:rsid w:val="007D67A9"/>
    <w:rsid w:val="007D6CB2"/>
    <w:rsid w:val="007D78E0"/>
    <w:rsid w:val="007D79D2"/>
    <w:rsid w:val="007E0C8A"/>
    <w:rsid w:val="007E10D6"/>
    <w:rsid w:val="007E1FB4"/>
    <w:rsid w:val="007E2297"/>
    <w:rsid w:val="007E259F"/>
    <w:rsid w:val="007E48C7"/>
    <w:rsid w:val="007E676F"/>
    <w:rsid w:val="007E7B4E"/>
    <w:rsid w:val="007F0301"/>
    <w:rsid w:val="007F13D2"/>
    <w:rsid w:val="007F1A57"/>
    <w:rsid w:val="007F3EDB"/>
    <w:rsid w:val="007F417F"/>
    <w:rsid w:val="007F4195"/>
    <w:rsid w:val="007F4988"/>
    <w:rsid w:val="007F6489"/>
    <w:rsid w:val="0080102F"/>
    <w:rsid w:val="00801B2E"/>
    <w:rsid w:val="00801BC0"/>
    <w:rsid w:val="00802285"/>
    <w:rsid w:val="0080271C"/>
    <w:rsid w:val="00802A0F"/>
    <w:rsid w:val="008038C4"/>
    <w:rsid w:val="00803C25"/>
    <w:rsid w:val="00803EB1"/>
    <w:rsid w:val="008049FF"/>
    <w:rsid w:val="0080503E"/>
    <w:rsid w:val="00805891"/>
    <w:rsid w:val="00806144"/>
    <w:rsid w:val="008061B0"/>
    <w:rsid w:val="00806C69"/>
    <w:rsid w:val="00807692"/>
    <w:rsid w:val="00807C43"/>
    <w:rsid w:val="00810316"/>
    <w:rsid w:val="00810C12"/>
    <w:rsid w:val="0081213C"/>
    <w:rsid w:val="0081244D"/>
    <w:rsid w:val="00813C71"/>
    <w:rsid w:val="00814171"/>
    <w:rsid w:val="00814BD8"/>
    <w:rsid w:val="00814FA6"/>
    <w:rsid w:val="00815298"/>
    <w:rsid w:val="00815F1B"/>
    <w:rsid w:val="00815F7E"/>
    <w:rsid w:val="00816191"/>
    <w:rsid w:val="00816BD9"/>
    <w:rsid w:val="0082002E"/>
    <w:rsid w:val="008202F9"/>
    <w:rsid w:val="0082139A"/>
    <w:rsid w:val="00821FB4"/>
    <w:rsid w:val="00822524"/>
    <w:rsid w:val="008231E0"/>
    <w:rsid w:val="008235E2"/>
    <w:rsid w:val="00823D75"/>
    <w:rsid w:val="00824221"/>
    <w:rsid w:val="008246F5"/>
    <w:rsid w:val="00824890"/>
    <w:rsid w:val="00824F7B"/>
    <w:rsid w:val="00825AB6"/>
    <w:rsid w:val="0082619A"/>
    <w:rsid w:val="008268A9"/>
    <w:rsid w:val="00826994"/>
    <w:rsid w:val="00827AB7"/>
    <w:rsid w:val="00832629"/>
    <w:rsid w:val="0083311C"/>
    <w:rsid w:val="00834599"/>
    <w:rsid w:val="00835862"/>
    <w:rsid w:val="00835F89"/>
    <w:rsid w:val="008376D8"/>
    <w:rsid w:val="00840557"/>
    <w:rsid w:val="00841AC8"/>
    <w:rsid w:val="00843513"/>
    <w:rsid w:val="00845673"/>
    <w:rsid w:val="0084582B"/>
    <w:rsid w:val="00847C63"/>
    <w:rsid w:val="00847D69"/>
    <w:rsid w:val="008508CA"/>
    <w:rsid w:val="0085135A"/>
    <w:rsid w:val="008515DA"/>
    <w:rsid w:val="008529E2"/>
    <w:rsid w:val="008536A9"/>
    <w:rsid w:val="0085450F"/>
    <w:rsid w:val="008547E2"/>
    <w:rsid w:val="00854D5D"/>
    <w:rsid w:val="00856018"/>
    <w:rsid w:val="00856741"/>
    <w:rsid w:val="0085702A"/>
    <w:rsid w:val="008571C7"/>
    <w:rsid w:val="00860CD9"/>
    <w:rsid w:val="0086154F"/>
    <w:rsid w:val="00861F45"/>
    <w:rsid w:val="0086233B"/>
    <w:rsid w:val="00862D99"/>
    <w:rsid w:val="00863430"/>
    <w:rsid w:val="00863CD4"/>
    <w:rsid w:val="008646C7"/>
    <w:rsid w:val="00867905"/>
    <w:rsid w:val="00867DDD"/>
    <w:rsid w:val="00870E2A"/>
    <w:rsid w:val="0087196B"/>
    <w:rsid w:val="00872378"/>
    <w:rsid w:val="00873D8A"/>
    <w:rsid w:val="008759BE"/>
    <w:rsid w:val="008765C7"/>
    <w:rsid w:val="00876936"/>
    <w:rsid w:val="00876AD5"/>
    <w:rsid w:val="00876F58"/>
    <w:rsid w:val="008813B7"/>
    <w:rsid w:val="00883006"/>
    <w:rsid w:val="0088743F"/>
    <w:rsid w:val="00887FC3"/>
    <w:rsid w:val="0089022D"/>
    <w:rsid w:val="008908CA"/>
    <w:rsid w:val="008920A4"/>
    <w:rsid w:val="008927B5"/>
    <w:rsid w:val="00892B25"/>
    <w:rsid w:val="00893C46"/>
    <w:rsid w:val="00893F08"/>
    <w:rsid w:val="0089411F"/>
    <w:rsid w:val="00894F9F"/>
    <w:rsid w:val="00895B75"/>
    <w:rsid w:val="008A08BD"/>
    <w:rsid w:val="008A28F8"/>
    <w:rsid w:val="008A2A45"/>
    <w:rsid w:val="008A34FD"/>
    <w:rsid w:val="008A3539"/>
    <w:rsid w:val="008A362D"/>
    <w:rsid w:val="008A4022"/>
    <w:rsid w:val="008A43EC"/>
    <w:rsid w:val="008A6EDB"/>
    <w:rsid w:val="008A6F1D"/>
    <w:rsid w:val="008A7B30"/>
    <w:rsid w:val="008A7E0A"/>
    <w:rsid w:val="008B356C"/>
    <w:rsid w:val="008B36F0"/>
    <w:rsid w:val="008B3EFD"/>
    <w:rsid w:val="008B727A"/>
    <w:rsid w:val="008B7538"/>
    <w:rsid w:val="008C2CF9"/>
    <w:rsid w:val="008C379C"/>
    <w:rsid w:val="008C3ABC"/>
    <w:rsid w:val="008C4523"/>
    <w:rsid w:val="008C4F03"/>
    <w:rsid w:val="008C55A2"/>
    <w:rsid w:val="008C586D"/>
    <w:rsid w:val="008C67D4"/>
    <w:rsid w:val="008C6822"/>
    <w:rsid w:val="008C70B4"/>
    <w:rsid w:val="008C75D3"/>
    <w:rsid w:val="008D00EC"/>
    <w:rsid w:val="008D09BD"/>
    <w:rsid w:val="008D0E61"/>
    <w:rsid w:val="008D174F"/>
    <w:rsid w:val="008D1AEA"/>
    <w:rsid w:val="008D34BA"/>
    <w:rsid w:val="008D34E4"/>
    <w:rsid w:val="008D4E3F"/>
    <w:rsid w:val="008D5643"/>
    <w:rsid w:val="008D5BEA"/>
    <w:rsid w:val="008D65C0"/>
    <w:rsid w:val="008D6E2C"/>
    <w:rsid w:val="008E012C"/>
    <w:rsid w:val="008E098F"/>
    <w:rsid w:val="008E150B"/>
    <w:rsid w:val="008E2580"/>
    <w:rsid w:val="008E2D4D"/>
    <w:rsid w:val="008E4538"/>
    <w:rsid w:val="008F1606"/>
    <w:rsid w:val="008F263D"/>
    <w:rsid w:val="008F2A19"/>
    <w:rsid w:val="008F2CC6"/>
    <w:rsid w:val="008F3655"/>
    <w:rsid w:val="008F540C"/>
    <w:rsid w:val="008F553E"/>
    <w:rsid w:val="008F5FC3"/>
    <w:rsid w:val="008F61BA"/>
    <w:rsid w:val="008F61C8"/>
    <w:rsid w:val="00900010"/>
    <w:rsid w:val="009008D7"/>
    <w:rsid w:val="00901171"/>
    <w:rsid w:val="00903354"/>
    <w:rsid w:val="00903AC4"/>
    <w:rsid w:val="009045AF"/>
    <w:rsid w:val="0090490C"/>
    <w:rsid w:val="00904EEF"/>
    <w:rsid w:val="009059C2"/>
    <w:rsid w:val="00905E27"/>
    <w:rsid w:val="009074FF"/>
    <w:rsid w:val="00907ABF"/>
    <w:rsid w:val="009119F0"/>
    <w:rsid w:val="00912747"/>
    <w:rsid w:val="009131C8"/>
    <w:rsid w:val="0091377F"/>
    <w:rsid w:val="009147DA"/>
    <w:rsid w:val="0091543E"/>
    <w:rsid w:val="00917D4D"/>
    <w:rsid w:val="0092090C"/>
    <w:rsid w:val="00920E8A"/>
    <w:rsid w:val="00921E26"/>
    <w:rsid w:val="00922272"/>
    <w:rsid w:val="00923C76"/>
    <w:rsid w:val="00924190"/>
    <w:rsid w:val="00924FB9"/>
    <w:rsid w:val="00925158"/>
    <w:rsid w:val="009251E3"/>
    <w:rsid w:val="009262A1"/>
    <w:rsid w:val="009264A8"/>
    <w:rsid w:val="00926E56"/>
    <w:rsid w:val="009274C3"/>
    <w:rsid w:val="0093023B"/>
    <w:rsid w:val="00930F84"/>
    <w:rsid w:val="00932A34"/>
    <w:rsid w:val="0093330B"/>
    <w:rsid w:val="00933532"/>
    <w:rsid w:val="0093360F"/>
    <w:rsid w:val="009336BD"/>
    <w:rsid w:val="00934DAB"/>
    <w:rsid w:val="009351F8"/>
    <w:rsid w:val="009354AA"/>
    <w:rsid w:val="00935719"/>
    <w:rsid w:val="009364CE"/>
    <w:rsid w:val="009366D7"/>
    <w:rsid w:val="00936C0A"/>
    <w:rsid w:val="00937095"/>
    <w:rsid w:val="00937390"/>
    <w:rsid w:val="00937719"/>
    <w:rsid w:val="00937976"/>
    <w:rsid w:val="00937B12"/>
    <w:rsid w:val="00940062"/>
    <w:rsid w:val="00940898"/>
    <w:rsid w:val="0094142D"/>
    <w:rsid w:val="00942D03"/>
    <w:rsid w:val="009437D0"/>
    <w:rsid w:val="00943C6A"/>
    <w:rsid w:val="00944BFB"/>
    <w:rsid w:val="00944EF2"/>
    <w:rsid w:val="00947B31"/>
    <w:rsid w:val="00951BD3"/>
    <w:rsid w:val="00951F60"/>
    <w:rsid w:val="00953481"/>
    <w:rsid w:val="0095519B"/>
    <w:rsid w:val="009551E2"/>
    <w:rsid w:val="0095731F"/>
    <w:rsid w:val="00957505"/>
    <w:rsid w:val="00957D91"/>
    <w:rsid w:val="00961DC8"/>
    <w:rsid w:val="00963FCE"/>
    <w:rsid w:val="009643E6"/>
    <w:rsid w:val="00964AB4"/>
    <w:rsid w:val="00966C36"/>
    <w:rsid w:val="00967FBA"/>
    <w:rsid w:val="00972043"/>
    <w:rsid w:val="00973430"/>
    <w:rsid w:val="0097345C"/>
    <w:rsid w:val="00974669"/>
    <w:rsid w:val="00976CA1"/>
    <w:rsid w:val="00976E94"/>
    <w:rsid w:val="009809B0"/>
    <w:rsid w:val="00980BF7"/>
    <w:rsid w:val="009811B9"/>
    <w:rsid w:val="00981A03"/>
    <w:rsid w:val="00983514"/>
    <w:rsid w:val="0098479C"/>
    <w:rsid w:val="00985DAB"/>
    <w:rsid w:val="0098641C"/>
    <w:rsid w:val="00986D4C"/>
    <w:rsid w:val="009873AE"/>
    <w:rsid w:val="00987FF5"/>
    <w:rsid w:val="00990388"/>
    <w:rsid w:val="0099206F"/>
    <w:rsid w:val="00992C54"/>
    <w:rsid w:val="0099327E"/>
    <w:rsid w:val="00993FAE"/>
    <w:rsid w:val="00994A37"/>
    <w:rsid w:val="0099522A"/>
    <w:rsid w:val="00995C44"/>
    <w:rsid w:val="00996E18"/>
    <w:rsid w:val="00996E21"/>
    <w:rsid w:val="00997D5E"/>
    <w:rsid w:val="009A1E2E"/>
    <w:rsid w:val="009A41D2"/>
    <w:rsid w:val="009A4F97"/>
    <w:rsid w:val="009A4FEE"/>
    <w:rsid w:val="009A5802"/>
    <w:rsid w:val="009A5AF8"/>
    <w:rsid w:val="009A5EAA"/>
    <w:rsid w:val="009A7581"/>
    <w:rsid w:val="009A7D34"/>
    <w:rsid w:val="009B18AE"/>
    <w:rsid w:val="009B24DA"/>
    <w:rsid w:val="009B251D"/>
    <w:rsid w:val="009B310A"/>
    <w:rsid w:val="009B3557"/>
    <w:rsid w:val="009B4AA0"/>
    <w:rsid w:val="009B503B"/>
    <w:rsid w:val="009B51C4"/>
    <w:rsid w:val="009B53FC"/>
    <w:rsid w:val="009B6125"/>
    <w:rsid w:val="009B63B3"/>
    <w:rsid w:val="009B66F8"/>
    <w:rsid w:val="009B6999"/>
    <w:rsid w:val="009C05E9"/>
    <w:rsid w:val="009C0A0F"/>
    <w:rsid w:val="009C1576"/>
    <w:rsid w:val="009C18E1"/>
    <w:rsid w:val="009C2ACF"/>
    <w:rsid w:val="009C2E5F"/>
    <w:rsid w:val="009C33C8"/>
    <w:rsid w:val="009C36C3"/>
    <w:rsid w:val="009C4526"/>
    <w:rsid w:val="009C455D"/>
    <w:rsid w:val="009C52DE"/>
    <w:rsid w:val="009C5C71"/>
    <w:rsid w:val="009C6E34"/>
    <w:rsid w:val="009D13DD"/>
    <w:rsid w:val="009D1676"/>
    <w:rsid w:val="009D1E1B"/>
    <w:rsid w:val="009D28FF"/>
    <w:rsid w:val="009D2B67"/>
    <w:rsid w:val="009D309B"/>
    <w:rsid w:val="009D3A12"/>
    <w:rsid w:val="009D5C02"/>
    <w:rsid w:val="009D5F66"/>
    <w:rsid w:val="009D6564"/>
    <w:rsid w:val="009D688E"/>
    <w:rsid w:val="009E0024"/>
    <w:rsid w:val="009E019A"/>
    <w:rsid w:val="009E0D2D"/>
    <w:rsid w:val="009E0EB8"/>
    <w:rsid w:val="009E0FC8"/>
    <w:rsid w:val="009E1398"/>
    <w:rsid w:val="009E19EA"/>
    <w:rsid w:val="009E2666"/>
    <w:rsid w:val="009E2C35"/>
    <w:rsid w:val="009E2CE6"/>
    <w:rsid w:val="009E35B9"/>
    <w:rsid w:val="009E3EBA"/>
    <w:rsid w:val="009E4391"/>
    <w:rsid w:val="009E439D"/>
    <w:rsid w:val="009E5564"/>
    <w:rsid w:val="009E5593"/>
    <w:rsid w:val="009E59E2"/>
    <w:rsid w:val="009E6876"/>
    <w:rsid w:val="009E7E46"/>
    <w:rsid w:val="009F08A5"/>
    <w:rsid w:val="009F0FEF"/>
    <w:rsid w:val="009F184F"/>
    <w:rsid w:val="009F3C8D"/>
    <w:rsid w:val="009F3D85"/>
    <w:rsid w:val="009F6B22"/>
    <w:rsid w:val="009F727C"/>
    <w:rsid w:val="009F7456"/>
    <w:rsid w:val="00A02064"/>
    <w:rsid w:val="00A02872"/>
    <w:rsid w:val="00A04076"/>
    <w:rsid w:val="00A04BF3"/>
    <w:rsid w:val="00A05747"/>
    <w:rsid w:val="00A06891"/>
    <w:rsid w:val="00A06D03"/>
    <w:rsid w:val="00A07590"/>
    <w:rsid w:val="00A10010"/>
    <w:rsid w:val="00A10729"/>
    <w:rsid w:val="00A10C19"/>
    <w:rsid w:val="00A10CA4"/>
    <w:rsid w:val="00A13615"/>
    <w:rsid w:val="00A13800"/>
    <w:rsid w:val="00A14199"/>
    <w:rsid w:val="00A14A1B"/>
    <w:rsid w:val="00A16087"/>
    <w:rsid w:val="00A1711C"/>
    <w:rsid w:val="00A17C16"/>
    <w:rsid w:val="00A2047C"/>
    <w:rsid w:val="00A206D8"/>
    <w:rsid w:val="00A22702"/>
    <w:rsid w:val="00A22840"/>
    <w:rsid w:val="00A23441"/>
    <w:rsid w:val="00A25115"/>
    <w:rsid w:val="00A25C12"/>
    <w:rsid w:val="00A26522"/>
    <w:rsid w:val="00A30AB3"/>
    <w:rsid w:val="00A320A8"/>
    <w:rsid w:val="00A32651"/>
    <w:rsid w:val="00A33A0A"/>
    <w:rsid w:val="00A33F73"/>
    <w:rsid w:val="00A345D0"/>
    <w:rsid w:val="00A34B69"/>
    <w:rsid w:val="00A35265"/>
    <w:rsid w:val="00A37122"/>
    <w:rsid w:val="00A37D18"/>
    <w:rsid w:val="00A404C6"/>
    <w:rsid w:val="00A41743"/>
    <w:rsid w:val="00A44B0E"/>
    <w:rsid w:val="00A44BC3"/>
    <w:rsid w:val="00A44E49"/>
    <w:rsid w:val="00A44F97"/>
    <w:rsid w:val="00A459C8"/>
    <w:rsid w:val="00A45B4C"/>
    <w:rsid w:val="00A45D8D"/>
    <w:rsid w:val="00A45F4B"/>
    <w:rsid w:val="00A462DC"/>
    <w:rsid w:val="00A46AA1"/>
    <w:rsid w:val="00A50076"/>
    <w:rsid w:val="00A52673"/>
    <w:rsid w:val="00A52DC6"/>
    <w:rsid w:val="00A53F5D"/>
    <w:rsid w:val="00A555CA"/>
    <w:rsid w:val="00A55A82"/>
    <w:rsid w:val="00A57077"/>
    <w:rsid w:val="00A600EC"/>
    <w:rsid w:val="00A6022F"/>
    <w:rsid w:val="00A60628"/>
    <w:rsid w:val="00A60C72"/>
    <w:rsid w:val="00A619EB"/>
    <w:rsid w:val="00A62D26"/>
    <w:rsid w:val="00A63D1D"/>
    <w:rsid w:val="00A646CD"/>
    <w:rsid w:val="00A64748"/>
    <w:rsid w:val="00A64AE7"/>
    <w:rsid w:val="00A65B73"/>
    <w:rsid w:val="00A66AD4"/>
    <w:rsid w:val="00A674FC"/>
    <w:rsid w:val="00A70C5B"/>
    <w:rsid w:val="00A71A8E"/>
    <w:rsid w:val="00A73863"/>
    <w:rsid w:val="00A73B23"/>
    <w:rsid w:val="00A75831"/>
    <w:rsid w:val="00A75F06"/>
    <w:rsid w:val="00A801E7"/>
    <w:rsid w:val="00A80674"/>
    <w:rsid w:val="00A80748"/>
    <w:rsid w:val="00A80E4E"/>
    <w:rsid w:val="00A82510"/>
    <w:rsid w:val="00A825F8"/>
    <w:rsid w:val="00A8270C"/>
    <w:rsid w:val="00A82F7E"/>
    <w:rsid w:val="00A83D4B"/>
    <w:rsid w:val="00A840AE"/>
    <w:rsid w:val="00A8421D"/>
    <w:rsid w:val="00A84A07"/>
    <w:rsid w:val="00A85AFC"/>
    <w:rsid w:val="00A85D7D"/>
    <w:rsid w:val="00A90380"/>
    <w:rsid w:val="00A909E5"/>
    <w:rsid w:val="00A92BBC"/>
    <w:rsid w:val="00A9337B"/>
    <w:rsid w:val="00A939E8"/>
    <w:rsid w:val="00A93EC0"/>
    <w:rsid w:val="00A9418A"/>
    <w:rsid w:val="00A94A48"/>
    <w:rsid w:val="00A95D97"/>
    <w:rsid w:val="00A96797"/>
    <w:rsid w:val="00A97A77"/>
    <w:rsid w:val="00AA21BB"/>
    <w:rsid w:val="00AA2412"/>
    <w:rsid w:val="00AA3AA3"/>
    <w:rsid w:val="00AA5DF1"/>
    <w:rsid w:val="00AA5FBD"/>
    <w:rsid w:val="00AA6151"/>
    <w:rsid w:val="00AA6586"/>
    <w:rsid w:val="00AA6A4F"/>
    <w:rsid w:val="00AA70E2"/>
    <w:rsid w:val="00AB00B8"/>
    <w:rsid w:val="00AB02D0"/>
    <w:rsid w:val="00AB1819"/>
    <w:rsid w:val="00AB1AD0"/>
    <w:rsid w:val="00AB2DFE"/>
    <w:rsid w:val="00AB3514"/>
    <w:rsid w:val="00AB42DC"/>
    <w:rsid w:val="00AB45CE"/>
    <w:rsid w:val="00AB526A"/>
    <w:rsid w:val="00AB7AC5"/>
    <w:rsid w:val="00AC2D2D"/>
    <w:rsid w:val="00AC5F42"/>
    <w:rsid w:val="00AC7040"/>
    <w:rsid w:val="00AC7A44"/>
    <w:rsid w:val="00AD0598"/>
    <w:rsid w:val="00AD19AB"/>
    <w:rsid w:val="00AD226A"/>
    <w:rsid w:val="00AD30D1"/>
    <w:rsid w:val="00AD4A58"/>
    <w:rsid w:val="00AD5714"/>
    <w:rsid w:val="00AD5ADF"/>
    <w:rsid w:val="00AD5B47"/>
    <w:rsid w:val="00AD5DCC"/>
    <w:rsid w:val="00AD60C5"/>
    <w:rsid w:val="00AD64A8"/>
    <w:rsid w:val="00AD6D07"/>
    <w:rsid w:val="00AD75BC"/>
    <w:rsid w:val="00AE10A7"/>
    <w:rsid w:val="00AE1C82"/>
    <w:rsid w:val="00AE2461"/>
    <w:rsid w:val="00AE27D5"/>
    <w:rsid w:val="00AE290D"/>
    <w:rsid w:val="00AE3541"/>
    <w:rsid w:val="00AE5A1B"/>
    <w:rsid w:val="00AF1B17"/>
    <w:rsid w:val="00AF2FCE"/>
    <w:rsid w:val="00AF3355"/>
    <w:rsid w:val="00AF4D16"/>
    <w:rsid w:val="00AF5B9A"/>
    <w:rsid w:val="00AF5D4C"/>
    <w:rsid w:val="00AF66A4"/>
    <w:rsid w:val="00AF731A"/>
    <w:rsid w:val="00B00246"/>
    <w:rsid w:val="00B00AFF"/>
    <w:rsid w:val="00B011FF"/>
    <w:rsid w:val="00B01AA8"/>
    <w:rsid w:val="00B021C3"/>
    <w:rsid w:val="00B03013"/>
    <w:rsid w:val="00B03444"/>
    <w:rsid w:val="00B0657B"/>
    <w:rsid w:val="00B066EA"/>
    <w:rsid w:val="00B06959"/>
    <w:rsid w:val="00B06B71"/>
    <w:rsid w:val="00B104A9"/>
    <w:rsid w:val="00B10E38"/>
    <w:rsid w:val="00B1111B"/>
    <w:rsid w:val="00B114A5"/>
    <w:rsid w:val="00B1229A"/>
    <w:rsid w:val="00B13735"/>
    <w:rsid w:val="00B13B9B"/>
    <w:rsid w:val="00B148B9"/>
    <w:rsid w:val="00B1703A"/>
    <w:rsid w:val="00B20F60"/>
    <w:rsid w:val="00B2263B"/>
    <w:rsid w:val="00B229EC"/>
    <w:rsid w:val="00B23445"/>
    <w:rsid w:val="00B23674"/>
    <w:rsid w:val="00B255F8"/>
    <w:rsid w:val="00B25F9A"/>
    <w:rsid w:val="00B26E17"/>
    <w:rsid w:val="00B274A0"/>
    <w:rsid w:val="00B302F6"/>
    <w:rsid w:val="00B30B9E"/>
    <w:rsid w:val="00B313CA"/>
    <w:rsid w:val="00B32E51"/>
    <w:rsid w:val="00B339C3"/>
    <w:rsid w:val="00B35135"/>
    <w:rsid w:val="00B35F2D"/>
    <w:rsid w:val="00B36848"/>
    <w:rsid w:val="00B42022"/>
    <w:rsid w:val="00B42B09"/>
    <w:rsid w:val="00B42B8A"/>
    <w:rsid w:val="00B43749"/>
    <w:rsid w:val="00B4389C"/>
    <w:rsid w:val="00B44AA2"/>
    <w:rsid w:val="00B44C7D"/>
    <w:rsid w:val="00B455DC"/>
    <w:rsid w:val="00B4725B"/>
    <w:rsid w:val="00B50236"/>
    <w:rsid w:val="00B514E8"/>
    <w:rsid w:val="00B5162C"/>
    <w:rsid w:val="00B51D61"/>
    <w:rsid w:val="00B54ECC"/>
    <w:rsid w:val="00B550CB"/>
    <w:rsid w:val="00B5526F"/>
    <w:rsid w:val="00B556F3"/>
    <w:rsid w:val="00B55E15"/>
    <w:rsid w:val="00B60050"/>
    <w:rsid w:val="00B600D5"/>
    <w:rsid w:val="00B60349"/>
    <w:rsid w:val="00B60EFD"/>
    <w:rsid w:val="00B611A6"/>
    <w:rsid w:val="00B633DD"/>
    <w:rsid w:val="00B63545"/>
    <w:rsid w:val="00B6395E"/>
    <w:rsid w:val="00B63CFA"/>
    <w:rsid w:val="00B64BD7"/>
    <w:rsid w:val="00B66559"/>
    <w:rsid w:val="00B6760A"/>
    <w:rsid w:val="00B71F9C"/>
    <w:rsid w:val="00B73175"/>
    <w:rsid w:val="00B73186"/>
    <w:rsid w:val="00B74579"/>
    <w:rsid w:val="00B74829"/>
    <w:rsid w:val="00B7494F"/>
    <w:rsid w:val="00B759F4"/>
    <w:rsid w:val="00B75E98"/>
    <w:rsid w:val="00B81F42"/>
    <w:rsid w:val="00B83E23"/>
    <w:rsid w:val="00B8424F"/>
    <w:rsid w:val="00B85CAA"/>
    <w:rsid w:val="00B86157"/>
    <w:rsid w:val="00B86DF2"/>
    <w:rsid w:val="00B91634"/>
    <w:rsid w:val="00B92646"/>
    <w:rsid w:val="00B93530"/>
    <w:rsid w:val="00B93B2F"/>
    <w:rsid w:val="00B94A6F"/>
    <w:rsid w:val="00B94AEE"/>
    <w:rsid w:val="00B94CD3"/>
    <w:rsid w:val="00B94FFF"/>
    <w:rsid w:val="00B9510E"/>
    <w:rsid w:val="00B95452"/>
    <w:rsid w:val="00B96678"/>
    <w:rsid w:val="00BA1921"/>
    <w:rsid w:val="00BA374F"/>
    <w:rsid w:val="00BA378C"/>
    <w:rsid w:val="00BA5F1A"/>
    <w:rsid w:val="00BA61B7"/>
    <w:rsid w:val="00BA6BBA"/>
    <w:rsid w:val="00BA7EA7"/>
    <w:rsid w:val="00BB02BE"/>
    <w:rsid w:val="00BB053D"/>
    <w:rsid w:val="00BB2227"/>
    <w:rsid w:val="00BB26F8"/>
    <w:rsid w:val="00BB51B5"/>
    <w:rsid w:val="00BB5302"/>
    <w:rsid w:val="00BB69BD"/>
    <w:rsid w:val="00BB6A6B"/>
    <w:rsid w:val="00BB73FA"/>
    <w:rsid w:val="00BB7635"/>
    <w:rsid w:val="00BB7A3F"/>
    <w:rsid w:val="00BB7D46"/>
    <w:rsid w:val="00BC1241"/>
    <w:rsid w:val="00BC2607"/>
    <w:rsid w:val="00BC2DFC"/>
    <w:rsid w:val="00BC33C9"/>
    <w:rsid w:val="00BC371B"/>
    <w:rsid w:val="00BC45A8"/>
    <w:rsid w:val="00BC5A52"/>
    <w:rsid w:val="00BC5FC4"/>
    <w:rsid w:val="00BC7811"/>
    <w:rsid w:val="00BC7C18"/>
    <w:rsid w:val="00BD089E"/>
    <w:rsid w:val="00BD1A94"/>
    <w:rsid w:val="00BD1AB0"/>
    <w:rsid w:val="00BD30F2"/>
    <w:rsid w:val="00BD31F5"/>
    <w:rsid w:val="00BD3848"/>
    <w:rsid w:val="00BD4B99"/>
    <w:rsid w:val="00BD5174"/>
    <w:rsid w:val="00BD5DC4"/>
    <w:rsid w:val="00BD5E59"/>
    <w:rsid w:val="00BD762D"/>
    <w:rsid w:val="00BE0F24"/>
    <w:rsid w:val="00BE23B3"/>
    <w:rsid w:val="00BE3372"/>
    <w:rsid w:val="00BE35DF"/>
    <w:rsid w:val="00BE4951"/>
    <w:rsid w:val="00BE49F8"/>
    <w:rsid w:val="00BE655F"/>
    <w:rsid w:val="00BE6ACE"/>
    <w:rsid w:val="00BE6E52"/>
    <w:rsid w:val="00BE7072"/>
    <w:rsid w:val="00BE724A"/>
    <w:rsid w:val="00BE7AC8"/>
    <w:rsid w:val="00BF06CB"/>
    <w:rsid w:val="00BF136A"/>
    <w:rsid w:val="00BF18EC"/>
    <w:rsid w:val="00BF1B14"/>
    <w:rsid w:val="00BF1B5C"/>
    <w:rsid w:val="00BF3401"/>
    <w:rsid w:val="00BF3D3C"/>
    <w:rsid w:val="00BF47D3"/>
    <w:rsid w:val="00BF6320"/>
    <w:rsid w:val="00BF684D"/>
    <w:rsid w:val="00BF71AD"/>
    <w:rsid w:val="00BF761C"/>
    <w:rsid w:val="00BF7898"/>
    <w:rsid w:val="00C01581"/>
    <w:rsid w:val="00C01730"/>
    <w:rsid w:val="00C0275E"/>
    <w:rsid w:val="00C02C4D"/>
    <w:rsid w:val="00C03042"/>
    <w:rsid w:val="00C037A2"/>
    <w:rsid w:val="00C06EB6"/>
    <w:rsid w:val="00C073AE"/>
    <w:rsid w:val="00C100E4"/>
    <w:rsid w:val="00C101C0"/>
    <w:rsid w:val="00C10247"/>
    <w:rsid w:val="00C10263"/>
    <w:rsid w:val="00C10C50"/>
    <w:rsid w:val="00C12241"/>
    <w:rsid w:val="00C12C1D"/>
    <w:rsid w:val="00C13DF0"/>
    <w:rsid w:val="00C14599"/>
    <w:rsid w:val="00C152FF"/>
    <w:rsid w:val="00C157DC"/>
    <w:rsid w:val="00C1596F"/>
    <w:rsid w:val="00C17014"/>
    <w:rsid w:val="00C20873"/>
    <w:rsid w:val="00C20FA4"/>
    <w:rsid w:val="00C21858"/>
    <w:rsid w:val="00C2287B"/>
    <w:rsid w:val="00C23544"/>
    <w:rsid w:val="00C23968"/>
    <w:rsid w:val="00C23DE7"/>
    <w:rsid w:val="00C2446E"/>
    <w:rsid w:val="00C24784"/>
    <w:rsid w:val="00C248C3"/>
    <w:rsid w:val="00C256AC"/>
    <w:rsid w:val="00C27BAD"/>
    <w:rsid w:val="00C309B2"/>
    <w:rsid w:val="00C31BFA"/>
    <w:rsid w:val="00C330EB"/>
    <w:rsid w:val="00C3358D"/>
    <w:rsid w:val="00C3358F"/>
    <w:rsid w:val="00C347FE"/>
    <w:rsid w:val="00C35474"/>
    <w:rsid w:val="00C357A9"/>
    <w:rsid w:val="00C35A0D"/>
    <w:rsid w:val="00C364D9"/>
    <w:rsid w:val="00C36860"/>
    <w:rsid w:val="00C36A46"/>
    <w:rsid w:val="00C36E1F"/>
    <w:rsid w:val="00C40A2C"/>
    <w:rsid w:val="00C40A2E"/>
    <w:rsid w:val="00C4101A"/>
    <w:rsid w:val="00C4102E"/>
    <w:rsid w:val="00C41045"/>
    <w:rsid w:val="00C41E78"/>
    <w:rsid w:val="00C42422"/>
    <w:rsid w:val="00C4297B"/>
    <w:rsid w:val="00C42FD8"/>
    <w:rsid w:val="00C43BE1"/>
    <w:rsid w:val="00C4440A"/>
    <w:rsid w:val="00C447F9"/>
    <w:rsid w:val="00C4597A"/>
    <w:rsid w:val="00C47454"/>
    <w:rsid w:val="00C47924"/>
    <w:rsid w:val="00C513FE"/>
    <w:rsid w:val="00C5160C"/>
    <w:rsid w:val="00C51EAD"/>
    <w:rsid w:val="00C5261C"/>
    <w:rsid w:val="00C5384A"/>
    <w:rsid w:val="00C56B98"/>
    <w:rsid w:val="00C56F88"/>
    <w:rsid w:val="00C576ED"/>
    <w:rsid w:val="00C57BEF"/>
    <w:rsid w:val="00C611FC"/>
    <w:rsid w:val="00C61412"/>
    <w:rsid w:val="00C61CE5"/>
    <w:rsid w:val="00C627D4"/>
    <w:rsid w:val="00C630B9"/>
    <w:rsid w:val="00C646C5"/>
    <w:rsid w:val="00C65296"/>
    <w:rsid w:val="00C65510"/>
    <w:rsid w:val="00C65CAD"/>
    <w:rsid w:val="00C65F99"/>
    <w:rsid w:val="00C70509"/>
    <w:rsid w:val="00C70804"/>
    <w:rsid w:val="00C726DF"/>
    <w:rsid w:val="00C730D8"/>
    <w:rsid w:val="00C7343D"/>
    <w:rsid w:val="00C73498"/>
    <w:rsid w:val="00C7366E"/>
    <w:rsid w:val="00C74126"/>
    <w:rsid w:val="00C74D75"/>
    <w:rsid w:val="00C75CC6"/>
    <w:rsid w:val="00C76335"/>
    <w:rsid w:val="00C766AA"/>
    <w:rsid w:val="00C76887"/>
    <w:rsid w:val="00C8098E"/>
    <w:rsid w:val="00C81AD0"/>
    <w:rsid w:val="00C81D85"/>
    <w:rsid w:val="00C82690"/>
    <w:rsid w:val="00C838D5"/>
    <w:rsid w:val="00C85078"/>
    <w:rsid w:val="00C908DB"/>
    <w:rsid w:val="00C91764"/>
    <w:rsid w:val="00C92237"/>
    <w:rsid w:val="00C93094"/>
    <w:rsid w:val="00C93CD3"/>
    <w:rsid w:val="00C951D9"/>
    <w:rsid w:val="00C95218"/>
    <w:rsid w:val="00C95665"/>
    <w:rsid w:val="00C95B54"/>
    <w:rsid w:val="00C95BF3"/>
    <w:rsid w:val="00C95E9D"/>
    <w:rsid w:val="00C961CF"/>
    <w:rsid w:val="00C96305"/>
    <w:rsid w:val="00C97DCD"/>
    <w:rsid w:val="00CA1663"/>
    <w:rsid w:val="00CA1912"/>
    <w:rsid w:val="00CA1D25"/>
    <w:rsid w:val="00CA1EC3"/>
    <w:rsid w:val="00CA231E"/>
    <w:rsid w:val="00CA2402"/>
    <w:rsid w:val="00CA246A"/>
    <w:rsid w:val="00CA293D"/>
    <w:rsid w:val="00CA29AB"/>
    <w:rsid w:val="00CA2F66"/>
    <w:rsid w:val="00CA3A65"/>
    <w:rsid w:val="00CA3CB0"/>
    <w:rsid w:val="00CA3DA2"/>
    <w:rsid w:val="00CA51F4"/>
    <w:rsid w:val="00CA5285"/>
    <w:rsid w:val="00CA5425"/>
    <w:rsid w:val="00CA57BA"/>
    <w:rsid w:val="00CA6232"/>
    <w:rsid w:val="00CA6BEB"/>
    <w:rsid w:val="00CA6E7A"/>
    <w:rsid w:val="00CA7701"/>
    <w:rsid w:val="00CA7E4F"/>
    <w:rsid w:val="00CB0091"/>
    <w:rsid w:val="00CB0596"/>
    <w:rsid w:val="00CB07C5"/>
    <w:rsid w:val="00CB1B3B"/>
    <w:rsid w:val="00CB21AB"/>
    <w:rsid w:val="00CB2C6D"/>
    <w:rsid w:val="00CB3A23"/>
    <w:rsid w:val="00CB4201"/>
    <w:rsid w:val="00CB43CA"/>
    <w:rsid w:val="00CB4644"/>
    <w:rsid w:val="00CB4AA1"/>
    <w:rsid w:val="00CB5100"/>
    <w:rsid w:val="00CB701F"/>
    <w:rsid w:val="00CB7128"/>
    <w:rsid w:val="00CB7D88"/>
    <w:rsid w:val="00CB7FCD"/>
    <w:rsid w:val="00CC069F"/>
    <w:rsid w:val="00CC1ADA"/>
    <w:rsid w:val="00CC1ECB"/>
    <w:rsid w:val="00CC3099"/>
    <w:rsid w:val="00CC3BEC"/>
    <w:rsid w:val="00CC4F5C"/>
    <w:rsid w:val="00CC5422"/>
    <w:rsid w:val="00CC5C6D"/>
    <w:rsid w:val="00CC72F7"/>
    <w:rsid w:val="00CD0B0A"/>
    <w:rsid w:val="00CD0D10"/>
    <w:rsid w:val="00CD1239"/>
    <w:rsid w:val="00CD1710"/>
    <w:rsid w:val="00CD19F7"/>
    <w:rsid w:val="00CD1FD7"/>
    <w:rsid w:val="00CD3118"/>
    <w:rsid w:val="00CD3E3A"/>
    <w:rsid w:val="00CD402D"/>
    <w:rsid w:val="00CD4057"/>
    <w:rsid w:val="00CD46D5"/>
    <w:rsid w:val="00CD55F0"/>
    <w:rsid w:val="00CD682D"/>
    <w:rsid w:val="00CD6EB7"/>
    <w:rsid w:val="00CD6F88"/>
    <w:rsid w:val="00CD7AB7"/>
    <w:rsid w:val="00CE04C7"/>
    <w:rsid w:val="00CE05C1"/>
    <w:rsid w:val="00CE1C35"/>
    <w:rsid w:val="00CE1E63"/>
    <w:rsid w:val="00CE202B"/>
    <w:rsid w:val="00CE30AD"/>
    <w:rsid w:val="00CE3205"/>
    <w:rsid w:val="00CE3BA6"/>
    <w:rsid w:val="00CE59EE"/>
    <w:rsid w:val="00CE5D7A"/>
    <w:rsid w:val="00CE5F7C"/>
    <w:rsid w:val="00CE753E"/>
    <w:rsid w:val="00CE7B90"/>
    <w:rsid w:val="00CF000D"/>
    <w:rsid w:val="00CF1B82"/>
    <w:rsid w:val="00CF23A8"/>
    <w:rsid w:val="00CF2405"/>
    <w:rsid w:val="00CF4AD9"/>
    <w:rsid w:val="00CF4BD8"/>
    <w:rsid w:val="00CF4DA2"/>
    <w:rsid w:val="00CF6457"/>
    <w:rsid w:val="00CF7BE8"/>
    <w:rsid w:val="00CF7D62"/>
    <w:rsid w:val="00CF7FB7"/>
    <w:rsid w:val="00D02084"/>
    <w:rsid w:val="00D020A5"/>
    <w:rsid w:val="00D03D2D"/>
    <w:rsid w:val="00D05219"/>
    <w:rsid w:val="00D0523E"/>
    <w:rsid w:val="00D05BC2"/>
    <w:rsid w:val="00D066C5"/>
    <w:rsid w:val="00D06A44"/>
    <w:rsid w:val="00D06ACF"/>
    <w:rsid w:val="00D06B34"/>
    <w:rsid w:val="00D06BB8"/>
    <w:rsid w:val="00D07489"/>
    <w:rsid w:val="00D07D49"/>
    <w:rsid w:val="00D10387"/>
    <w:rsid w:val="00D1045E"/>
    <w:rsid w:val="00D10A0F"/>
    <w:rsid w:val="00D10A2B"/>
    <w:rsid w:val="00D10B03"/>
    <w:rsid w:val="00D11D87"/>
    <w:rsid w:val="00D1275E"/>
    <w:rsid w:val="00D12866"/>
    <w:rsid w:val="00D1586A"/>
    <w:rsid w:val="00D1586F"/>
    <w:rsid w:val="00D15B91"/>
    <w:rsid w:val="00D20848"/>
    <w:rsid w:val="00D20A60"/>
    <w:rsid w:val="00D21089"/>
    <w:rsid w:val="00D21C87"/>
    <w:rsid w:val="00D23FA0"/>
    <w:rsid w:val="00D243E6"/>
    <w:rsid w:val="00D250E9"/>
    <w:rsid w:val="00D27EBD"/>
    <w:rsid w:val="00D306A6"/>
    <w:rsid w:val="00D318B1"/>
    <w:rsid w:val="00D31D21"/>
    <w:rsid w:val="00D323AA"/>
    <w:rsid w:val="00D334E1"/>
    <w:rsid w:val="00D3485A"/>
    <w:rsid w:val="00D34D42"/>
    <w:rsid w:val="00D351C9"/>
    <w:rsid w:val="00D3521F"/>
    <w:rsid w:val="00D360BF"/>
    <w:rsid w:val="00D36C09"/>
    <w:rsid w:val="00D42024"/>
    <w:rsid w:val="00D43189"/>
    <w:rsid w:val="00D44C30"/>
    <w:rsid w:val="00D45005"/>
    <w:rsid w:val="00D45027"/>
    <w:rsid w:val="00D457B1"/>
    <w:rsid w:val="00D460F4"/>
    <w:rsid w:val="00D478E6"/>
    <w:rsid w:val="00D504C1"/>
    <w:rsid w:val="00D50587"/>
    <w:rsid w:val="00D509C5"/>
    <w:rsid w:val="00D50E7F"/>
    <w:rsid w:val="00D50FDC"/>
    <w:rsid w:val="00D51630"/>
    <w:rsid w:val="00D51A63"/>
    <w:rsid w:val="00D51CF4"/>
    <w:rsid w:val="00D53703"/>
    <w:rsid w:val="00D54CB6"/>
    <w:rsid w:val="00D56555"/>
    <w:rsid w:val="00D57078"/>
    <w:rsid w:val="00D574C6"/>
    <w:rsid w:val="00D57C6A"/>
    <w:rsid w:val="00D61022"/>
    <w:rsid w:val="00D61C40"/>
    <w:rsid w:val="00D61CFF"/>
    <w:rsid w:val="00D61F96"/>
    <w:rsid w:val="00D65016"/>
    <w:rsid w:val="00D650E3"/>
    <w:rsid w:val="00D654B3"/>
    <w:rsid w:val="00D6562F"/>
    <w:rsid w:val="00D657E4"/>
    <w:rsid w:val="00D657FD"/>
    <w:rsid w:val="00D65C83"/>
    <w:rsid w:val="00D679E7"/>
    <w:rsid w:val="00D70F31"/>
    <w:rsid w:val="00D7296A"/>
    <w:rsid w:val="00D734E1"/>
    <w:rsid w:val="00D743EC"/>
    <w:rsid w:val="00D74A07"/>
    <w:rsid w:val="00D750A6"/>
    <w:rsid w:val="00D750EF"/>
    <w:rsid w:val="00D75399"/>
    <w:rsid w:val="00D761B6"/>
    <w:rsid w:val="00D76928"/>
    <w:rsid w:val="00D7742D"/>
    <w:rsid w:val="00D8021F"/>
    <w:rsid w:val="00D81F3A"/>
    <w:rsid w:val="00D8225A"/>
    <w:rsid w:val="00D83994"/>
    <w:rsid w:val="00D84317"/>
    <w:rsid w:val="00D8467A"/>
    <w:rsid w:val="00D85673"/>
    <w:rsid w:val="00D909F1"/>
    <w:rsid w:val="00D92224"/>
    <w:rsid w:val="00D92766"/>
    <w:rsid w:val="00D92B14"/>
    <w:rsid w:val="00D92C55"/>
    <w:rsid w:val="00D93EE2"/>
    <w:rsid w:val="00D94038"/>
    <w:rsid w:val="00D9451B"/>
    <w:rsid w:val="00D9463E"/>
    <w:rsid w:val="00D94AC6"/>
    <w:rsid w:val="00D94BED"/>
    <w:rsid w:val="00D9556F"/>
    <w:rsid w:val="00D96FCD"/>
    <w:rsid w:val="00D974B3"/>
    <w:rsid w:val="00DA0033"/>
    <w:rsid w:val="00DA037F"/>
    <w:rsid w:val="00DA040D"/>
    <w:rsid w:val="00DA0E43"/>
    <w:rsid w:val="00DA1158"/>
    <w:rsid w:val="00DA166E"/>
    <w:rsid w:val="00DA1DC2"/>
    <w:rsid w:val="00DA262D"/>
    <w:rsid w:val="00DA27C8"/>
    <w:rsid w:val="00DA2BA7"/>
    <w:rsid w:val="00DA3231"/>
    <w:rsid w:val="00DA4613"/>
    <w:rsid w:val="00DA5976"/>
    <w:rsid w:val="00DA6C1B"/>
    <w:rsid w:val="00DB0014"/>
    <w:rsid w:val="00DB0A56"/>
    <w:rsid w:val="00DB12A8"/>
    <w:rsid w:val="00DB12CC"/>
    <w:rsid w:val="00DB3083"/>
    <w:rsid w:val="00DB3483"/>
    <w:rsid w:val="00DB4CE5"/>
    <w:rsid w:val="00DB4E7E"/>
    <w:rsid w:val="00DB534A"/>
    <w:rsid w:val="00DB65D8"/>
    <w:rsid w:val="00DB6B51"/>
    <w:rsid w:val="00DB7463"/>
    <w:rsid w:val="00DB75AF"/>
    <w:rsid w:val="00DB7DE4"/>
    <w:rsid w:val="00DB7F4F"/>
    <w:rsid w:val="00DC0400"/>
    <w:rsid w:val="00DC05DC"/>
    <w:rsid w:val="00DC0DD1"/>
    <w:rsid w:val="00DC1DC1"/>
    <w:rsid w:val="00DC259D"/>
    <w:rsid w:val="00DC3B18"/>
    <w:rsid w:val="00DC5A34"/>
    <w:rsid w:val="00DC73BC"/>
    <w:rsid w:val="00DD020B"/>
    <w:rsid w:val="00DD03FB"/>
    <w:rsid w:val="00DD08FA"/>
    <w:rsid w:val="00DD0C39"/>
    <w:rsid w:val="00DD19B5"/>
    <w:rsid w:val="00DD2547"/>
    <w:rsid w:val="00DD340B"/>
    <w:rsid w:val="00DD4262"/>
    <w:rsid w:val="00DD48AD"/>
    <w:rsid w:val="00DD4DEE"/>
    <w:rsid w:val="00DD524A"/>
    <w:rsid w:val="00DD6AFB"/>
    <w:rsid w:val="00DD6D26"/>
    <w:rsid w:val="00DD6EC1"/>
    <w:rsid w:val="00DE17FD"/>
    <w:rsid w:val="00DE284B"/>
    <w:rsid w:val="00DE2E45"/>
    <w:rsid w:val="00DE4327"/>
    <w:rsid w:val="00DE4781"/>
    <w:rsid w:val="00DE4867"/>
    <w:rsid w:val="00DE5DFB"/>
    <w:rsid w:val="00DE5F2B"/>
    <w:rsid w:val="00DE7162"/>
    <w:rsid w:val="00DF0404"/>
    <w:rsid w:val="00DF16B1"/>
    <w:rsid w:val="00DF2BF2"/>
    <w:rsid w:val="00DF2E03"/>
    <w:rsid w:val="00DF3453"/>
    <w:rsid w:val="00DF4B76"/>
    <w:rsid w:val="00E00BB8"/>
    <w:rsid w:val="00E00F8F"/>
    <w:rsid w:val="00E01373"/>
    <w:rsid w:val="00E0195E"/>
    <w:rsid w:val="00E02A42"/>
    <w:rsid w:val="00E033A5"/>
    <w:rsid w:val="00E03CB2"/>
    <w:rsid w:val="00E04DAC"/>
    <w:rsid w:val="00E059DA"/>
    <w:rsid w:val="00E06555"/>
    <w:rsid w:val="00E06F9B"/>
    <w:rsid w:val="00E10029"/>
    <w:rsid w:val="00E10AC8"/>
    <w:rsid w:val="00E1107A"/>
    <w:rsid w:val="00E116D1"/>
    <w:rsid w:val="00E13EF2"/>
    <w:rsid w:val="00E14483"/>
    <w:rsid w:val="00E1452F"/>
    <w:rsid w:val="00E14F4F"/>
    <w:rsid w:val="00E15A2B"/>
    <w:rsid w:val="00E16635"/>
    <w:rsid w:val="00E1764B"/>
    <w:rsid w:val="00E17987"/>
    <w:rsid w:val="00E209F0"/>
    <w:rsid w:val="00E23567"/>
    <w:rsid w:val="00E2369D"/>
    <w:rsid w:val="00E245CF"/>
    <w:rsid w:val="00E25653"/>
    <w:rsid w:val="00E278BE"/>
    <w:rsid w:val="00E27920"/>
    <w:rsid w:val="00E27BF2"/>
    <w:rsid w:val="00E30875"/>
    <w:rsid w:val="00E31CA5"/>
    <w:rsid w:val="00E31FE2"/>
    <w:rsid w:val="00E33604"/>
    <w:rsid w:val="00E34A54"/>
    <w:rsid w:val="00E35822"/>
    <w:rsid w:val="00E35BF7"/>
    <w:rsid w:val="00E35CBA"/>
    <w:rsid w:val="00E35D44"/>
    <w:rsid w:val="00E37237"/>
    <w:rsid w:val="00E378C4"/>
    <w:rsid w:val="00E401DA"/>
    <w:rsid w:val="00E403AA"/>
    <w:rsid w:val="00E410E4"/>
    <w:rsid w:val="00E4177B"/>
    <w:rsid w:val="00E42AF2"/>
    <w:rsid w:val="00E46422"/>
    <w:rsid w:val="00E47236"/>
    <w:rsid w:val="00E47244"/>
    <w:rsid w:val="00E500A1"/>
    <w:rsid w:val="00E502B9"/>
    <w:rsid w:val="00E50B8E"/>
    <w:rsid w:val="00E50EFA"/>
    <w:rsid w:val="00E512C1"/>
    <w:rsid w:val="00E513E8"/>
    <w:rsid w:val="00E5216E"/>
    <w:rsid w:val="00E536A9"/>
    <w:rsid w:val="00E55644"/>
    <w:rsid w:val="00E55B56"/>
    <w:rsid w:val="00E565AA"/>
    <w:rsid w:val="00E57D7C"/>
    <w:rsid w:val="00E60BF0"/>
    <w:rsid w:val="00E61031"/>
    <w:rsid w:val="00E61BFA"/>
    <w:rsid w:val="00E61ED7"/>
    <w:rsid w:val="00E62103"/>
    <w:rsid w:val="00E63625"/>
    <w:rsid w:val="00E63B78"/>
    <w:rsid w:val="00E645B5"/>
    <w:rsid w:val="00E64840"/>
    <w:rsid w:val="00E64A5C"/>
    <w:rsid w:val="00E65F90"/>
    <w:rsid w:val="00E66028"/>
    <w:rsid w:val="00E66BBA"/>
    <w:rsid w:val="00E67269"/>
    <w:rsid w:val="00E67698"/>
    <w:rsid w:val="00E70737"/>
    <w:rsid w:val="00E717C0"/>
    <w:rsid w:val="00E730A5"/>
    <w:rsid w:val="00E7392A"/>
    <w:rsid w:val="00E73BEA"/>
    <w:rsid w:val="00E74C32"/>
    <w:rsid w:val="00E7558E"/>
    <w:rsid w:val="00E75A30"/>
    <w:rsid w:val="00E76EAF"/>
    <w:rsid w:val="00E77332"/>
    <w:rsid w:val="00E7734F"/>
    <w:rsid w:val="00E77812"/>
    <w:rsid w:val="00E7797A"/>
    <w:rsid w:val="00E830B4"/>
    <w:rsid w:val="00E8394A"/>
    <w:rsid w:val="00E83C5D"/>
    <w:rsid w:val="00E843BF"/>
    <w:rsid w:val="00E845DF"/>
    <w:rsid w:val="00E8474C"/>
    <w:rsid w:val="00E84E9D"/>
    <w:rsid w:val="00E85354"/>
    <w:rsid w:val="00E8610B"/>
    <w:rsid w:val="00E8616E"/>
    <w:rsid w:val="00E8626C"/>
    <w:rsid w:val="00E86735"/>
    <w:rsid w:val="00E86BB6"/>
    <w:rsid w:val="00E87E2C"/>
    <w:rsid w:val="00E90FB5"/>
    <w:rsid w:val="00E9228B"/>
    <w:rsid w:val="00E922D3"/>
    <w:rsid w:val="00E926D6"/>
    <w:rsid w:val="00E92BF0"/>
    <w:rsid w:val="00E9473D"/>
    <w:rsid w:val="00E94992"/>
    <w:rsid w:val="00E94C8F"/>
    <w:rsid w:val="00E95671"/>
    <w:rsid w:val="00E9638C"/>
    <w:rsid w:val="00E96BA7"/>
    <w:rsid w:val="00E970CB"/>
    <w:rsid w:val="00E970DB"/>
    <w:rsid w:val="00E97605"/>
    <w:rsid w:val="00E97799"/>
    <w:rsid w:val="00EA1752"/>
    <w:rsid w:val="00EA1E01"/>
    <w:rsid w:val="00EA2773"/>
    <w:rsid w:val="00EA531E"/>
    <w:rsid w:val="00EA61D4"/>
    <w:rsid w:val="00EA78A2"/>
    <w:rsid w:val="00EA7A75"/>
    <w:rsid w:val="00EB1FA4"/>
    <w:rsid w:val="00EB30EF"/>
    <w:rsid w:val="00EB30F7"/>
    <w:rsid w:val="00EB361C"/>
    <w:rsid w:val="00EB477D"/>
    <w:rsid w:val="00EB4872"/>
    <w:rsid w:val="00EB4D45"/>
    <w:rsid w:val="00EB6B37"/>
    <w:rsid w:val="00EB77AE"/>
    <w:rsid w:val="00EC0248"/>
    <w:rsid w:val="00EC1092"/>
    <w:rsid w:val="00EC337F"/>
    <w:rsid w:val="00EC33FC"/>
    <w:rsid w:val="00EC3C7D"/>
    <w:rsid w:val="00EC5228"/>
    <w:rsid w:val="00EC76F5"/>
    <w:rsid w:val="00EC7F09"/>
    <w:rsid w:val="00ED00F4"/>
    <w:rsid w:val="00ED088D"/>
    <w:rsid w:val="00ED0A26"/>
    <w:rsid w:val="00ED17FA"/>
    <w:rsid w:val="00ED1C05"/>
    <w:rsid w:val="00ED4E2F"/>
    <w:rsid w:val="00ED5105"/>
    <w:rsid w:val="00ED54AC"/>
    <w:rsid w:val="00ED58F2"/>
    <w:rsid w:val="00ED621B"/>
    <w:rsid w:val="00ED66AF"/>
    <w:rsid w:val="00ED6AF6"/>
    <w:rsid w:val="00ED6B8D"/>
    <w:rsid w:val="00ED7301"/>
    <w:rsid w:val="00ED7A75"/>
    <w:rsid w:val="00EE0C1E"/>
    <w:rsid w:val="00EE1DA9"/>
    <w:rsid w:val="00EE203E"/>
    <w:rsid w:val="00EE2FF9"/>
    <w:rsid w:val="00EE3A95"/>
    <w:rsid w:val="00EE5A2C"/>
    <w:rsid w:val="00EE6E13"/>
    <w:rsid w:val="00EE76AB"/>
    <w:rsid w:val="00EF002C"/>
    <w:rsid w:val="00EF076A"/>
    <w:rsid w:val="00EF1669"/>
    <w:rsid w:val="00EF16C9"/>
    <w:rsid w:val="00EF1FB7"/>
    <w:rsid w:val="00EF1FC8"/>
    <w:rsid w:val="00EF240A"/>
    <w:rsid w:val="00EF2831"/>
    <w:rsid w:val="00EF4405"/>
    <w:rsid w:val="00EF440C"/>
    <w:rsid w:val="00EF4FF6"/>
    <w:rsid w:val="00EF69C4"/>
    <w:rsid w:val="00EF6DC0"/>
    <w:rsid w:val="00EF739A"/>
    <w:rsid w:val="00EF7651"/>
    <w:rsid w:val="00F00AE1"/>
    <w:rsid w:val="00F0260A"/>
    <w:rsid w:val="00F02770"/>
    <w:rsid w:val="00F03AE6"/>
    <w:rsid w:val="00F04CBE"/>
    <w:rsid w:val="00F145E3"/>
    <w:rsid w:val="00F153FE"/>
    <w:rsid w:val="00F156AA"/>
    <w:rsid w:val="00F162C8"/>
    <w:rsid w:val="00F1707F"/>
    <w:rsid w:val="00F17410"/>
    <w:rsid w:val="00F175EC"/>
    <w:rsid w:val="00F21356"/>
    <w:rsid w:val="00F2175D"/>
    <w:rsid w:val="00F21C96"/>
    <w:rsid w:val="00F21F60"/>
    <w:rsid w:val="00F22C79"/>
    <w:rsid w:val="00F23D92"/>
    <w:rsid w:val="00F2431F"/>
    <w:rsid w:val="00F2442F"/>
    <w:rsid w:val="00F24439"/>
    <w:rsid w:val="00F246AB"/>
    <w:rsid w:val="00F24B71"/>
    <w:rsid w:val="00F24BE8"/>
    <w:rsid w:val="00F251CF"/>
    <w:rsid w:val="00F260BC"/>
    <w:rsid w:val="00F2644A"/>
    <w:rsid w:val="00F27273"/>
    <w:rsid w:val="00F27392"/>
    <w:rsid w:val="00F27BF2"/>
    <w:rsid w:val="00F27D7F"/>
    <w:rsid w:val="00F30CE7"/>
    <w:rsid w:val="00F30D82"/>
    <w:rsid w:val="00F3152F"/>
    <w:rsid w:val="00F32313"/>
    <w:rsid w:val="00F3251B"/>
    <w:rsid w:val="00F32689"/>
    <w:rsid w:val="00F32B5A"/>
    <w:rsid w:val="00F34FD9"/>
    <w:rsid w:val="00F35B71"/>
    <w:rsid w:val="00F36727"/>
    <w:rsid w:val="00F36F6A"/>
    <w:rsid w:val="00F3770A"/>
    <w:rsid w:val="00F40442"/>
    <w:rsid w:val="00F409BA"/>
    <w:rsid w:val="00F40A57"/>
    <w:rsid w:val="00F43951"/>
    <w:rsid w:val="00F443CC"/>
    <w:rsid w:val="00F44F04"/>
    <w:rsid w:val="00F45D18"/>
    <w:rsid w:val="00F4677C"/>
    <w:rsid w:val="00F47C76"/>
    <w:rsid w:val="00F47EE8"/>
    <w:rsid w:val="00F503B7"/>
    <w:rsid w:val="00F505C4"/>
    <w:rsid w:val="00F50889"/>
    <w:rsid w:val="00F5243A"/>
    <w:rsid w:val="00F52CE7"/>
    <w:rsid w:val="00F53CE1"/>
    <w:rsid w:val="00F554BD"/>
    <w:rsid w:val="00F55B7C"/>
    <w:rsid w:val="00F572CE"/>
    <w:rsid w:val="00F574F0"/>
    <w:rsid w:val="00F60253"/>
    <w:rsid w:val="00F604D3"/>
    <w:rsid w:val="00F6079C"/>
    <w:rsid w:val="00F6110E"/>
    <w:rsid w:val="00F611C3"/>
    <w:rsid w:val="00F61766"/>
    <w:rsid w:val="00F62456"/>
    <w:rsid w:val="00F632E1"/>
    <w:rsid w:val="00F64081"/>
    <w:rsid w:val="00F6508F"/>
    <w:rsid w:val="00F650AC"/>
    <w:rsid w:val="00F650CC"/>
    <w:rsid w:val="00F659C8"/>
    <w:rsid w:val="00F6607B"/>
    <w:rsid w:val="00F662A3"/>
    <w:rsid w:val="00F664BA"/>
    <w:rsid w:val="00F66CA8"/>
    <w:rsid w:val="00F673AA"/>
    <w:rsid w:val="00F707CF"/>
    <w:rsid w:val="00F70E3E"/>
    <w:rsid w:val="00F70F83"/>
    <w:rsid w:val="00F712F6"/>
    <w:rsid w:val="00F7457C"/>
    <w:rsid w:val="00F757C0"/>
    <w:rsid w:val="00F758F4"/>
    <w:rsid w:val="00F7591A"/>
    <w:rsid w:val="00F766C2"/>
    <w:rsid w:val="00F80FD9"/>
    <w:rsid w:val="00F81BB0"/>
    <w:rsid w:val="00F81CA1"/>
    <w:rsid w:val="00F820A5"/>
    <w:rsid w:val="00F830F0"/>
    <w:rsid w:val="00F83F19"/>
    <w:rsid w:val="00F84C09"/>
    <w:rsid w:val="00F86230"/>
    <w:rsid w:val="00F86958"/>
    <w:rsid w:val="00F86A5C"/>
    <w:rsid w:val="00F87145"/>
    <w:rsid w:val="00F87344"/>
    <w:rsid w:val="00F878AF"/>
    <w:rsid w:val="00F87C12"/>
    <w:rsid w:val="00F932F0"/>
    <w:rsid w:val="00F934BD"/>
    <w:rsid w:val="00F93854"/>
    <w:rsid w:val="00F94148"/>
    <w:rsid w:val="00F95F05"/>
    <w:rsid w:val="00FA080E"/>
    <w:rsid w:val="00FA0B4D"/>
    <w:rsid w:val="00FA0EB3"/>
    <w:rsid w:val="00FA236E"/>
    <w:rsid w:val="00FA2D23"/>
    <w:rsid w:val="00FA3B6E"/>
    <w:rsid w:val="00FA3BF6"/>
    <w:rsid w:val="00FA4070"/>
    <w:rsid w:val="00FA6041"/>
    <w:rsid w:val="00FA7693"/>
    <w:rsid w:val="00FA7AA1"/>
    <w:rsid w:val="00FB07F8"/>
    <w:rsid w:val="00FB2A97"/>
    <w:rsid w:val="00FB2AD5"/>
    <w:rsid w:val="00FB3424"/>
    <w:rsid w:val="00FB5392"/>
    <w:rsid w:val="00FB543D"/>
    <w:rsid w:val="00FB5FDC"/>
    <w:rsid w:val="00FC0B7E"/>
    <w:rsid w:val="00FC1988"/>
    <w:rsid w:val="00FC23D6"/>
    <w:rsid w:val="00FC2DFB"/>
    <w:rsid w:val="00FC3316"/>
    <w:rsid w:val="00FC3463"/>
    <w:rsid w:val="00FC3B28"/>
    <w:rsid w:val="00FC48AC"/>
    <w:rsid w:val="00FC48DC"/>
    <w:rsid w:val="00FC4FFA"/>
    <w:rsid w:val="00FC580A"/>
    <w:rsid w:val="00FC581C"/>
    <w:rsid w:val="00FC5A79"/>
    <w:rsid w:val="00FC7CEC"/>
    <w:rsid w:val="00FC7E6B"/>
    <w:rsid w:val="00FD02DA"/>
    <w:rsid w:val="00FD0BE3"/>
    <w:rsid w:val="00FD297D"/>
    <w:rsid w:val="00FD3DCB"/>
    <w:rsid w:val="00FD586B"/>
    <w:rsid w:val="00FD75AA"/>
    <w:rsid w:val="00FD7908"/>
    <w:rsid w:val="00FE1EC9"/>
    <w:rsid w:val="00FE226B"/>
    <w:rsid w:val="00FE386D"/>
    <w:rsid w:val="00FE39F1"/>
    <w:rsid w:val="00FE486C"/>
    <w:rsid w:val="00FE520D"/>
    <w:rsid w:val="00FE53C1"/>
    <w:rsid w:val="00FE5771"/>
    <w:rsid w:val="00FE5F06"/>
    <w:rsid w:val="00FE7234"/>
    <w:rsid w:val="00FE7448"/>
    <w:rsid w:val="00FE7AE3"/>
    <w:rsid w:val="00FF021A"/>
    <w:rsid w:val="00FF2DE8"/>
    <w:rsid w:val="00FF2FEA"/>
    <w:rsid w:val="00FF39A7"/>
    <w:rsid w:val="00FF41ED"/>
    <w:rsid w:val="00FF4CAD"/>
    <w:rsid w:val="00FF4D53"/>
    <w:rsid w:val="00FF4DE9"/>
    <w:rsid w:val="00FF4EDB"/>
    <w:rsid w:val="00FF6111"/>
    <w:rsid w:val="00FF6730"/>
    <w:rsid w:val="00FF6840"/>
    <w:rsid w:val="00FF75FC"/>
    <w:rsid w:val="00FF7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10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10A"/>
    <w:pPr>
      <w:tabs>
        <w:tab w:val="center" w:pos="4320"/>
        <w:tab w:val="right" w:pos="8640"/>
      </w:tabs>
    </w:pPr>
  </w:style>
  <w:style w:type="paragraph" w:styleId="FootnoteText">
    <w:name w:val="footnote text"/>
    <w:basedOn w:val="Normal"/>
    <w:link w:val="FootnoteTextChar"/>
    <w:semiHidden/>
    <w:rsid w:val="006F785D"/>
    <w:pPr>
      <w:autoSpaceDE w:val="0"/>
      <w:autoSpaceDN w:val="0"/>
    </w:pPr>
    <w:rPr>
      <w:szCs w:val="24"/>
    </w:rPr>
  </w:style>
  <w:style w:type="character" w:styleId="FootnoteReference">
    <w:name w:val="footnote reference"/>
    <w:basedOn w:val="DefaultParagraphFont"/>
    <w:semiHidden/>
    <w:rsid w:val="006F785D"/>
    <w:rPr>
      <w:vertAlign w:val="superscript"/>
    </w:rPr>
  </w:style>
  <w:style w:type="character" w:styleId="PageNumber">
    <w:name w:val="page number"/>
    <w:basedOn w:val="DefaultParagraphFont"/>
    <w:rsid w:val="001F4604"/>
  </w:style>
  <w:style w:type="paragraph" w:styleId="ListParagraph">
    <w:name w:val="List Paragraph"/>
    <w:basedOn w:val="Normal"/>
    <w:uiPriority w:val="34"/>
    <w:qFormat/>
    <w:rsid w:val="00980BF7"/>
    <w:pPr>
      <w:ind w:left="720"/>
    </w:pPr>
  </w:style>
  <w:style w:type="character" w:customStyle="1" w:styleId="FootnoteTextChar">
    <w:name w:val="Footnote Text Char"/>
    <w:basedOn w:val="DefaultParagraphFont"/>
    <w:link w:val="FootnoteText"/>
    <w:locked/>
    <w:rsid w:val="00341473"/>
    <w:rPr>
      <w:sz w:val="24"/>
      <w:szCs w:val="24"/>
      <w:lang w:val="en-US" w:eastAsia="en-US" w:bidi="ar-SA"/>
    </w:rPr>
  </w:style>
  <w:style w:type="character" w:customStyle="1" w:styleId="CharChar3">
    <w:name w:val="Char Char3"/>
    <w:basedOn w:val="DefaultParagraphFont"/>
    <w:semiHidden/>
    <w:rsid w:val="003243AF"/>
    <w:rPr>
      <w:rFonts w:eastAsia="Times New Roman"/>
    </w:rPr>
  </w:style>
  <w:style w:type="paragraph" w:styleId="Header">
    <w:name w:val="header"/>
    <w:basedOn w:val="Normal"/>
    <w:link w:val="HeaderChar"/>
    <w:rsid w:val="00B03444"/>
    <w:pPr>
      <w:tabs>
        <w:tab w:val="center" w:pos="4680"/>
        <w:tab w:val="right" w:pos="9360"/>
      </w:tabs>
    </w:pPr>
  </w:style>
  <w:style w:type="character" w:customStyle="1" w:styleId="HeaderChar">
    <w:name w:val="Header Char"/>
    <w:basedOn w:val="DefaultParagraphFont"/>
    <w:link w:val="Header"/>
    <w:rsid w:val="00B03444"/>
    <w:rPr>
      <w:sz w:val="24"/>
    </w:rPr>
  </w:style>
  <w:style w:type="character" w:customStyle="1" w:styleId="FooterChar">
    <w:name w:val="Footer Char"/>
    <w:basedOn w:val="DefaultParagraphFont"/>
    <w:link w:val="Footer"/>
    <w:uiPriority w:val="99"/>
    <w:rsid w:val="00B03444"/>
    <w:rPr>
      <w:sz w:val="24"/>
    </w:rPr>
  </w:style>
</w:styles>
</file>

<file path=word/webSettings.xml><?xml version="1.0" encoding="utf-8"?>
<w:webSettings xmlns:r="http://schemas.openxmlformats.org/officeDocument/2006/relationships" xmlns:w="http://schemas.openxmlformats.org/wordprocessingml/2006/main">
  <w:divs>
    <w:div w:id="103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FBA1F-A78F-47F2-895F-6F138B84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bfaccenda</cp:lastModifiedBy>
  <cp:revision>2</cp:revision>
  <cp:lastPrinted>2011-09-16T18:07:00Z</cp:lastPrinted>
  <dcterms:created xsi:type="dcterms:W3CDTF">2011-09-19T18:19:00Z</dcterms:created>
  <dcterms:modified xsi:type="dcterms:W3CDTF">2011-09-19T18:19:00Z</dcterms:modified>
</cp:coreProperties>
</file>