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3B2" w:rsidRPr="0021115D" w:rsidRDefault="00A603B2" w:rsidP="00D038E3">
      <w:pPr>
        <w:tabs>
          <w:tab w:val="center" w:pos="4680"/>
        </w:tabs>
        <w:suppressAutoHyphens/>
        <w:jc w:val="center"/>
        <w:outlineLvl w:val="0"/>
        <w:rPr>
          <w:b/>
          <w:bCs/>
        </w:rPr>
      </w:pPr>
      <w:r w:rsidRPr="0021115D">
        <w:rPr>
          <w:b/>
          <w:bCs/>
        </w:rPr>
        <w:t>BEFORE THE</w:t>
      </w:r>
    </w:p>
    <w:p w:rsidR="00A603B2" w:rsidRPr="0021115D" w:rsidRDefault="00A603B2" w:rsidP="00D038E3">
      <w:pPr>
        <w:tabs>
          <w:tab w:val="left" w:pos="-720"/>
        </w:tabs>
        <w:suppressAutoHyphens/>
        <w:jc w:val="center"/>
        <w:outlineLvl w:val="0"/>
        <w:rPr>
          <w:b/>
          <w:bCs/>
        </w:rPr>
      </w:pPr>
      <w:r w:rsidRPr="0021115D">
        <w:rPr>
          <w:b/>
          <w:bCs/>
        </w:rPr>
        <w:t>PENNSYLVANIA PUBLIC UTILITY COMMISSION</w:t>
      </w:r>
    </w:p>
    <w:p w:rsidR="00086CB1" w:rsidRPr="0021115D" w:rsidRDefault="00086CB1" w:rsidP="0021115D">
      <w:pPr>
        <w:tabs>
          <w:tab w:val="left" w:pos="-720"/>
        </w:tabs>
        <w:suppressAutoHyphens/>
        <w:jc w:val="center"/>
        <w:rPr>
          <w:bCs/>
        </w:rPr>
      </w:pPr>
    </w:p>
    <w:p w:rsidR="00086CB1" w:rsidRPr="0021115D" w:rsidRDefault="00086CB1" w:rsidP="0021115D">
      <w:pPr>
        <w:tabs>
          <w:tab w:val="left" w:pos="-720"/>
        </w:tabs>
        <w:suppressAutoHyphens/>
        <w:jc w:val="center"/>
        <w:rPr>
          <w:bCs/>
        </w:rPr>
      </w:pPr>
    </w:p>
    <w:p w:rsidR="00086CB1" w:rsidRPr="0021115D" w:rsidRDefault="00086CB1" w:rsidP="0021115D">
      <w:pPr>
        <w:tabs>
          <w:tab w:val="left" w:pos="-720"/>
        </w:tabs>
        <w:suppressAutoHyphens/>
        <w:jc w:val="center"/>
        <w:rPr>
          <w:bCs/>
        </w:rPr>
      </w:pPr>
    </w:p>
    <w:p w:rsidR="008F7BCB" w:rsidRPr="00C62264" w:rsidRDefault="008F7BCB" w:rsidP="008F7BCB">
      <w:r>
        <w:t xml:space="preserve">Dennis </w:t>
      </w:r>
      <w:proofErr w:type="spellStart"/>
      <w:r>
        <w:t>Lutt</w:t>
      </w:r>
      <w:r w:rsidRPr="00C62264">
        <w:t>erschmidt</w:t>
      </w:r>
      <w:proofErr w:type="spellEnd"/>
      <w:r w:rsidRPr="00C62264">
        <w:tab/>
      </w:r>
      <w:r w:rsidRPr="00C62264">
        <w:tab/>
      </w:r>
      <w:r w:rsidRPr="00C62264">
        <w:tab/>
      </w:r>
      <w:r w:rsidRPr="00C62264">
        <w:tab/>
      </w:r>
      <w:r w:rsidRPr="00C62264">
        <w:tab/>
        <w:t>:</w:t>
      </w:r>
    </w:p>
    <w:p w:rsidR="008F7BCB" w:rsidRPr="00C62264" w:rsidRDefault="008F7BCB" w:rsidP="008F7BCB">
      <w:r w:rsidRPr="00C62264">
        <w:tab/>
      </w:r>
      <w:r w:rsidRPr="00C62264">
        <w:tab/>
      </w:r>
      <w:r w:rsidRPr="00C62264">
        <w:tab/>
      </w:r>
      <w:r w:rsidRPr="00C62264">
        <w:tab/>
      </w:r>
      <w:r w:rsidRPr="00C62264">
        <w:tab/>
      </w:r>
      <w:r w:rsidRPr="00C62264">
        <w:tab/>
      </w:r>
      <w:r w:rsidRPr="00C62264">
        <w:tab/>
        <w:t>:</w:t>
      </w:r>
    </w:p>
    <w:p w:rsidR="008F7BCB" w:rsidRPr="00C62264" w:rsidRDefault="008F7BCB" w:rsidP="008F7BCB">
      <w:r w:rsidRPr="00C62264">
        <w:tab/>
        <w:t>v.</w:t>
      </w:r>
      <w:r w:rsidRPr="00C62264">
        <w:tab/>
      </w:r>
      <w:r w:rsidRPr="00C62264">
        <w:tab/>
      </w:r>
      <w:r w:rsidRPr="00C62264">
        <w:tab/>
      </w:r>
      <w:r w:rsidRPr="00C62264">
        <w:tab/>
      </w:r>
      <w:r w:rsidRPr="00C62264">
        <w:tab/>
      </w:r>
      <w:r w:rsidRPr="00C62264">
        <w:tab/>
        <w:t>:</w:t>
      </w:r>
      <w:r w:rsidRPr="00C62264">
        <w:tab/>
      </w:r>
      <w:r w:rsidRPr="00C62264">
        <w:tab/>
        <w:t>C-2010-</w:t>
      </w:r>
      <w:r>
        <w:t>2206160</w:t>
      </w:r>
    </w:p>
    <w:p w:rsidR="008F7BCB" w:rsidRPr="00C62264" w:rsidRDefault="008F7BCB" w:rsidP="008F7BCB">
      <w:r w:rsidRPr="00C62264">
        <w:tab/>
      </w:r>
      <w:r w:rsidRPr="00C62264">
        <w:tab/>
      </w:r>
      <w:r w:rsidRPr="00C62264">
        <w:tab/>
      </w:r>
      <w:r w:rsidRPr="00C62264">
        <w:tab/>
      </w:r>
      <w:r w:rsidRPr="00C62264">
        <w:tab/>
      </w:r>
      <w:r w:rsidRPr="00C62264">
        <w:tab/>
      </w:r>
      <w:r w:rsidRPr="00C62264">
        <w:tab/>
        <w:t>:</w:t>
      </w:r>
    </w:p>
    <w:p w:rsidR="008F7BCB" w:rsidRPr="00C62264" w:rsidRDefault="008F7BCB" w:rsidP="008F7BCB">
      <w:r w:rsidRPr="00C62264">
        <w:t>Metropolitan Edison Company</w:t>
      </w:r>
      <w:r w:rsidRPr="00C62264">
        <w:tab/>
      </w:r>
      <w:r w:rsidRPr="00C62264">
        <w:tab/>
      </w:r>
      <w:r w:rsidRPr="00C62264">
        <w:tab/>
        <w:t>:</w:t>
      </w:r>
    </w:p>
    <w:p w:rsidR="008F7BCB" w:rsidRPr="00C62264" w:rsidRDefault="008F7BCB" w:rsidP="008F7BCB"/>
    <w:p w:rsidR="008F7BCB" w:rsidRPr="00C62264" w:rsidRDefault="008F7BCB" w:rsidP="008F7BCB"/>
    <w:p w:rsidR="008F7BCB" w:rsidRPr="00C62264" w:rsidRDefault="008F7BCB" w:rsidP="008F7BCB"/>
    <w:p w:rsidR="008F7BCB" w:rsidRPr="00C62264" w:rsidRDefault="008F7BCB" w:rsidP="00B37AB5">
      <w:pPr>
        <w:jc w:val="center"/>
        <w:rPr>
          <w:b/>
          <w:u w:val="single"/>
        </w:rPr>
      </w:pPr>
      <w:r w:rsidRPr="00C62264">
        <w:rPr>
          <w:b/>
          <w:u w:val="single"/>
        </w:rPr>
        <w:t>INITIAL DECISION</w:t>
      </w:r>
    </w:p>
    <w:p w:rsidR="008F7BCB" w:rsidRPr="00C62264" w:rsidRDefault="008F7BCB" w:rsidP="00B37AB5">
      <w:pPr>
        <w:jc w:val="center"/>
        <w:rPr>
          <w:b/>
        </w:rPr>
      </w:pPr>
    </w:p>
    <w:p w:rsidR="008F7BCB" w:rsidRPr="00C62264" w:rsidRDefault="008F7BCB" w:rsidP="00B37AB5">
      <w:pPr>
        <w:jc w:val="center"/>
        <w:rPr>
          <w:b/>
        </w:rPr>
      </w:pPr>
    </w:p>
    <w:p w:rsidR="008F7BCB" w:rsidRPr="00C62264" w:rsidRDefault="008F7BCB" w:rsidP="00B37AB5">
      <w:pPr>
        <w:jc w:val="center"/>
      </w:pPr>
      <w:r w:rsidRPr="00C62264">
        <w:t>Before</w:t>
      </w:r>
    </w:p>
    <w:p w:rsidR="008F7BCB" w:rsidRPr="00C62264" w:rsidRDefault="008F7BCB" w:rsidP="00B37AB5">
      <w:pPr>
        <w:jc w:val="center"/>
      </w:pPr>
      <w:r>
        <w:t>Mary D. Long</w:t>
      </w:r>
    </w:p>
    <w:p w:rsidR="008F7BCB" w:rsidRPr="00C62264" w:rsidRDefault="008F7BCB" w:rsidP="00B37AB5">
      <w:pPr>
        <w:jc w:val="center"/>
      </w:pPr>
      <w:r w:rsidRPr="00C62264">
        <w:t>Administrative Law Judge</w:t>
      </w:r>
    </w:p>
    <w:p w:rsidR="008F7BCB" w:rsidRPr="00C62264" w:rsidRDefault="008F7BCB" w:rsidP="00B37AB5">
      <w:pPr>
        <w:jc w:val="center"/>
      </w:pPr>
    </w:p>
    <w:p w:rsidR="008F7BCB" w:rsidRPr="00C62264" w:rsidRDefault="008F7BCB" w:rsidP="00B37AB5">
      <w:pPr>
        <w:jc w:val="center"/>
      </w:pPr>
    </w:p>
    <w:p w:rsidR="008F7BCB" w:rsidRPr="00C62264" w:rsidRDefault="008F7BCB" w:rsidP="00B37AB5">
      <w:pPr>
        <w:jc w:val="center"/>
        <w:rPr>
          <w:u w:val="single"/>
        </w:rPr>
      </w:pPr>
      <w:r w:rsidRPr="00C62264">
        <w:rPr>
          <w:u w:val="single"/>
        </w:rPr>
        <w:t>HISTORY OF THE PROCEEDING</w:t>
      </w:r>
    </w:p>
    <w:p w:rsidR="008F7BCB" w:rsidRPr="00C62264" w:rsidRDefault="008F7BCB" w:rsidP="00B37AB5">
      <w:pPr>
        <w:jc w:val="center"/>
        <w:rPr>
          <w:u w:val="single"/>
        </w:rPr>
      </w:pPr>
    </w:p>
    <w:p w:rsidR="008F7BCB" w:rsidRPr="00C62264" w:rsidRDefault="008F7BCB" w:rsidP="008F7BCB">
      <w:pPr>
        <w:rPr>
          <w:u w:val="single"/>
        </w:rPr>
      </w:pPr>
    </w:p>
    <w:p w:rsidR="008F7BCB" w:rsidRPr="00C62264" w:rsidRDefault="008F7BCB" w:rsidP="00B37AB5">
      <w:pPr>
        <w:spacing w:line="360" w:lineRule="auto"/>
        <w:contextualSpacing/>
      </w:pPr>
      <w:r w:rsidRPr="00C62264">
        <w:tab/>
      </w:r>
      <w:r w:rsidRPr="00C62264">
        <w:tab/>
        <w:t xml:space="preserve">On </w:t>
      </w:r>
      <w:r>
        <w:t xml:space="preserve">October 19, 2010, Dennis </w:t>
      </w:r>
      <w:proofErr w:type="spellStart"/>
      <w:r>
        <w:t>Lutt</w:t>
      </w:r>
      <w:r w:rsidRPr="00C62264">
        <w:t>erschmidt</w:t>
      </w:r>
      <w:proofErr w:type="spellEnd"/>
      <w:r w:rsidRPr="00C62264">
        <w:t xml:space="preserve"> (Complainant) filed a formal Complaint against Metropolitan Edis</w:t>
      </w:r>
      <w:r>
        <w:t>on Company (Met Ed</w:t>
      </w:r>
      <w:r w:rsidRPr="00C62264">
        <w:t>) request</w:t>
      </w:r>
      <w:r w:rsidR="00FD620A">
        <w:t>ing</w:t>
      </w:r>
      <w:r w:rsidRPr="00C62264">
        <w:t xml:space="preserve"> the Commission “to do the right thing” and remove </w:t>
      </w:r>
      <w:r>
        <w:t>Met Ed’s</w:t>
      </w:r>
      <w:r w:rsidRPr="00C62264">
        <w:t xml:space="preserve"> Smart Meter charge from his mont</w:t>
      </w:r>
      <w:r>
        <w:t xml:space="preserve">hly electric utility bill. </w:t>
      </w:r>
      <w:r w:rsidRPr="00C62264">
        <w:t xml:space="preserve">  On an attached sheet to his formal Complaint, Complainant described this charge as “…</w:t>
      </w:r>
      <w:proofErr w:type="gramStart"/>
      <w:r w:rsidRPr="00C62264">
        <w:t>an attempt at another rate hike</w:t>
      </w:r>
      <w:proofErr w:type="gramEnd"/>
      <w:r w:rsidRPr="00C62264">
        <w:t xml:space="preserve">, without calling it a rate hike.”  He </w:t>
      </w:r>
      <w:r>
        <w:t>stat</w:t>
      </w:r>
      <w:r w:rsidRPr="00C62264">
        <w:t>ed that because he is not currently receiving this service (to date, no smart meter has been installed at his residence) he should not have to pay for the service.</w:t>
      </w:r>
    </w:p>
    <w:p w:rsidR="008F7BCB" w:rsidRPr="00C62264" w:rsidRDefault="008F7BCB" w:rsidP="00B37AB5">
      <w:pPr>
        <w:spacing w:line="360" w:lineRule="auto"/>
        <w:contextualSpacing/>
      </w:pPr>
    </w:p>
    <w:p w:rsidR="008F7BCB" w:rsidRDefault="008F7BCB" w:rsidP="00B37AB5">
      <w:pPr>
        <w:spacing w:line="360" w:lineRule="auto"/>
        <w:contextualSpacing/>
      </w:pPr>
      <w:r w:rsidRPr="00C62264">
        <w:tab/>
      </w:r>
      <w:r w:rsidRPr="00C62264">
        <w:tab/>
        <w:t xml:space="preserve">On or about </w:t>
      </w:r>
      <w:r>
        <w:t>November 12</w:t>
      </w:r>
      <w:r w:rsidRPr="00C62264">
        <w:t xml:space="preserve">, 2010, Met Ed filed its Answer with New Matter (Answer) and Preliminary Objections endorsed with a Notice to Plead.  The Answer denies that the Smart Meter Plan is a program in which a customer can participate and enroll.  Rather, all customers on Rate Schedule RS are charged an extra charge on the monthly bill beginning August 2010, and the tariff does not provide for exceptions.  The Answer describes the charge as a fixed monthly customer charge to recover the cost of the implementation of Met Ed’s Smart Meter Plan.  In New Matter, </w:t>
      </w:r>
      <w:r>
        <w:t>Met Ed</w:t>
      </w:r>
      <w:r w:rsidRPr="00C62264">
        <w:t xml:space="preserve"> states </w:t>
      </w:r>
      <w:r>
        <w:t xml:space="preserve">this complaint is identical to a complaint filed by </w:t>
      </w:r>
      <w:r>
        <w:lastRenderedPageBreak/>
        <w:t xml:space="preserve">Complainant in September 2010 and </w:t>
      </w:r>
      <w:r w:rsidRPr="00C62264">
        <w:t xml:space="preserve">that the charge is imposed pursuant to legislative mandate and according to the guidelines set forth by the Commission.  Met Ed </w:t>
      </w:r>
      <w:r>
        <w:t xml:space="preserve">takes the position </w:t>
      </w:r>
      <w:r w:rsidRPr="00C62264">
        <w:t>that its actions are consistent with applicable regul</w:t>
      </w:r>
      <w:r>
        <w:t xml:space="preserve">ations, statutes, and tariffs. </w:t>
      </w:r>
      <w:r w:rsidRPr="00C62264">
        <w:t xml:space="preserve"> </w:t>
      </w:r>
      <w:r>
        <w:t>The preliminary o</w:t>
      </w:r>
      <w:r w:rsidRPr="00C62264">
        <w:t xml:space="preserve">bjections ask for dismissal of the case because </w:t>
      </w:r>
      <w:r>
        <w:t xml:space="preserve">at the time the preliminary objections were filed, the September 2010 complaint was still pending before the Commission.  In the alternative Met Ed says that the complaint </w:t>
      </w:r>
      <w:r w:rsidRPr="00C62264">
        <w:t xml:space="preserve">is legally insufficient, in that it does not claim that </w:t>
      </w:r>
      <w:r>
        <w:t>Met Ed</w:t>
      </w:r>
      <w:r w:rsidRPr="00C62264">
        <w:t xml:space="preserve"> has committed or omitted an act in violation of Commission statutes, regulations, order</w:t>
      </w:r>
      <w:r w:rsidR="00FE2750">
        <w:t>s</w:t>
      </w:r>
      <w:r w:rsidRPr="00C62264">
        <w:t>, or Met Ed’s own tariff.  The Complaina</w:t>
      </w:r>
      <w:r>
        <w:t>nt</w:t>
      </w:r>
      <w:r w:rsidRPr="00C62264">
        <w:t xml:space="preserve"> has failed to state a claim upon which relief can be granted, and therefore, it should be dismissed in its entirety.</w:t>
      </w:r>
    </w:p>
    <w:p w:rsidR="008F7BCB" w:rsidRDefault="008F7BCB" w:rsidP="00B37AB5">
      <w:pPr>
        <w:spacing w:line="360" w:lineRule="auto"/>
        <w:contextualSpacing/>
      </w:pPr>
    </w:p>
    <w:p w:rsidR="008F7BCB" w:rsidRPr="00C62264" w:rsidRDefault="008F7BCB" w:rsidP="00B37AB5">
      <w:pPr>
        <w:spacing w:line="360" w:lineRule="auto"/>
        <w:contextualSpacing/>
      </w:pPr>
      <w:r>
        <w:tab/>
      </w:r>
      <w:r>
        <w:tab/>
        <w:t>The Complainant answered the preliminary objections on November 22, 2010, wherein he states that the General Assembly does not require that Smart Meters be installed in existing customers</w:t>
      </w:r>
      <w:r w:rsidR="00B54864">
        <w:t>’</w:t>
      </w:r>
      <w:r>
        <w:t xml:space="preserve"> property and that his complaint is not against Met Ed, but should be “resubmitted” against the Commission for approving Met Ed’s smart meter plan.</w:t>
      </w:r>
    </w:p>
    <w:p w:rsidR="008F7BCB" w:rsidRPr="00C62264" w:rsidRDefault="008F7BCB" w:rsidP="00B37AB5">
      <w:pPr>
        <w:spacing w:line="360" w:lineRule="auto"/>
        <w:contextualSpacing/>
      </w:pPr>
    </w:p>
    <w:p w:rsidR="008F7BCB" w:rsidRDefault="008F7BCB" w:rsidP="00B37AB5">
      <w:pPr>
        <w:spacing w:line="360" w:lineRule="auto"/>
        <w:ind w:firstLine="1440"/>
        <w:contextualSpacing/>
      </w:pPr>
      <w:r w:rsidRPr="00C62264">
        <w:t xml:space="preserve">On </w:t>
      </w:r>
      <w:r>
        <w:t>August 24</w:t>
      </w:r>
      <w:r w:rsidRPr="00C62264">
        <w:t xml:space="preserve">, 2011, a Motion Judge Assignment was issued which assigned this matter to </w:t>
      </w:r>
      <w:r>
        <w:t xml:space="preserve">me. </w:t>
      </w:r>
      <w:r w:rsidR="00B31019">
        <w:t xml:space="preserve"> </w:t>
      </w:r>
      <w:r>
        <w:t>The preliminary o</w:t>
      </w:r>
      <w:r w:rsidRPr="00C62264">
        <w:t xml:space="preserve">bjections are </w:t>
      </w:r>
      <w:r>
        <w:t>ripe for decision and will be granted.</w:t>
      </w:r>
    </w:p>
    <w:p w:rsidR="008F7BCB" w:rsidRDefault="008F7BCB" w:rsidP="00B37AB5">
      <w:pPr>
        <w:spacing w:line="360" w:lineRule="auto"/>
        <w:ind w:firstLine="1440"/>
        <w:contextualSpacing/>
      </w:pPr>
    </w:p>
    <w:p w:rsidR="008F7BCB" w:rsidRPr="00DF68FE" w:rsidRDefault="008F7BCB" w:rsidP="00B37AB5">
      <w:pPr>
        <w:spacing w:line="360" w:lineRule="auto"/>
        <w:contextualSpacing/>
        <w:jc w:val="center"/>
        <w:rPr>
          <w:u w:val="single"/>
        </w:rPr>
      </w:pPr>
      <w:r w:rsidRPr="00DF68FE">
        <w:rPr>
          <w:u w:val="single"/>
        </w:rPr>
        <w:t>DISCUSSION</w:t>
      </w:r>
    </w:p>
    <w:p w:rsidR="008F7BCB" w:rsidRDefault="008F7BCB" w:rsidP="00B37AB5">
      <w:pPr>
        <w:spacing w:line="360" w:lineRule="auto"/>
        <w:ind w:firstLine="1440"/>
        <w:contextualSpacing/>
      </w:pPr>
    </w:p>
    <w:p w:rsidR="008F7BCB" w:rsidRDefault="00B37AB5" w:rsidP="00B37AB5">
      <w:pPr>
        <w:spacing w:line="360" w:lineRule="auto"/>
      </w:pPr>
      <w:r>
        <w:tab/>
      </w:r>
      <w:r>
        <w:tab/>
      </w:r>
      <w:r w:rsidR="008F7BCB">
        <w:t>Preliminary objections are permitted under Commission regulations.</w:t>
      </w:r>
      <w:r w:rsidR="008F7BCB">
        <w:rPr>
          <w:rStyle w:val="FootnoteReference"/>
        </w:rPr>
        <w:footnoteReference w:id="1"/>
      </w:r>
      <w:r w:rsidR="008F7BCB">
        <w:t xml:space="preserve"> </w:t>
      </w:r>
      <w:r w:rsidR="00B31019">
        <w:t xml:space="preserve"> </w:t>
      </w:r>
      <w:r w:rsidR="008F7BCB">
        <w:t>Preliminary objection practice before the Commission is similar to Pennsylvania civil practice respecting preliminary objections.</w:t>
      </w:r>
      <w:r w:rsidR="008F7BCB">
        <w:rPr>
          <w:rStyle w:val="FootnoteReference"/>
        </w:rPr>
        <w:footnoteReference w:id="2"/>
      </w:r>
    </w:p>
    <w:p w:rsidR="008F7BCB" w:rsidRDefault="008F7BCB" w:rsidP="00B37AB5">
      <w:pPr>
        <w:spacing w:line="360" w:lineRule="auto"/>
      </w:pPr>
      <w:r>
        <w:t xml:space="preserve"> </w:t>
      </w:r>
    </w:p>
    <w:p w:rsidR="008F7BCB" w:rsidRDefault="008F7BCB" w:rsidP="00B37AB5">
      <w:pPr>
        <w:spacing w:line="360" w:lineRule="auto"/>
        <w:ind w:left="720" w:firstLine="720"/>
        <w:jc w:val="both"/>
      </w:pPr>
      <w:r>
        <w:t>Commission regulations</w:t>
      </w:r>
      <w:r>
        <w:rPr>
          <w:rStyle w:val="FootnoteReference"/>
        </w:rPr>
        <w:footnoteReference w:id="3"/>
      </w:r>
      <w:r>
        <w:t xml:space="preserve"> provide:</w:t>
      </w:r>
    </w:p>
    <w:p w:rsidR="008F7BCB" w:rsidRDefault="008F7BCB" w:rsidP="00B37AB5">
      <w:pPr>
        <w:spacing w:line="360" w:lineRule="auto"/>
      </w:pPr>
    </w:p>
    <w:p w:rsidR="00B31019" w:rsidRDefault="00B31019">
      <w:pPr>
        <w:autoSpaceDE/>
        <w:autoSpaceDN/>
        <w:rPr>
          <w:iCs/>
          <w:color w:val="000000" w:themeColor="text1"/>
          <w:szCs w:val="20"/>
        </w:rPr>
      </w:pPr>
      <w:r>
        <w:br w:type="page"/>
      </w:r>
    </w:p>
    <w:p w:rsidR="008F7BCB" w:rsidRDefault="008F7BCB" w:rsidP="00B37AB5">
      <w:pPr>
        <w:pStyle w:val="Quote"/>
        <w:spacing w:after="240" w:line="360" w:lineRule="auto"/>
      </w:pPr>
      <w:r>
        <w:lastRenderedPageBreak/>
        <w:t xml:space="preserve">§ 5.101.  </w:t>
      </w:r>
      <w:proofErr w:type="gramStart"/>
      <w:r>
        <w:t>Preliminary objections.</w:t>
      </w:r>
      <w:proofErr w:type="gramEnd"/>
    </w:p>
    <w:p w:rsidR="008F7BCB" w:rsidRDefault="008F7BCB" w:rsidP="008F7BCB">
      <w:pPr>
        <w:pStyle w:val="Quote"/>
        <w:spacing w:after="240"/>
        <w:ind w:left="1440" w:right="1440"/>
      </w:pPr>
      <w:r>
        <w:t>(a)</w:t>
      </w:r>
      <w:r>
        <w:tab/>
        <w:t>Grounds.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8F7BCB" w:rsidRDefault="008F7BCB" w:rsidP="008F7BCB">
      <w:pPr>
        <w:pStyle w:val="Quote"/>
        <w:ind w:left="1440" w:right="1440"/>
      </w:pPr>
      <w:r>
        <w:tab/>
        <w:t>(1)</w:t>
      </w:r>
      <w:r>
        <w:tab/>
        <w:t>Lack of Commission jurisdiction or improper service of the pleading initiating the proceeding.</w:t>
      </w:r>
    </w:p>
    <w:p w:rsidR="008F7BCB" w:rsidRDefault="008F7BCB" w:rsidP="008F7BCB">
      <w:pPr>
        <w:pStyle w:val="Quote"/>
        <w:ind w:left="1440" w:right="1440"/>
      </w:pPr>
      <w:r>
        <w:tab/>
        <w:t>(2)</w:t>
      </w:r>
      <w:r>
        <w:tab/>
        <w:t>Failure of a pleading to conform to this chapter or the inclusion of scandalous or impertinent matter.</w:t>
      </w:r>
    </w:p>
    <w:p w:rsidR="008F7BCB" w:rsidRDefault="008F7BCB" w:rsidP="008F7BCB">
      <w:pPr>
        <w:pStyle w:val="Quote"/>
        <w:ind w:left="1440" w:right="1440"/>
      </w:pPr>
      <w:r>
        <w:tab/>
        <w:t>(3)</w:t>
      </w:r>
      <w:r>
        <w:tab/>
        <w:t>Insufficient specificity of a pleading.</w:t>
      </w:r>
    </w:p>
    <w:p w:rsidR="008F7BCB" w:rsidRDefault="008F7BCB" w:rsidP="008F7BCB">
      <w:pPr>
        <w:pStyle w:val="Quote"/>
        <w:ind w:left="1440" w:right="1440"/>
      </w:pPr>
      <w:r>
        <w:tab/>
        <w:t>(4)</w:t>
      </w:r>
      <w:r>
        <w:tab/>
        <w:t>Legal insufficiency of a pleading.</w:t>
      </w:r>
    </w:p>
    <w:p w:rsidR="008F7BCB" w:rsidRDefault="008F7BCB" w:rsidP="008F7BCB">
      <w:pPr>
        <w:pStyle w:val="Quote"/>
        <w:ind w:left="1440" w:right="1440"/>
      </w:pPr>
      <w:r>
        <w:tab/>
        <w:t>(5)</w:t>
      </w:r>
      <w:r>
        <w:tab/>
        <w:t xml:space="preserve">Lack of capacity to sue, </w:t>
      </w:r>
      <w:proofErr w:type="spellStart"/>
      <w:r>
        <w:t>nonjoinder</w:t>
      </w:r>
      <w:proofErr w:type="spellEnd"/>
      <w:r>
        <w:t xml:space="preserve"> of a necessary party or </w:t>
      </w:r>
      <w:proofErr w:type="spellStart"/>
      <w:r>
        <w:t>misjoinder</w:t>
      </w:r>
      <w:proofErr w:type="spellEnd"/>
      <w:r>
        <w:t xml:space="preserve"> of a cause of action.</w:t>
      </w:r>
    </w:p>
    <w:p w:rsidR="008F7BCB" w:rsidRDefault="008F7BCB" w:rsidP="008F7BCB">
      <w:pPr>
        <w:pStyle w:val="Quote"/>
        <w:ind w:left="1440" w:right="1440"/>
      </w:pPr>
      <w:r>
        <w:tab/>
        <w:t>(6)</w:t>
      </w:r>
      <w:r>
        <w:tab/>
        <w:t>Pendency of a prior proceeding or agreement for alternative dispute resolution.</w:t>
      </w:r>
    </w:p>
    <w:p w:rsidR="008F7BCB" w:rsidRPr="00153608" w:rsidRDefault="008F7BCB" w:rsidP="008F7BCB"/>
    <w:p w:rsidR="008F7BCB" w:rsidRDefault="008F7BCB" w:rsidP="00B37AB5">
      <w:pPr>
        <w:spacing w:line="360" w:lineRule="auto"/>
      </w:pPr>
      <w:r>
        <w:tab/>
      </w:r>
      <w:r>
        <w:tab/>
        <w:t>In deciding the preliminary objections, the Commission must determine whether, based on well-pleaded factual averments of the petitioners, recovery or relief is possible.</w:t>
      </w:r>
      <w:r>
        <w:rPr>
          <w:rStyle w:val="FootnoteReference"/>
        </w:rPr>
        <w:footnoteReference w:id="4"/>
      </w:r>
      <w:r>
        <w:t xml:space="preserve">  Any doubt must be resolved in favor of the non-moving party by refusing to sustain the preliminary objections.</w:t>
      </w:r>
      <w:r>
        <w:rPr>
          <w:rStyle w:val="FootnoteReference"/>
        </w:rPr>
        <w:footnoteReference w:id="5"/>
      </w:r>
      <w:r>
        <w:t xml:space="preserve">  All of the non-moving party’s averments in the complaint must be viewed as true for purposes of deciding the preliminary objections, and only those facts specifically admitted may be considered against the non-moving party.</w:t>
      </w:r>
      <w:r>
        <w:rPr>
          <w:rStyle w:val="FootnoteReference"/>
        </w:rPr>
        <w:footnoteReference w:id="6"/>
      </w:r>
      <w:r>
        <w:t xml:space="preserve"> </w:t>
      </w:r>
    </w:p>
    <w:p w:rsidR="008F7BCB" w:rsidRDefault="008F7BCB" w:rsidP="00B37AB5">
      <w:pPr>
        <w:spacing w:line="360" w:lineRule="auto"/>
      </w:pPr>
    </w:p>
    <w:p w:rsidR="008F7BCB" w:rsidRDefault="008F7BCB" w:rsidP="00B37AB5">
      <w:pPr>
        <w:spacing w:line="360" w:lineRule="auto"/>
      </w:pPr>
      <w:r>
        <w:tab/>
      </w:r>
      <w:r>
        <w:tab/>
        <w:t xml:space="preserve">I have reviewed both this Complaint and the September 2010 Complaint. </w:t>
      </w:r>
      <w:r w:rsidR="00B31019">
        <w:t xml:space="preserve"> </w:t>
      </w:r>
      <w:r>
        <w:t xml:space="preserve">The Complainant’s formal complaint at this docket is identical to the formal complaint which was filed at Docket No. C-2010-2200353 in September 2010. </w:t>
      </w:r>
      <w:r w:rsidR="00B31019">
        <w:t xml:space="preserve"> </w:t>
      </w:r>
      <w:r>
        <w:t xml:space="preserve">Indeed, the attached typewritten sheet on both complaints which details his claims appear to be exact copies. </w:t>
      </w:r>
      <w:r w:rsidR="00B31019">
        <w:t xml:space="preserve"> </w:t>
      </w:r>
      <w:r>
        <w:t xml:space="preserve">He makes identical claims against the identical party using the exact same language. </w:t>
      </w:r>
      <w:r w:rsidR="00B31019">
        <w:t xml:space="preserve"> </w:t>
      </w:r>
      <w:r>
        <w:t xml:space="preserve">His September Complaint was </w:t>
      </w:r>
      <w:r>
        <w:lastRenderedPageBreak/>
        <w:t>thoroughly reviewed and his claim dismissed by Administrative Law Judge Wayne L. Weismandel by initial decision dated January 19, 2011:</w:t>
      </w:r>
    </w:p>
    <w:p w:rsidR="008F7BCB" w:rsidRDefault="008F7BCB" w:rsidP="00B37AB5">
      <w:pPr>
        <w:spacing w:line="360" w:lineRule="auto"/>
      </w:pPr>
    </w:p>
    <w:p w:rsidR="008F7BCB" w:rsidRPr="00C62264" w:rsidRDefault="008F7BCB" w:rsidP="00B31019">
      <w:pPr>
        <w:pStyle w:val="IndentedQuote"/>
        <w:ind w:right="1440"/>
      </w:pPr>
      <w:r w:rsidRPr="00C62264">
        <w:tab/>
      </w:r>
      <w:r w:rsidR="00B54864">
        <w:tab/>
      </w:r>
      <w:r w:rsidRPr="00C62264">
        <w:t xml:space="preserve">The facts are short and simple:  Complainant would like to have the charges identified with the smart meter removed from his monthly electric utility bill.  Since a smart meter has not been installed at the Service Address, and because Complainant has not received any service or benefit from it, he </w:t>
      </w:r>
      <w:r>
        <w:t xml:space="preserve">believes that </w:t>
      </w:r>
      <w:r w:rsidRPr="00C62264">
        <w:t>he should not be charged a fee associated with it.</w:t>
      </w:r>
    </w:p>
    <w:p w:rsidR="008F7BCB" w:rsidRPr="00C62264" w:rsidRDefault="008F7BCB" w:rsidP="00B31019">
      <w:pPr>
        <w:pStyle w:val="IndentedQuote"/>
        <w:ind w:right="1440"/>
      </w:pPr>
    </w:p>
    <w:p w:rsidR="008F7BCB" w:rsidRPr="00C62264" w:rsidRDefault="008F7BCB" w:rsidP="00B31019">
      <w:pPr>
        <w:pStyle w:val="IndentedQuote"/>
        <w:ind w:right="1440"/>
      </w:pPr>
      <w:r w:rsidRPr="00C62264">
        <w:tab/>
      </w:r>
      <w:r w:rsidR="00B54864">
        <w:tab/>
      </w:r>
      <w:r w:rsidRPr="00C62264">
        <w:t>Met Ed responds that the circumstances leading to the imposition of the charge, including the enabling law, regulations, implementation order and Commission-approved tariff do not permit the removal of a customer from the program, nor does it have the ability to exempt a customer from the charge associated with the Plan.  The explanation given is quite thorough</w:t>
      </w:r>
      <w:r>
        <w:t xml:space="preserve"> . . . .</w:t>
      </w:r>
    </w:p>
    <w:p w:rsidR="008F7BCB" w:rsidRPr="00C62264" w:rsidRDefault="008F7BCB" w:rsidP="00B31019">
      <w:pPr>
        <w:pStyle w:val="IndentedQuote"/>
        <w:ind w:right="1440"/>
      </w:pPr>
    </w:p>
    <w:p w:rsidR="008F7BCB" w:rsidRPr="00C62264" w:rsidRDefault="008F7BCB" w:rsidP="00B31019">
      <w:pPr>
        <w:pStyle w:val="IndentedQuote"/>
        <w:ind w:right="1440"/>
      </w:pPr>
      <w:r w:rsidRPr="00C62264">
        <w:tab/>
      </w:r>
      <w:r w:rsidR="00B54864">
        <w:tab/>
      </w:r>
      <w:r w:rsidRPr="00C62264">
        <w:t xml:space="preserve">Met Ed’s references and legal citations are correct.  Met Ed and the other EDCs were required by law to submit smart meter plans and to implement them accordingly.  Their costs for this deployment are recoverable from the customers.  As part of the smart meter plan, Met Ed submitted a proposed tariff with the method for recovery from customers, and this tariff was approved by the Commission.  A Commission-approved tariff has the force and effect of law, and the utility must charge its customers using the approved terms.  </w:t>
      </w:r>
      <w:proofErr w:type="gramStart"/>
      <w:r w:rsidRPr="00C62264">
        <w:t xml:space="preserve">66 </w:t>
      </w:r>
      <w:proofErr w:type="spellStart"/>
      <w:r w:rsidRPr="00C62264">
        <w:t>Pa.C.S</w:t>
      </w:r>
      <w:proofErr w:type="spellEnd"/>
      <w:r w:rsidRPr="00C62264">
        <w:t xml:space="preserve"> § 1303.</w:t>
      </w:r>
      <w:proofErr w:type="gramEnd"/>
      <w:r w:rsidRPr="00C62264">
        <w:t xml:space="preserve">  The tariff does not exempt a customer from the smart meter plan nor from paying the charge associated with it, and therefore, neither the Company nor the Commission may excuse Complainant from participation in the Plan or from the charge used to pay for it.  </w:t>
      </w:r>
    </w:p>
    <w:p w:rsidR="008F7BCB" w:rsidRPr="00C62264" w:rsidRDefault="008F7BCB" w:rsidP="00B31019">
      <w:pPr>
        <w:pStyle w:val="IndentedQuote"/>
        <w:ind w:right="1440"/>
      </w:pPr>
    </w:p>
    <w:p w:rsidR="008F7BCB" w:rsidRPr="00C62264" w:rsidRDefault="008F7BCB" w:rsidP="00B31019">
      <w:pPr>
        <w:pStyle w:val="IndentedQuote"/>
        <w:ind w:right="1440"/>
      </w:pPr>
      <w:r w:rsidRPr="00C62264">
        <w:tab/>
      </w:r>
      <w:r w:rsidR="00B54864">
        <w:tab/>
      </w:r>
      <w:r w:rsidRPr="00C62264">
        <w:t xml:space="preserve">The SMT-charge is used to fund an initiative required by law, but the charge itself pays for the initiative.  </w:t>
      </w:r>
    </w:p>
    <w:p w:rsidR="008F7BCB" w:rsidRPr="00C62264" w:rsidRDefault="008F7BCB" w:rsidP="00B31019">
      <w:pPr>
        <w:pStyle w:val="IndentedQuote"/>
        <w:ind w:right="1440"/>
      </w:pPr>
    </w:p>
    <w:p w:rsidR="008F7BCB" w:rsidRPr="00C62264" w:rsidRDefault="008F7BCB" w:rsidP="00B31019">
      <w:pPr>
        <w:pStyle w:val="IndentedQuote"/>
        <w:ind w:right="1440"/>
      </w:pPr>
      <w:r w:rsidRPr="00C62264">
        <w:tab/>
      </w:r>
      <w:r w:rsidR="00B54864">
        <w:tab/>
      </w:r>
      <w:r w:rsidRPr="00C62264">
        <w:t>Complainant makes the point that he does not currently benefit from the use of a smart meter, and therefore, it is unfair to require him to foot the bill for it.  He is not alone in this situation, as there are many electric customers state-wide who will not or cannot take advantage of it as intended in conjunction with time of use rates or by closely watching consumption.  However, underlying the legislation is the policy that the customer base itself is better served through the upgrade of the existing meters, and all customers are charged for its development and implementation.</w:t>
      </w:r>
    </w:p>
    <w:p w:rsidR="008F7BCB" w:rsidRPr="00C62264" w:rsidRDefault="008F7BCB" w:rsidP="00B31019">
      <w:pPr>
        <w:pStyle w:val="IndentedQuote"/>
        <w:ind w:right="1440"/>
      </w:pPr>
    </w:p>
    <w:p w:rsidR="008F7BCB" w:rsidRPr="00C62264" w:rsidRDefault="008F7BCB" w:rsidP="00B31019">
      <w:pPr>
        <w:pStyle w:val="IndentedQuote"/>
        <w:ind w:right="1440"/>
      </w:pPr>
      <w:r w:rsidRPr="00C62264">
        <w:lastRenderedPageBreak/>
        <w:tab/>
      </w:r>
      <w:r w:rsidR="00B54864">
        <w:tab/>
      </w:r>
      <w:r w:rsidRPr="00C62264">
        <w:t>The result is that the Complainant has failed to state a claim upon which relief can be granted, and therefore the Preliminary Objections are granted.  The Complaint is dismissed.</w:t>
      </w:r>
      <w:r>
        <w:rPr>
          <w:rStyle w:val="FootnoteReference"/>
        </w:rPr>
        <w:footnoteReference w:id="7"/>
      </w:r>
    </w:p>
    <w:p w:rsidR="008F7BCB" w:rsidRDefault="008F7BCB" w:rsidP="00B37AB5">
      <w:pPr>
        <w:spacing w:line="360" w:lineRule="auto"/>
      </w:pPr>
    </w:p>
    <w:p w:rsidR="008F7BCB" w:rsidRDefault="00B37AB5" w:rsidP="00B37AB5">
      <w:pPr>
        <w:spacing w:line="360" w:lineRule="auto"/>
      </w:pPr>
      <w:r>
        <w:tab/>
      </w:r>
      <w:r>
        <w:tab/>
      </w:r>
      <w:r w:rsidR="008F7BCB">
        <w:t xml:space="preserve">Accordingly, the Complainant has received a final valid judgment on his claim and any future suit between the same parties on the same cause of action is barred by the doctrine of </w:t>
      </w:r>
      <w:r w:rsidR="008F7BCB">
        <w:rPr>
          <w:i/>
        </w:rPr>
        <w:t xml:space="preserve">res </w:t>
      </w:r>
      <w:proofErr w:type="spellStart"/>
      <w:r w:rsidR="008F7BCB">
        <w:rPr>
          <w:i/>
        </w:rPr>
        <w:t>judicata</w:t>
      </w:r>
      <w:proofErr w:type="spellEnd"/>
      <w:r w:rsidR="008F7BCB">
        <w:rPr>
          <w:i/>
        </w:rPr>
        <w:t xml:space="preserve">. </w:t>
      </w:r>
      <w:r w:rsidR="008F7BCB">
        <w:t>T</w:t>
      </w:r>
      <w:r w:rsidR="008F7BCB" w:rsidRPr="00A90524">
        <w:t>here is no further relief that can be offer</w:t>
      </w:r>
      <w:r w:rsidR="008F7BCB">
        <w:t>ed</w:t>
      </w:r>
      <w:r w:rsidR="008F7BCB" w:rsidRPr="00A90524">
        <w:t>.</w:t>
      </w:r>
      <w:r w:rsidR="008F7BCB" w:rsidRPr="00A90524">
        <w:rPr>
          <w:rStyle w:val="FootnoteReference"/>
        </w:rPr>
        <w:footnoteReference w:id="8"/>
      </w:r>
      <w:r w:rsidR="008F7BCB">
        <w:t xml:space="preserve">  His attempt to substitute the Commission for Met-Ed as the respondent to his complaint in an answer to preliminary objections is not appropriate and does not change the effect of the prior resolution of his complaint concerning Met Ed’s smart meter charge.  </w:t>
      </w:r>
    </w:p>
    <w:p w:rsidR="008F7BCB" w:rsidRDefault="008F7BCB" w:rsidP="00B37AB5">
      <w:pPr>
        <w:spacing w:line="360" w:lineRule="auto"/>
      </w:pPr>
    </w:p>
    <w:p w:rsidR="008F7BCB" w:rsidRDefault="00B37AB5" w:rsidP="00B37AB5">
      <w:pPr>
        <w:spacing w:line="360" w:lineRule="auto"/>
        <w:ind w:firstLine="720"/>
      </w:pPr>
      <w:r>
        <w:tab/>
      </w:r>
      <w:r w:rsidR="008F7BCB">
        <w:t>Therefore, the preliminary objections of Met Ed will be granted and the complaint will be dismissed for failure to state a claim upon which relief can be granted.</w:t>
      </w:r>
    </w:p>
    <w:p w:rsidR="008F7BCB" w:rsidRDefault="008F7BCB" w:rsidP="00B37AB5">
      <w:pPr>
        <w:spacing w:line="360" w:lineRule="auto"/>
        <w:ind w:firstLine="720"/>
      </w:pPr>
    </w:p>
    <w:p w:rsidR="008F7BCB" w:rsidRPr="00DE54C2" w:rsidRDefault="008F7BCB" w:rsidP="00B37AB5">
      <w:pPr>
        <w:spacing w:line="360" w:lineRule="auto"/>
        <w:jc w:val="center"/>
        <w:rPr>
          <w:u w:val="single"/>
        </w:rPr>
      </w:pPr>
      <w:r w:rsidRPr="00DE54C2">
        <w:rPr>
          <w:u w:val="single"/>
        </w:rPr>
        <w:t>CONCLUSIONS OF LAW</w:t>
      </w:r>
    </w:p>
    <w:p w:rsidR="008F7BCB" w:rsidRDefault="008F7BCB" w:rsidP="00B37AB5">
      <w:pPr>
        <w:spacing w:line="360" w:lineRule="auto"/>
      </w:pPr>
    </w:p>
    <w:p w:rsidR="008F7BCB" w:rsidRDefault="008F7BCB" w:rsidP="00B37AB5">
      <w:pPr>
        <w:spacing w:line="360" w:lineRule="auto"/>
      </w:pPr>
      <w:r>
        <w:tab/>
        <w:t>1.</w:t>
      </w:r>
      <w:r>
        <w:tab/>
        <w:t>The Commission has jurisdiction over the subject matter of this case.</w:t>
      </w:r>
    </w:p>
    <w:p w:rsidR="008F7BCB" w:rsidRDefault="008F7BCB" w:rsidP="00B37AB5">
      <w:pPr>
        <w:spacing w:line="360" w:lineRule="auto"/>
      </w:pPr>
    </w:p>
    <w:p w:rsidR="008F7BCB" w:rsidRDefault="008F7BCB" w:rsidP="00B37AB5">
      <w:pPr>
        <w:spacing w:line="360" w:lineRule="auto"/>
      </w:pPr>
      <w:r>
        <w:tab/>
        <w:t>2.</w:t>
      </w:r>
      <w:r>
        <w:tab/>
        <w:t>The claims raised by the complaint docketed at C-2010-2206160 are identical to the claims raised by the Complainant which were dismissed as legally insufficient at Docket No. C-2010-2200353, therefore there is no further relief that can be granted.</w:t>
      </w:r>
    </w:p>
    <w:p w:rsidR="008F7BCB" w:rsidRDefault="008F7BCB" w:rsidP="00B37AB5">
      <w:pPr>
        <w:spacing w:line="360" w:lineRule="auto"/>
      </w:pPr>
    </w:p>
    <w:p w:rsidR="00071F6A" w:rsidRDefault="00071F6A">
      <w:pPr>
        <w:autoSpaceDE/>
        <w:autoSpaceDN/>
        <w:rPr>
          <w:u w:val="single"/>
        </w:rPr>
      </w:pPr>
      <w:r>
        <w:rPr>
          <w:u w:val="single"/>
        </w:rPr>
        <w:br w:type="page"/>
      </w:r>
    </w:p>
    <w:p w:rsidR="008F7BCB" w:rsidRDefault="008F7BCB" w:rsidP="00B37AB5">
      <w:pPr>
        <w:spacing w:line="360" w:lineRule="auto"/>
        <w:jc w:val="center"/>
        <w:rPr>
          <w:u w:val="single"/>
        </w:rPr>
      </w:pPr>
      <w:r w:rsidRPr="00522ABF">
        <w:rPr>
          <w:u w:val="single"/>
        </w:rPr>
        <w:lastRenderedPageBreak/>
        <w:t>ORDER</w:t>
      </w:r>
    </w:p>
    <w:p w:rsidR="00B37AB5" w:rsidRDefault="00B37AB5" w:rsidP="00B37AB5">
      <w:pPr>
        <w:spacing w:line="360" w:lineRule="auto"/>
        <w:jc w:val="center"/>
        <w:rPr>
          <w:u w:val="single"/>
        </w:rPr>
      </w:pPr>
    </w:p>
    <w:p w:rsidR="00B37AB5" w:rsidRPr="00522ABF" w:rsidRDefault="00B37AB5" w:rsidP="00B37AB5">
      <w:pPr>
        <w:spacing w:line="360" w:lineRule="auto"/>
        <w:jc w:val="center"/>
        <w:rPr>
          <w:u w:val="single"/>
        </w:rPr>
      </w:pPr>
    </w:p>
    <w:p w:rsidR="008F7BCB" w:rsidRDefault="008F7BCB" w:rsidP="00B37AB5">
      <w:pPr>
        <w:spacing w:line="360" w:lineRule="auto"/>
        <w:ind w:firstLine="1440"/>
      </w:pPr>
      <w:r>
        <w:t>THEREFORE,</w:t>
      </w:r>
    </w:p>
    <w:p w:rsidR="00B37AB5" w:rsidRDefault="00B37AB5" w:rsidP="00B37AB5">
      <w:pPr>
        <w:spacing w:line="360" w:lineRule="auto"/>
        <w:ind w:firstLine="1440"/>
      </w:pPr>
    </w:p>
    <w:p w:rsidR="008F7BCB" w:rsidRDefault="008F7BCB" w:rsidP="00B37AB5">
      <w:pPr>
        <w:spacing w:line="360" w:lineRule="auto"/>
        <w:ind w:firstLine="1440"/>
      </w:pPr>
      <w:r>
        <w:t>IT IS ORDERED:</w:t>
      </w:r>
    </w:p>
    <w:p w:rsidR="008F7BCB" w:rsidRDefault="008F7BCB" w:rsidP="00B37AB5">
      <w:pPr>
        <w:spacing w:line="360" w:lineRule="auto"/>
      </w:pPr>
    </w:p>
    <w:p w:rsidR="008F7BCB" w:rsidRDefault="008F7BCB" w:rsidP="00B37AB5">
      <w:pPr>
        <w:spacing w:line="360" w:lineRule="auto"/>
      </w:pPr>
      <w:r>
        <w:tab/>
      </w:r>
      <w:r w:rsidR="00B37AB5">
        <w:tab/>
      </w:r>
      <w:r>
        <w:t>1.</w:t>
      </w:r>
      <w:r>
        <w:tab/>
        <w:t xml:space="preserve">That the Preliminary Objections filed by Metropolitan Edison Company at Docket No. C-2010-2206160 </w:t>
      </w:r>
      <w:proofErr w:type="gramStart"/>
      <w:r>
        <w:t>are</w:t>
      </w:r>
      <w:proofErr w:type="gramEnd"/>
      <w:r>
        <w:t xml:space="preserve"> granted.</w:t>
      </w:r>
    </w:p>
    <w:p w:rsidR="00B37AB5" w:rsidRDefault="00B37AB5" w:rsidP="00B37AB5">
      <w:pPr>
        <w:spacing w:line="360" w:lineRule="auto"/>
      </w:pPr>
    </w:p>
    <w:p w:rsidR="008F7BCB" w:rsidRDefault="008F7BCB" w:rsidP="00B37AB5">
      <w:pPr>
        <w:spacing w:line="360" w:lineRule="auto"/>
      </w:pPr>
      <w:r>
        <w:tab/>
      </w:r>
      <w:r w:rsidR="00B37AB5">
        <w:tab/>
      </w:r>
      <w:r>
        <w:t>2.</w:t>
      </w:r>
      <w:r>
        <w:tab/>
        <w:t xml:space="preserve">That the complaint of Dennis </w:t>
      </w:r>
      <w:proofErr w:type="spellStart"/>
      <w:r>
        <w:t>Lutterschmidt</w:t>
      </w:r>
      <w:proofErr w:type="spellEnd"/>
      <w:r>
        <w:t xml:space="preserve"> at C-2010-2206160 is dismissed.</w:t>
      </w:r>
    </w:p>
    <w:p w:rsidR="00B37AB5" w:rsidRDefault="00B37AB5" w:rsidP="00B37AB5">
      <w:pPr>
        <w:spacing w:line="360" w:lineRule="auto"/>
      </w:pPr>
    </w:p>
    <w:p w:rsidR="008F7BCB" w:rsidRPr="00A90524" w:rsidRDefault="008F7BCB" w:rsidP="00B37AB5">
      <w:pPr>
        <w:spacing w:line="360" w:lineRule="auto"/>
      </w:pPr>
      <w:r>
        <w:tab/>
      </w:r>
      <w:r w:rsidR="00B37AB5">
        <w:tab/>
      </w:r>
      <w:r>
        <w:t>3.</w:t>
      </w:r>
      <w:r>
        <w:tab/>
        <w:t xml:space="preserve">That the Secretary </w:t>
      </w:r>
      <w:proofErr w:type="gramStart"/>
      <w:r>
        <w:t>mark</w:t>
      </w:r>
      <w:proofErr w:type="gramEnd"/>
      <w:r>
        <w:t xml:space="preserve"> this docket closed.</w:t>
      </w:r>
    </w:p>
    <w:p w:rsidR="008F7BCB" w:rsidRDefault="008F7BCB" w:rsidP="00B37AB5">
      <w:pPr>
        <w:spacing w:line="360" w:lineRule="auto"/>
      </w:pPr>
    </w:p>
    <w:p w:rsidR="008F7BCB" w:rsidRDefault="008F7BCB" w:rsidP="00B37AB5">
      <w:pPr>
        <w:spacing w:line="360" w:lineRule="auto"/>
      </w:pPr>
    </w:p>
    <w:p w:rsidR="00756D87" w:rsidRPr="0021115D" w:rsidRDefault="006E1398" w:rsidP="0021115D">
      <w:pPr>
        <w:rPr>
          <w:u w:val="single"/>
        </w:rPr>
      </w:pPr>
      <w:r>
        <w:t>Date:</w:t>
      </w:r>
      <w:r>
        <w:tab/>
      </w:r>
      <w:r w:rsidR="00B37AB5">
        <w:rPr>
          <w:u w:val="single"/>
        </w:rPr>
        <w:t>September</w:t>
      </w:r>
      <w:r w:rsidR="00C93E94">
        <w:rPr>
          <w:u w:val="single"/>
        </w:rPr>
        <w:t xml:space="preserve"> 19</w:t>
      </w:r>
      <w:r w:rsidR="00397C03">
        <w:rPr>
          <w:u w:val="single"/>
        </w:rPr>
        <w:t>, 2011</w:t>
      </w:r>
      <w:r w:rsidR="00397C03" w:rsidRPr="0033670C">
        <w:tab/>
      </w:r>
      <w:r w:rsidR="00A603B2" w:rsidRPr="0021115D">
        <w:tab/>
      </w:r>
      <w:r>
        <w:tab/>
      </w:r>
      <w:r w:rsidR="00756D87" w:rsidRPr="0021115D">
        <w:tab/>
      </w:r>
      <w:r w:rsidR="0033670C">
        <w:tab/>
      </w:r>
      <w:r w:rsidR="007D5EDD" w:rsidRPr="0021115D">
        <w:rPr>
          <w:u w:val="single"/>
        </w:rPr>
        <w:tab/>
      </w:r>
      <w:r w:rsidR="007D5EDD" w:rsidRPr="0021115D">
        <w:rPr>
          <w:u w:val="single"/>
        </w:rPr>
        <w:tab/>
      </w:r>
      <w:r w:rsidR="007D5EDD" w:rsidRPr="0021115D">
        <w:rPr>
          <w:u w:val="single"/>
        </w:rPr>
        <w:tab/>
      </w:r>
      <w:r w:rsidR="007D5EDD" w:rsidRPr="0021115D">
        <w:rPr>
          <w:u w:val="single"/>
        </w:rPr>
        <w:tab/>
      </w:r>
      <w:r w:rsidR="00CF0AF9" w:rsidRPr="0021115D">
        <w:rPr>
          <w:u w:val="single"/>
        </w:rPr>
        <w:tab/>
      </w:r>
    </w:p>
    <w:p w:rsidR="00A603B2" w:rsidRDefault="002F7F69" w:rsidP="0021115D">
      <w:r w:rsidRPr="0021115D">
        <w:tab/>
      </w:r>
      <w:r w:rsidR="007D5EDD" w:rsidRPr="0021115D">
        <w:tab/>
      </w:r>
      <w:r w:rsidR="00A603B2" w:rsidRPr="0021115D">
        <w:tab/>
      </w:r>
      <w:r w:rsidR="007D5EDD" w:rsidRPr="0021115D">
        <w:tab/>
      </w:r>
      <w:r w:rsidR="006E1398">
        <w:tab/>
      </w:r>
      <w:r w:rsidR="006E1398">
        <w:tab/>
      </w:r>
      <w:r w:rsidR="007D5EDD" w:rsidRPr="0021115D">
        <w:tab/>
      </w:r>
      <w:r w:rsidR="0033670C">
        <w:tab/>
      </w:r>
      <w:r w:rsidR="005B22A9">
        <w:t>Mary D. Long</w:t>
      </w:r>
    </w:p>
    <w:p w:rsidR="003E6E39" w:rsidRPr="0021115D" w:rsidRDefault="003E6E39" w:rsidP="0021115D">
      <w:r>
        <w:tab/>
      </w:r>
      <w:r>
        <w:tab/>
      </w:r>
      <w:r>
        <w:tab/>
      </w:r>
      <w:r>
        <w:tab/>
      </w:r>
      <w:r>
        <w:tab/>
      </w:r>
      <w:r>
        <w:tab/>
      </w:r>
      <w:r>
        <w:tab/>
      </w:r>
      <w:r>
        <w:tab/>
        <w:t>Administrative Law Judge</w:t>
      </w:r>
    </w:p>
    <w:sectPr w:rsidR="003E6E39" w:rsidRPr="0021115D" w:rsidSect="00B36849">
      <w:footerReference w:type="even" r:id="rId7"/>
      <w:footerReference w:type="default" r:id="rId8"/>
      <w:pgSz w:w="12240" w:h="15840" w:code="1"/>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FC6" w:rsidRDefault="00AC4FC6">
      <w:r>
        <w:separator/>
      </w:r>
    </w:p>
  </w:endnote>
  <w:endnote w:type="continuationSeparator" w:id="0">
    <w:p w:rsidR="00AC4FC6" w:rsidRDefault="00AC4F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D51" w:rsidRDefault="0053338B" w:rsidP="00EC4144">
    <w:pPr>
      <w:pStyle w:val="Footer"/>
      <w:framePr w:wrap="around" w:vAnchor="text" w:hAnchor="margin" w:xAlign="center" w:y="1"/>
      <w:rPr>
        <w:rStyle w:val="PageNumber"/>
      </w:rPr>
    </w:pPr>
    <w:r>
      <w:rPr>
        <w:rStyle w:val="PageNumber"/>
      </w:rPr>
      <w:fldChar w:fldCharType="begin"/>
    </w:r>
    <w:r w:rsidR="00962D51">
      <w:rPr>
        <w:rStyle w:val="PageNumber"/>
      </w:rPr>
      <w:instrText xml:space="preserve">PAGE  </w:instrText>
    </w:r>
    <w:r>
      <w:rPr>
        <w:rStyle w:val="PageNumber"/>
      </w:rPr>
      <w:fldChar w:fldCharType="end"/>
    </w:r>
  </w:p>
  <w:p w:rsidR="00962D51" w:rsidRDefault="00962D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D51" w:rsidRPr="0033179D" w:rsidRDefault="0053338B" w:rsidP="00EC4144">
    <w:pPr>
      <w:pStyle w:val="Footer"/>
      <w:framePr w:wrap="around" w:vAnchor="text" w:hAnchor="margin" w:xAlign="center" w:y="1"/>
      <w:rPr>
        <w:rStyle w:val="PageNumber"/>
        <w:sz w:val="22"/>
        <w:szCs w:val="22"/>
      </w:rPr>
    </w:pPr>
    <w:r w:rsidRPr="0033179D">
      <w:rPr>
        <w:rStyle w:val="PageNumber"/>
        <w:sz w:val="22"/>
        <w:szCs w:val="22"/>
      </w:rPr>
      <w:fldChar w:fldCharType="begin"/>
    </w:r>
    <w:r w:rsidR="00962D51" w:rsidRPr="0033179D">
      <w:rPr>
        <w:rStyle w:val="PageNumber"/>
        <w:sz w:val="22"/>
        <w:szCs w:val="22"/>
      </w:rPr>
      <w:instrText xml:space="preserve">PAGE  </w:instrText>
    </w:r>
    <w:r w:rsidRPr="0033179D">
      <w:rPr>
        <w:rStyle w:val="PageNumber"/>
        <w:sz w:val="22"/>
        <w:szCs w:val="22"/>
      </w:rPr>
      <w:fldChar w:fldCharType="separate"/>
    </w:r>
    <w:r w:rsidR="00EC1E5C">
      <w:rPr>
        <w:rStyle w:val="PageNumber"/>
        <w:noProof/>
        <w:sz w:val="22"/>
        <w:szCs w:val="22"/>
      </w:rPr>
      <w:t>2</w:t>
    </w:r>
    <w:r w:rsidRPr="0033179D">
      <w:rPr>
        <w:rStyle w:val="PageNumber"/>
        <w:sz w:val="22"/>
        <w:szCs w:val="22"/>
      </w:rPr>
      <w:fldChar w:fldCharType="end"/>
    </w:r>
  </w:p>
  <w:p w:rsidR="00962D51" w:rsidRDefault="00962D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FC6" w:rsidRDefault="00AC4FC6">
      <w:r>
        <w:separator/>
      </w:r>
    </w:p>
  </w:footnote>
  <w:footnote w:type="continuationSeparator" w:id="0">
    <w:p w:rsidR="00AC4FC6" w:rsidRDefault="00AC4FC6">
      <w:r>
        <w:continuationSeparator/>
      </w:r>
    </w:p>
  </w:footnote>
  <w:footnote w:id="1">
    <w:p w:rsidR="008F7BCB" w:rsidRPr="00B37AB5" w:rsidRDefault="008F7BCB" w:rsidP="008F7BCB">
      <w:pPr>
        <w:pStyle w:val="FootnoteText"/>
        <w:rPr>
          <w:sz w:val="20"/>
          <w:szCs w:val="20"/>
        </w:rPr>
      </w:pPr>
      <w:r>
        <w:tab/>
      </w:r>
      <w:r w:rsidRPr="00B37AB5">
        <w:rPr>
          <w:rStyle w:val="FootnoteReference"/>
          <w:sz w:val="20"/>
          <w:szCs w:val="20"/>
        </w:rPr>
        <w:footnoteRef/>
      </w:r>
      <w:r w:rsidRPr="00B37AB5">
        <w:rPr>
          <w:sz w:val="20"/>
          <w:szCs w:val="20"/>
        </w:rPr>
        <w:t xml:space="preserve"> </w:t>
      </w:r>
      <w:r w:rsidRPr="00B37AB5">
        <w:rPr>
          <w:sz w:val="20"/>
          <w:szCs w:val="20"/>
        </w:rPr>
        <w:tab/>
      </w:r>
      <w:proofErr w:type="gramStart"/>
      <w:r w:rsidRPr="00B37AB5">
        <w:rPr>
          <w:sz w:val="20"/>
          <w:szCs w:val="20"/>
        </w:rPr>
        <w:t>52 Pa. Code § 5.101.</w:t>
      </w:r>
      <w:proofErr w:type="gramEnd"/>
    </w:p>
    <w:p w:rsidR="00B37AB5" w:rsidRPr="00B37AB5" w:rsidRDefault="00B37AB5" w:rsidP="008F7BCB">
      <w:pPr>
        <w:pStyle w:val="FootnoteText"/>
        <w:rPr>
          <w:sz w:val="20"/>
          <w:szCs w:val="20"/>
        </w:rPr>
      </w:pPr>
    </w:p>
  </w:footnote>
  <w:footnote w:id="2">
    <w:p w:rsidR="008F7BCB" w:rsidRPr="00B37AB5" w:rsidRDefault="008F7BCB" w:rsidP="008F7BCB">
      <w:pPr>
        <w:pStyle w:val="FootnoteText"/>
        <w:rPr>
          <w:sz w:val="20"/>
          <w:szCs w:val="20"/>
        </w:rPr>
      </w:pPr>
      <w:r w:rsidRPr="00B37AB5">
        <w:rPr>
          <w:sz w:val="20"/>
          <w:szCs w:val="20"/>
        </w:rPr>
        <w:tab/>
      </w:r>
      <w:r w:rsidRPr="00B37AB5">
        <w:rPr>
          <w:rStyle w:val="FootnoteReference"/>
          <w:sz w:val="20"/>
          <w:szCs w:val="20"/>
        </w:rPr>
        <w:footnoteRef/>
      </w:r>
      <w:r w:rsidRPr="00B37AB5">
        <w:rPr>
          <w:sz w:val="20"/>
          <w:szCs w:val="20"/>
        </w:rPr>
        <w:t xml:space="preserve"> </w:t>
      </w:r>
      <w:r w:rsidRPr="00B37AB5">
        <w:rPr>
          <w:sz w:val="20"/>
          <w:szCs w:val="20"/>
        </w:rPr>
        <w:tab/>
      </w:r>
      <w:r w:rsidRPr="00B37AB5">
        <w:rPr>
          <w:i/>
          <w:sz w:val="20"/>
          <w:szCs w:val="20"/>
        </w:rPr>
        <w:t xml:space="preserve">Equitable Small Transportation </w:t>
      </w:r>
      <w:proofErr w:type="spellStart"/>
      <w:r w:rsidRPr="00B37AB5">
        <w:rPr>
          <w:i/>
          <w:sz w:val="20"/>
          <w:szCs w:val="20"/>
        </w:rPr>
        <w:t>Intervenors</w:t>
      </w:r>
      <w:proofErr w:type="spellEnd"/>
      <w:r w:rsidRPr="00B37AB5">
        <w:rPr>
          <w:i/>
          <w:sz w:val="20"/>
          <w:szCs w:val="20"/>
        </w:rPr>
        <w:t xml:space="preserve"> v. Equitable Gas Company</w:t>
      </w:r>
      <w:r w:rsidRPr="00B37AB5">
        <w:rPr>
          <w:sz w:val="20"/>
          <w:szCs w:val="20"/>
        </w:rPr>
        <w:t xml:space="preserve">, 1994 Pa. PUC LEXIS 69, Docket No. </w:t>
      </w:r>
      <w:proofErr w:type="gramStart"/>
      <w:r w:rsidRPr="00B37AB5">
        <w:rPr>
          <w:sz w:val="20"/>
          <w:szCs w:val="20"/>
        </w:rPr>
        <w:t>C-00935435 (July 18, 1994).</w:t>
      </w:r>
      <w:proofErr w:type="gramEnd"/>
      <w:r w:rsidRPr="00B37AB5">
        <w:rPr>
          <w:sz w:val="20"/>
          <w:szCs w:val="20"/>
        </w:rPr>
        <w:t xml:space="preserve">  </w:t>
      </w:r>
    </w:p>
    <w:p w:rsidR="008F7BCB" w:rsidRPr="00B37AB5" w:rsidRDefault="008F7BCB" w:rsidP="008F7BCB">
      <w:pPr>
        <w:pStyle w:val="FootnoteText"/>
        <w:rPr>
          <w:sz w:val="20"/>
          <w:szCs w:val="20"/>
        </w:rPr>
      </w:pPr>
    </w:p>
  </w:footnote>
  <w:footnote w:id="3">
    <w:p w:rsidR="008F7BCB" w:rsidRPr="00B37AB5" w:rsidRDefault="008F7BCB" w:rsidP="008F7BCB">
      <w:pPr>
        <w:pStyle w:val="FootnoteText"/>
        <w:rPr>
          <w:sz w:val="20"/>
          <w:szCs w:val="20"/>
        </w:rPr>
      </w:pPr>
      <w:r w:rsidRPr="00B37AB5">
        <w:rPr>
          <w:sz w:val="20"/>
          <w:szCs w:val="20"/>
        </w:rPr>
        <w:tab/>
      </w:r>
      <w:r w:rsidRPr="00B37AB5">
        <w:rPr>
          <w:rStyle w:val="FootnoteReference"/>
          <w:sz w:val="20"/>
          <w:szCs w:val="20"/>
        </w:rPr>
        <w:footnoteRef/>
      </w:r>
      <w:r w:rsidRPr="00B37AB5">
        <w:rPr>
          <w:sz w:val="20"/>
          <w:szCs w:val="20"/>
        </w:rPr>
        <w:t xml:space="preserve"> </w:t>
      </w:r>
      <w:r w:rsidRPr="00B37AB5">
        <w:rPr>
          <w:sz w:val="20"/>
          <w:szCs w:val="20"/>
        </w:rPr>
        <w:tab/>
      </w:r>
      <w:proofErr w:type="gramStart"/>
      <w:r w:rsidRPr="00B37AB5">
        <w:rPr>
          <w:sz w:val="20"/>
          <w:szCs w:val="20"/>
        </w:rPr>
        <w:t>52 Pa. Code § 5.101(a).</w:t>
      </w:r>
      <w:proofErr w:type="gramEnd"/>
    </w:p>
    <w:p w:rsidR="008F7BCB" w:rsidRPr="00B37AB5" w:rsidRDefault="008F7BCB" w:rsidP="008F7BCB">
      <w:pPr>
        <w:pStyle w:val="FootnoteText"/>
        <w:rPr>
          <w:sz w:val="20"/>
          <w:szCs w:val="20"/>
        </w:rPr>
      </w:pPr>
    </w:p>
  </w:footnote>
  <w:footnote w:id="4">
    <w:p w:rsidR="008F7BCB" w:rsidRPr="00B37AB5" w:rsidRDefault="008F7BCB" w:rsidP="008F7BCB">
      <w:pPr>
        <w:pStyle w:val="FootnoteText"/>
        <w:rPr>
          <w:sz w:val="20"/>
          <w:szCs w:val="20"/>
        </w:rPr>
      </w:pPr>
      <w:r>
        <w:tab/>
      </w:r>
      <w:r w:rsidRPr="00B37AB5">
        <w:rPr>
          <w:rStyle w:val="FootnoteReference"/>
          <w:sz w:val="20"/>
          <w:szCs w:val="20"/>
        </w:rPr>
        <w:footnoteRef/>
      </w:r>
      <w:r w:rsidRPr="00B37AB5">
        <w:rPr>
          <w:sz w:val="20"/>
          <w:szCs w:val="20"/>
        </w:rPr>
        <w:t xml:space="preserve"> </w:t>
      </w:r>
      <w:r w:rsidRPr="00B37AB5">
        <w:rPr>
          <w:sz w:val="20"/>
          <w:szCs w:val="20"/>
        </w:rPr>
        <w:tab/>
      </w:r>
      <w:proofErr w:type="gramStart"/>
      <w:r w:rsidRPr="00B37AB5">
        <w:rPr>
          <w:i/>
          <w:sz w:val="20"/>
          <w:szCs w:val="20"/>
        </w:rPr>
        <w:t>Dept. of Auditor General, et al v. SERS, et al</w:t>
      </w:r>
      <w:r w:rsidRPr="00B37AB5">
        <w:rPr>
          <w:sz w:val="20"/>
          <w:szCs w:val="20"/>
        </w:rPr>
        <w:t xml:space="preserve">., 836 A.2d 1053, 1064 (Pa. </w:t>
      </w:r>
      <w:proofErr w:type="spellStart"/>
      <w:r w:rsidRPr="00B37AB5">
        <w:rPr>
          <w:sz w:val="20"/>
          <w:szCs w:val="20"/>
        </w:rPr>
        <w:t>Cmwlth</w:t>
      </w:r>
      <w:proofErr w:type="spellEnd"/>
      <w:r w:rsidRPr="00B37AB5">
        <w:rPr>
          <w:sz w:val="20"/>
          <w:szCs w:val="20"/>
        </w:rPr>
        <w:t xml:space="preserve">. 2003); </w:t>
      </w:r>
      <w:r w:rsidRPr="00B37AB5">
        <w:rPr>
          <w:i/>
          <w:sz w:val="20"/>
          <w:szCs w:val="20"/>
        </w:rPr>
        <w:t xml:space="preserve">P.J.S. v. Pa. State Ethics </w:t>
      </w:r>
      <w:proofErr w:type="spellStart"/>
      <w:r w:rsidRPr="00B37AB5">
        <w:rPr>
          <w:i/>
          <w:sz w:val="20"/>
          <w:szCs w:val="20"/>
        </w:rPr>
        <w:t>Comm’n</w:t>
      </w:r>
      <w:proofErr w:type="spellEnd"/>
      <w:r w:rsidRPr="00B37AB5">
        <w:rPr>
          <w:sz w:val="20"/>
          <w:szCs w:val="20"/>
        </w:rPr>
        <w:t xml:space="preserve">, 669 A.2d 1105 (Pa. </w:t>
      </w:r>
      <w:proofErr w:type="spellStart"/>
      <w:r w:rsidRPr="00B37AB5">
        <w:rPr>
          <w:sz w:val="20"/>
          <w:szCs w:val="20"/>
        </w:rPr>
        <w:t>Cmwlth</w:t>
      </w:r>
      <w:proofErr w:type="spellEnd"/>
      <w:r w:rsidRPr="00B37AB5">
        <w:rPr>
          <w:sz w:val="20"/>
          <w:szCs w:val="20"/>
        </w:rPr>
        <w:t>. 1996).</w:t>
      </w:r>
      <w:proofErr w:type="gramEnd"/>
    </w:p>
    <w:p w:rsidR="008F7BCB" w:rsidRPr="00B37AB5" w:rsidRDefault="008F7BCB" w:rsidP="008F7BCB">
      <w:pPr>
        <w:pStyle w:val="FootnoteText"/>
        <w:rPr>
          <w:sz w:val="20"/>
          <w:szCs w:val="20"/>
        </w:rPr>
      </w:pPr>
    </w:p>
  </w:footnote>
  <w:footnote w:id="5">
    <w:p w:rsidR="008F7BCB" w:rsidRPr="00B37AB5" w:rsidRDefault="008F7BCB" w:rsidP="008F7BCB">
      <w:pPr>
        <w:pStyle w:val="FootnoteText"/>
        <w:rPr>
          <w:sz w:val="20"/>
          <w:szCs w:val="20"/>
        </w:rPr>
      </w:pPr>
      <w:r w:rsidRPr="00B37AB5">
        <w:rPr>
          <w:sz w:val="20"/>
          <w:szCs w:val="20"/>
        </w:rPr>
        <w:tab/>
      </w:r>
      <w:r w:rsidRPr="00B37AB5">
        <w:rPr>
          <w:rStyle w:val="FootnoteReference"/>
          <w:sz w:val="20"/>
          <w:szCs w:val="20"/>
        </w:rPr>
        <w:footnoteRef/>
      </w:r>
      <w:r w:rsidRPr="00B37AB5">
        <w:rPr>
          <w:sz w:val="20"/>
          <w:szCs w:val="20"/>
        </w:rPr>
        <w:t xml:space="preserve"> </w:t>
      </w:r>
      <w:r w:rsidRPr="00B37AB5">
        <w:rPr>
          <w:sz w:val="20"/>
          <w:szCs w:val="20"/>
        </w:rPr>
        <w:tab/>
      </w:r>
      <w:proofErr w:type="gramStart"/>
      <w:r w:rsidRPr="00B37AB5">
        <w:rPr>
          <w:i/>
          <w:sz w:val="20"/>
          <w:szCs w:val="20"/>
        </w:rPr>
        <w:t>Boyd v. Ward</w:t>
      </w:r>
      <w:r w:rsidRPr="00B37AB5">
        <w:rPr>
          <w:sz w:val="20"/>
          <w:szCs w:val="20"/>
        </w:rPr>
        <w:t xml:space="preserve">, 802 A.2d 705 (Pa. </w:t>
      </w:r>
      <w:proofErr w:type="spellStart"/>
      <w:r w:rsidRPr="00B37AB5">
        <w:rPr>
          <w:sz w:val="20"/>
          <w:szCs w:val="20"/>
        </w:rPr>
        <w:t>Cmwlth</w:t>
      </w:r>
      <w:proofErr w:type="spellEnd"/>
      <w:r w:rsidRPr="00B37AB5">
        <w:rPr>
          <w:sz w:val="20"/>
          <w:szCs w:val="20"/>
        </w:rPr>
        <w:t>. 2002).</w:t>
      </w:r>
      <w:proofErr w:type="gramEnd"/>
      <w:r w:rsidRPr="00B37AB5">
        <w:rPr>
          <w:sz w:val="20"/>
          <w:szCs w:val="20"/>
        </w:rPr>
        <w:t xml:space="preserve">  </w:t>
      </w:r>
    </w:p>
    <w:p w:rsidR="008F7BCB" w:rsidRPr="00B37AB5" w:rsidRDefault="008F7BCB" w:rsidP="008F7BCB">
      <w:pPr>
        <w:pStyle w:val="FootnoteText"/>
        <w:rPr>
          <w:sz w:val="20"/>
          <w:szCs w:val="20"/>
        </w:rPr>
      </w:pPr>
    </w:p>
  </w:footnote>
  <w:footnote w:id="6">
    <w:p w:rsidR="008F7BCB" w:rsidRPr="00B37AB5" w:rsidRDefault="008F7BCB" w:rsidP="008F7BCB">
      <w:pPr>
        <w:pStyle w:val="FootnoteText"/>
        <w:rPr>
          <w:sz w:val="20"/>
          <w:szCs w:val="20"/>
        </w:rPr>
      </w:pPr>
      <w:r w:rsidRPr="00B37AB5">
        <w:rPr>
          <w:sz w:val="20"/>
          <w:szCs w:val="20"/>
        </w:rPr>
        <w:tab/>
      </w:r>
      <w:r w:rsidRPr="00B37AB5">
        <w:rPr>
          <w:rStyle w:val="FootnoteReference"/>
          <w:sz w:val="20"/>
          <w:szCs w:val="20"/>
        </w:rPr>
        <w:footnoteRef/>
      </w:r>
      <w:r w:rsidRPr="00B37AB5">
        <w:rPr>
          <w:sz w:val="20"/>
          <w:szCs w:val="20"/>
        </w:rPr>
        <w:t xml:space="preserve"> </w:t>
      </w:r>
      <w:r w:rsidRPr="00B37AB5">
        <w:rPr>
          <w:sz w:val="20"/>
          <w:szCs w:val="20"/>
        </w:rPr>
        <w:tab/>
      </w:r>
      <w:proofErr w:type="gramStart"/>
      <w:r w:rsidRPr="00B37AB5">
        <w:rPr>
          <w:i/>
          <w:sz w:val="20"/>
          <w:szCs w:val="20"/>
        </w:rPr>
        <w:t>Ridge v. State Employees’ Retirement Board</w:t>
      </w:r>
      <w:r w:rsidRPr="00B37AB5">
        <w:rPr>
          <w:sz w:val="20"/>
          <w:szCs w:val="20"/>
        </w:rPr>
        <w:t xml:space="preserve">, 690 A.2d 1312 (Pa. </w:t>
      </w:r>
      <w:proofErr w:type="spellStart"/>
      <w:r w:rsidRPr="00B37AB5">
        <w:rPr>
          <w:sz w:val="20"/>
          <w:szCs w:val="20"/>
        </w:rPr>
        <w:t>Cmwlth</w:t>
      </w:r>
      <w:proofErr w:type="spellEnd"/>
      <w:r w:rsidRPr="00B37AB5">
        <w:rPr>
          <w:sz w:val="20"/>
          <w:szCs w:val="20"/>
        </w:rPr>
        <w:t>. 1997).</w:t>
      </w:r>
      <w:proofErr w:type="gramEnd"/>
      <w:r w:rsidRPr="00B37AB5">
        <w:rPr>
          <w:sz w:val="20"/>
          <w:szCs w:val="20"/>
        </w:rPr>
        <w:t xml:space="preserve"> </w:t>
      </w:r>
    </w:p>
    <w:p w:rsidR="008F7BCB" w:rsidRPr="00B37AB5" w:rsidRDefault="008F7BCB" w:rsidP="008F7BCB">
      <w:pPr>
        <w:pStyle w:val="FootnoteText"/>
        <w:rPr>
          <w:sz w:val="20"/>
          <w:szCs w:val="20"/>
        </w:rPr>
      </w:pPr>
      <w:r w:rsidRPr="00B37AB5">
        <w:rPr>
          <w:sz w:val="20"/>
          <w:szCs w:val="20"/>
        </w:rPr>
        <w:t xml:space="preserve"> </w:t>
      </w:r>
    </w:p>
  </w:footnote>
  <w:footnote w:id="7">
    <w:p w:rsidR="008F7BCB" w:rsidRPr="00B37AB5" w:rsidRDefault="008F7BCB" w:rsidP="008F7BCB">
      <w:pPr>
        <w:pStyle w:val="FootnoteText"/>
        <w:ind w:firstLine="720"/>
        <w:rPr>
          <w:sz w:val="20"/>
          <w:szCs w:val="20"/>
        </w:rPr>
      </w:pPr>
      <w:r w:rsidRPr="00B37AB5">
        <w:rPr>
          <w:rStyle w:val="FootnoteReference"/>
          <w:sz w:val="20"/>
          <w:szCs w:val="20"/>
        </w:rPr>
        <w:footnoteRef/>
      </w:r>
      <w:r w:rsidRPr="00B37AB5">
        <w:rPr>
          <w:sz w:val="20"/>
          <w:szCs w:val="20"/>
        </w:rPr>
        <w:t xml:space="preserve"> </w:t>
      </w:r>
      <w:r w:rsidR="00B37AB5">
        <w:rPr>
          <w:sz w:val="20"/>
          <w:szCs w:val="20"/>
        </w:rPr>
        <w:tab/>
      </w:r>
      <w:proofErr w:type="gramStart"/>
      <w:r w:rsidRPr="00B37AB5">
        <w:rPr>
          <w:i/>
          <w:sz w:val="20"/>
          <w:szCs w:val="20"/>
        </w:rPr>
        <w:t xml:space="preserve">Dennis </w:t>
      </w:r>
      <w:proofErr w:type="spellStart"/>
      <w:r w:rsidRPr="00B37AB5">
        <w:rPr>
          <w:i/>
          <w:sz w:val="20"/>
          <w:szCs w:val="20"/>
        </w:rPr>
        <w:t>Lutherschmidt</w:t>
      </w:r>
      <w:proofErr w:type="spellEnd"/>
      <w:r w:rsidRPr="00B37AB5">
        <w:rPr>
          <w:i/>
          <w:sz w:val="20"/>
          <w:szCs w:val="20"/>
        </w:rPr>
        <w:t xml:space="preserve"> v. Metropolitan Edison Company</w:t>
      </w:r>
      <w:r w:rsidRPr="00B37AB5">
        <w:rPr>
          <w:sz w:val="20"/>
          <w:szCs w:val="20"/>
        </w:rPr>
        <w:t>, PUC Docket No.</w:t>
      </w:r>
      <w:proofErr w:type="gramEnd"/>
      <w:r w:rsidRPr="00B37AB5">
        <w:rPr>
          <w:sz w:val="20"/>
          <w:szCs w:val="20"/>
        </w:rPr>
        <w:t xml:space="preserve"> C-2010-2200353 (Initial Decision January 25, 2011; Final Commission Order March 25, 2011), slip op. at 4-7. </w:t>
      </w:r>
    </w:p>
    <w:p w:rsidR="008F7BCB" w:rsidRPr="00B37AB5" w:rsidRDefault="008F7BCB" w:rsidP="008F7BCB">
      <w:pPr>
        <w:pStyle w:val="FootnoteText"/>
        <w:rPr>
          <w:sz w:val="20"/>
          <w:szCs w:val="20"/>
        </w:rPr>
      </w:pPr>
    </w:p>
  </w:footnote>
  <w:footnote w:id="8">
    <w:p w:rsidR="008F7BCB" w:rsidRPr="00B37AB5" w:rsidRDefault="008F7BCB" w:rsidP="008F7BCB">
      <w:pPr>
        <w:pStyle w:val="FootnoteText"/>
        <w:ind w:firstLine="720"/>
        <w:rPr>
          <w:sz w:val="20"/>
          <w:szCs w:val="20"/>
        </w:rPr>
      </w:pPr>
      <w:r w:rsidRPr="00B37AB5">
        <w:rPr>
          <w:rStyle w:val="FootnoteReference"/>
          <w:sz w:val="20"/>
          <w:szCs w:val="20"/>
        </w:rPr>
        <w:footnoteRef/>
      </w:r>
      <w:r w:rsidRPr="00B37AB5">
        <w:rPr>
          <w:sz w:val="20"/>
          <w:szCs w:val="20"/>
        </w:rPr>
        <w:t xml:space="preserve"> </w:t>
      </w:r>
      <w:r w:rsidR="00B37AB5">
        <w:rPr>
          <w:sz w:val="20"/>
          <w:szCs w:val="20"/>
        </w:rPr>
        <w:tab/>
      </w:r>
      <w:r w:rsidRPr="00B37AB5">
        <w:rPr>
          <w:i/>
          <w:sz w:val="20"/>
          <w:szCs w:val="20"/>
        </w:rPr>
        <w:t>E.g. Cannon v. UGI Utilities – Gas Division,</w:t>
      </w:r>
      <w:r w:rsidRPr="00B37AB5">
        <w:rPr>
          <w:sz w:val="20"/>
          <w:szCs w:val="20"/>
        </w:rPr>
        <w:t xml:space="preserve"> PUC Docket No. C-20026883 (Order entered August 9, 2002).</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2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rsids>
    <w:rsidRoot w:val="00086CB1"/>
    <w:rsid w:val="000030AC"/>
    <w:rsid w:val="00003B76"/>
    <w:rsid w:val="000047FD"/>
    <w:rsid w:val="00010859"/>
    <w:rsid w:val="000141ED"/>
    <w:rsid w:val="00016BDA"/>
    <w:rsid w:val="00017462"/>
    <w:rsid w:val="00017F02"/>
    <w:rsid w:val="00025D34"/>
    <w:rsid w:val="00026020"/>
    <w:rsid w:val="000341C0"/>
    <w:rsid w:val="00041696"/>
    <w:rsid w:val="0004366F"/>
    <w:rsid w:val="0005002A"/>
    <w:rsid w:val="0005069C"/>
    <w:rsid w:val="00050B1A"/>
    <w:rsid w:val="00052406"/>
    <w:rsid w:val="000529DD"/>
    <w:rsid w:val="00056345"/>
    <w:rsid w:val="0005739D"/>
    <w:rsid w:val="00063B19"/>
    <w:rsid w:val="000657D1"/>
    <w:rsid w:val="00070E94"/>
    <w:rsid w:val="00071F6A"/>
    <w:rsid w:val="0007731E"/>
    <w:rsid w:val="0008255F"/>
    <w:rsid w:val="00086CB1"/>
    <w:rsid w:val="000873FE"/>
    <w:rsid w:val="00087760"/>
    <w:rsid w:val="0009167D"/>
    <w:rsid w:val="000916F3"/>
    <w:rsid w:val="000945EF"/>
    <w:rsid w:val="00094E1D"/>
    <w:rsid w:val="000A15F8"/>
    <w:rsid w:val="000A425C"/>
    <w:rsid w:val="000A49A7"/>
    <w:rsid w:val="000A4EF8"/>
    <w:rsid w:val="000A6493"/>
    <w:rsid w:val="000A683C"/>
    <w:rsid w:val="000B32F4"/>
    <w:rsid w:val="000B4FF5"/>
    <w:rsid w:val="000B60B7"/>
    <w:rsid w:val="000C55BC"/>
    <w:rsid w:val="000C5CFD"/>
    <w:rsid w:val="000D22D5"/>
    <w:rsid w:val="000D430D"/>
    <w:rsid w:val="000E2D78"/>
    <w:rsid w:val="000E4B9F"/>
    <w:rsid w:val="000F094B"/>
    <w:rsid w:val="000F0952"/>
    <w:rsid w:val="000F2FAA"/>
    <w:rsid w:val="001003A7"/>
    <w:rsid w:val="00105EA1"/>
    <w:rsid w:val="00106DD7"/>
    <w:rsid w:val="00107BE4"/>
    <w:rsid w:val="00107E92"/>
    <w:rsid w:val="00112924"/>
    <w:rsid w:val="00112E83"/>
    <w:rsid w:val="00113C45"/>
    <w:rsid w:val="00121513"/>
    <w:rsid w:val="00125EA8"/>
    <w:rsid w:val="00131729"/>
    <w:rsid w:val="0013269B"/>
    <w:rsid w:val="00136D02"/>
    <w:rsid w:val="00146B5F"/>
    <w:rsid w:val="00153F31"/>
    <w:rsid w:val="00161023"/>
    <w:rsid w:val="0016227E"/>
    <w:rsid w:val="00164E31"/>
    <w:rsid w:val="0017635D"/>
    <w:rsid w:val="00177EC4"/>
    <w:rsid w:val="001803FF"/>
    <w:rsid w:val="00181738"/>
    <w:rsid w:val="001847D1"/>
    <w:rsid w:val="00184B2B"/>
    <w:rsid w:val="0018758C"/>
    <w:rsid w:val="00187EB4"/>
    <w:rsid w:val="001A5FE3"/>
    <w:rsid w:val="001B02A8"/>
    <w:rsid w:val="001B2B4E"/>
    <w:rsid w:val="001B43B1"/>
    <w:rsid w:val="001B4EEC"/>
    <w:rsid w:val="001B7FEE"/>
    <w:rsid w:val="001C3E6C"/>
    <w:rsid w:val="001E1BA2"/>
    <w:rsid w:val="001E3EC9"/>
    <w:rsid w:val="001F08FA"/>
    <w:rsid w:val="001F1ABE"/>
    <w:rsid w:val="0020260D"/>
    <w:rsid w:val="00203DE4"/>
    <w:rsid w:val="00204F31"/>
    <w:rsid w:val="00204F82"/>
    <w:rsid w:val="0021115D"/>
    <w:rsid w:val="0021286E"/>
    <w:rsid w:val="0021464C"/>
    <w:rsid w:val="002148F0"/>
    <w:rsid w:val="00221E89"/>
    <w:rsid w:val="0022224B"/>
    <w:rsid w:val="00224EC5"/>
    <w:rsid w:val="00235EC8"/>
    <w:rsid w:val="00242505"/>
    <w:rsid w:val="0025627D"/>
    <w:rsid w:val="0026155A"/>
    <w:rsid w:val="00264C97"/>
    <w:rsid w:val="00264D90"/>
    <w:rsid w:val="00266B0D"/>
    <w:rsid w:val="00284F6C"/>
    <w:rsid w:val="002900B8"/>
    <w:rsid w:val="00291EA8"/>
    <w:rsid w:val="00294309"/>
    <w:rsid w:val="002949EE"/>
    <w:rsid w:val="00294A29"/>
    <w:rsid w:val="00296F9C"/>
    <w:rsid w:val="002A1B7B"/>
    <w:rsid w:val="002A1C03"/>
    <w:rsid w:val="002A2836"/>
    <w:rsid w:val="002A5FAC"/>
    <w:rsid w:val="002B1EE0"/>
    <w:rsid w:val="002B4A60"/>
    <w:rsid w:val="002B6FB3"/>
    <w:rsid w:val="002C689B"/>
    <w:rsid w:val="002C7E7E"/>
    <w:rsid w:val="002E26A8"/>
    <w:rsid w:val="002F4C02"/>
    <w:rsid w:val="002F7F69"/>
    <w:rsid w:val="00303958"/>
    <w:rsid w:val="00307518"/>
    <w:rsid w:val="00307B1D"/>
    <w:rsid w:val="00310E89"/>
    <w:rsid w:val="003120CA"/>
    <w:rsid w:val="00313DBF"/>
    <w:rsid w:val="00314E8D"/>
    <w:rsid w:val="00322E37"/>
    <w:rsid w:val="00330955"/>
    <w:rsid w:val="0033179D"/>
    <w:rsid w:val="00335B69"/>
    <w:rsid w:val="0033670C"/>
    <w:rsid w:val="003379E1"/>
    <w:rsid w:val="003410EC"/>
    <w:rsid w:val="003410FA"/>
    <w:rsid w:val="00341155"/>
    <w:rsid w:val="003452C4"/>
    <w:rsid w:val="00350B71"/>
    <w:rsid w:val="00351AEE"/>
    <w:rsid w:val="0035242D"/>
    <w:rsid w:val="00354D5B"/>
    <w:rsid w:val="00355AAC"/>
    <w:rsid w:val="003575C1"/>
    <w:rsid w:val="00360A4D"/>
    <w:rsid w:val="00360B08"/>
    <w:rsid w:val="00362096"/>
    <w:rsid w:val="003725F2"/>
    <w:rsid w:val="00372D88"/>
    <w:rsid w:val="00380F49"/>
    <w:rsid w:val="003908B2"/>
    <w:rsid w:val="003912B7"/>
    <w:rsid w:val="003923CB"/>
    <w:rsid w:val="00392809"/>
    <w:rsid w:val="003961CB"/>
    <w:rsid w:val="00397C03"/>
    <w:rsid w:val="003A0EDE"/>
    <w:rsid w:val="003A389D"/>
    <w:rsid w:val="003A5681"/>
    <w:rsid w:val="003B337F"/>
    <w:rsid w:val="003B68C8"/>
    <w:rsid w:val="003C4D9B"/>
    <w:rsid w:val="003C5581"/>
    <w:rsid w:val="003C7F0C"/>
    <w:rsid w:val="003D1739"/>
    <w:rsid w:val="003D537C"/>
    <w:rsid w:val="003D7BD2"/>
    <w:rsid w:val="003E5BC8"/>
    <w:rsid w:val="003E5D7A"/>
    <w:rsid w:val="003E6E39"/>
    <w:rsid w:val="003F0C51"/>
    <w:rsid w:val="003F6D49"/>
    <w:rsid w:val="004013DC"/>
    <w:rsid w:val="004072A8"/>
    <w:rsid w:val="00407D67"/>
    <w:rsid w:val="0041060A"/>
    <w:rsid w:val="0041133F"/>
    <w:rsid w:val="0041459E"/>
    <w:rsid w:val="004149E1"/>
    <w:rsid w:val="00421134"/>
    <w:rsid w:val="00421EF2"/>
    <w:rsid w:val="00426BEE"/>
    <w:rsid w:val="004361B5"/>
    <w:rsid w:val="004371CB"/>
    <w:rsid w:val="00437D33"/>
    <w:rsid w:val="00437DB6"/>
    <w:rsid w:val="00442208"/>
    <w:rsid w:val="00444284"/>
    <w:rsid w:val="00446729"/>
    <w:rsid w:val="0045417B"/>
    <w:rsid w:val="0045539F"/>
    <w:rsid w:val="00463AD7"/>
    <w:rsid w:val="004665DD"/>
    <w:rsid w:val="00471373"/>
    <w:rsid w:val="00473122"/>
    <w:rsid w:val="004751BF"/>
    <w:rsid w:val="0048313B"/>
    <w:rsid w:val="0048408A"/>
    <w:rsid w:val="004864A5"/>
    <w:rsid w:val="00495507"/>
    <w:rsid w:val="00496DA0"/>
    <w:rsid w:val="004A0453"/>
    <w:rsid w:val="004B6D6C"/>
    <w:rsid w:val="004C6560"/>
    <w:rsid w:val="004D606C"/>
    <w:rsid w:val="004D7D58"/>
    <w:rsid w:val="004E12B8"/>
    <w:rsid w:val="004E30E9"/>
    <w:rsid w:val="004E3DFB"/>
    <w:rsid w:val="004E4BA0"/>
    <w:rsid w:val="004F3704"/>
    <w:rsid w:val="004F6BAD"/>
    <w:rsid w:val="00503255"/>
    <w:rsid w:val="00514CEB"/>
    <w:rsid w:val="00520E35"/>
    <w:rsid w:val="00522798"/>
    <w:rsid w:val="00525BAC"/>
    <w:rsid w:val="00526E3C"/>
    <w:rsid w:val="00526E4A"/>
    <w:rsid w:val="005310F8"/>
    <w:rsid w:val="00533123"/>
    <w:rsid w:val="0053338B"/>
    <w:rsid w:val="00533965"/>
    <w:rsid w:val="005343A1"/>
    <w:rsid w:val="00537FA3"/>
    <w:rsid w:val="005415ED"/>
    <w:rsid w:val="00547399"/>
    <w:rsid w:val="00550E7F"/>
    <w:rsid w:val="00551C93"/>
    <w:rsid w:val="005564FA"/>
    <w:rsid w:val="00561691"/>
    <w:rsid w:val="00566FAA"/>
    <w:rsid w:val="00567E87"/>
    <w:rsid w:val="00573496"/>
    <w:rsid w:val="00575AF8"/>
    <w:rsid w:val="00577385"/>
    <w:rsid w:val="005842BA"/>
    <w:rsid w:val="005851CA"/>
    <w:rsid w:val="005921B0"/>
    <w:rsid w:val="005A24A1"/>
    <w:rsid w:val="005A32EC"/>
    <w:rsid w:val="005A369F"/>
    <w:rsid w:val="005A4B63"/>
    <w:rsid w:val="005A7AA2"/>
    <w:rsid w:val="005B1F82"/>
    <w:rsid w:val="005B22A9"/>
    <w:rsid w:val="005B2E94"/>
    <w:rsid w:val="005B5263"/>
    <w:rsid w:val="005B5287"/>
    <w:rsid w:val="005B6E83"/>
    <w:rsid w:val="005C56B2"/>
    <w:rsid w:val="005D7643"/>
    <w:rsid w:val="005D7E04"/>
    <w:rsid w:val="005E09FF"/>
    <w:rsid w:val="005E5CDF"/>
    <w:rsid w:val="005E6508"/>
    <w:rsid w:val="005F12FF"/>
    <w:rsid w:val="00607278"/>
    <w:rsid w:val="00611EA8"/>
    <w:rsid w:val="00612838"/>
    <w:rsid w:val="006140C7"/>
    <w:rsid w:val="00617825"/>
    <w:rsid w:val="006244E6"/>
    <w:rsid w:val="00626CDF"/>
    <w:rsid w:val="0063054E"/>
    <w:rsid w:val="00632E79"/>
    <w:rsid w:val="00633D26"/>
    <w:rsid w:val="00635166"/>
    <w:rsid w:val="0063617D"/>
    <w:rsid w:val="006364BE"/>
    <w:rsid w:val="00636666"/>
    <w:rsid w:val="00640C9C"/>
    <w:rsid w:val="00641506"/>
    <w:rsid w:val="00644F24"/>
    <w:rsid w:val="006547D7"/>
    <w:rsid w:val="00656B62"/>
    <w:rsid w:val="006661CF"/>
    <w:rsid w:val="006717AD"/>
    <w:rsid w:val="0067677D"/>
    <w:rsid w:val="00693AA1"/>
    <w:rsid w:val="00697661"/>
    <w:rsid w:val="006A3505"/>
    <w:rsid w:val="006B60B5"/>
    <w:rsid w:val="006C1130"/>
    <w:rsid w:val="006C1CC0"/>
    <w:rsid w:val="006C2247"/>
    <w:rsid w:val="006C32DA"/>
    <w:rsid w:val="006C576F"/>
    <w:rsid w:val="006C5BFA"/>
    <w:rsid w:val="006C66DE"/>
    <w:rsid w:val="006D15A8"/>
    <w:rsid w:val="006D1869"/>
    <w:rsid w:val="006D6436"/>
    <w:rsid w:val="006E1110"/>
    <w:rsid w:val="006E1398"/>
    <w:rsid w:val="006E6E9D"/>
    <w:rsid w:val="006F35B1"/>
    <w:rsid w:val="006F3887"/>
    <w:rsid w:val="00702EA0"/>
    <w:rsid w:val="00703AC2"/>
    <w:rsid w:val="00706DCC"/>
    <w:rsid w:val="0071609E"/>
    <w:rsid w:val="00717B17"/>
    <w:rsid w:val="00720DF5"/>
    <w:rsid w:val="0072150F"/>
    <w:rsid w:val="00733828"/>
    <w:rsid w:val="00734023"/>
    <w:rsid w:val="00742DA9"/>
    <w:rsid w:val="00743308"/>
    <w:rsid w:val="007437F8"/>
    <w:rsid w:val="00750380"/>
    <w:rsid w:val="00756D87"/>
    <w:rsid w:val="0076666C"/>
    <w:rsid w:val="007747AD"/>
    <w:rsid w:val="00774D0F"/>
    <w:rsid w:val="007823DC"/>
    <w:rsid w:val="007840F3"/>
    <w:rsid w:val="00786662"/>
    <w:rsid w:val="007A34A0"/>
    <w:rsid w:val="007A35A6"/>
    <w:rsid w:val="007A6CE9"/>
    <w:rsid w:val="007A73B5"/>
    <w:rsid w:val="007A7BEF"/>
    <w:rsid w:val="007A7F84"/>
    <w:rsid w:val="007B3CBE"/>
    <w:rsid w:val="007B5EDC"/>
    <w:rsid w:val="007B6EE2"/>
    <w:rsid w:val="007B74DC"/>
    <w:rsid w:val="007C2F41"/>
    <w:rsid w:val="007C5912"/>
    <w:rsid w:val="007C7A4D"/>
    <w:rsid w:val="007C7CF6"/>
    <w:rsid w:val="007D4B1E"/>
    <w:rsid w:val="007D51B0"/>
    <w:rsid w:val="007D5EDD"/>
    <w:rsid w:val="007E117E"/>
    <w:rsid w:val="007E616B"/>
    <w:rsid w:val="007E66C6"/>
    <w:rsid w:val="007F1103"/>
    <w:rsid w:val="007F652E"/>
    <w:rsid w:val="00802FD9"/>
    <w:rsid w:val="00816091"/>
    <w:rsid w:val="00820719"/>
    <w:rsid w:val="008210D4"/>
    <w:rsid w:val="0082135E"/>
    <w:rsid w:val="00821D60"/>
    <w:rsid w:val="0082452A"/>
    <w:rsid w:val="00827B80"/>
    <w:rsid w:val="00827BFC"/>
    <w:rsid w:val="0083123C"/>
    <w:rsid w:val="00833F83"/>
    <w:rsid w:val="00834E42"/>
    <w:rsid w:val="0083616C"/>
    <w:rsid w:val="008364FA"/>
    <w:rsid w:val="0084451E"/>
    <w:rsid w:val="0084583C"/>
    <w:rsid w:val="00846C86"/>
    <w:rsid w:val="00850C6B"/>
    <w:rsid w:val="00851226"/>
    <w:rsid w:val="00855DA5"/>
    <w:rsid w:val="00855E2C"/>
    <w:rsid w:val="0085685F"/>
    <w:rsid w:val="008651B5"/>
    <w:rsid w:val="00880EB5"/>
    <w:rsid w:val="00883E8B"/>
    <w:rsid w:val="0089087B"/>
    <w:rsid w:val="008948FF"/>
    <w:rsid w:val="0089536D"/>
    <w:rsid w:val="008A1101"/>
    <w:rsid w:val="008A1148"/>
    <w:rsid w:val="008A18C5"/>
    <w:rsid w:val="008A1F52"/>
    <w:rsid w:val="008A3861"/>
    <w:rsid w:val="008A7717"/>
    <w:rsid w:val="008B0CC0"/>
    <w:rsid w:val="008B1177"/>
    <w:rsid w:val="008B22AE"/>
    <w:rsid w:val="008B4027"/>
    <w:rsid w:val="008B4695"/>
    <w:rsid w:val="008C00AF"/>
    <w:rsid w:val="008C43C1"/>
    <w:rsid w:val="008C71CE"/>
    <w:rsid w:val="008D0D14"/>
    <w:rsid w:val="008D5316"/>
    <w:rsid w:val="008D7410"/>
    <w:rsid w:val="008D7D71"/>
    <w:rsid w:val="008E0B5E"/>
    <w:rsid w:val="008E68A1"/>
    <w:rsid w:val="008F3B25"/>
    <w:rsid w:val="008F3BE3"/>
    <w:rsid w:val="008F5A24"/>
    <w:rsid w:val="008F7BCB"/>
    <w:rsid w:val="008F7D5E"/>
    <w:rsid w:val="00904D6B"/>
    <w:rsid w:val="00906FC3"/>
    <w:rsid w:val="00910340"/>
    <w:rsid w:val="009261C0"/>
    <w:rsid w:val="00926924"/>
    <w:rsid w:val="009300FD"/>
    <w:rsid w:val="009331F4"/>
    <w:rsid w:val="00934EA9"/>
    <w:rsid w:val="00935F9C"/>
    <w:rsid w:val="00941000"/>
    <w:rsid w:val="0094352A"/>
    <w:rsid w:val="00945ABE"/>
    <w:rsid w:val="0094713C"/>
    <w:rsid w:val="0095005F"/>
    <w:rsid w:val="00950819"/>
    <w:rsid w:val="0095524B"/>
    <w:rsid w:val="009553BE"/>
    <w:rsid w:val="00961463"/>
    <w:rsid w:val="00961E7B"/>
    <w:rsid w:val="00962D51"/>
    <w:rsid w:val="00964A7F"/>
    <w:rsid w:val="00964F7B"/>
    <w:rsid w:val="00966C5A"/>
    <w:rsid w:val="00974295"/>
    <w:rsid w:val="00976C3C"/>
    <w:rsid w:val="00985FD1"/>
    <w:rsid w:val="00987D15"/>
    <w:rsid w:val="00990B3F"/>
    <w:rsid w:val="0099101A"/>
    <w:rsid w:val="00993605"/>
    <w:rsid w:val="009977B5"/>
    <w:rsid w:val="009977DD"/>
    <w:rsid w:val="009A20FE"/>
    <w:rsid w:val="009A3451"/>
    <w:rsid w:val="009A3951"/>
    <w:rsid w:val="009B4461"/>
    <w:rsid w:val="009C0F97"/>
    <w:rsid w:val="009C1A5F"/>
    <w:rsid w:val="009C31B9"/>
    <w:rsid w:val="009C585D"/>
    <w:rsid w:val="009C7770"/>
    <w:rsid w:val="009D3712"/>
    <w:rsid w:val="009D3A8F"/>
    <w:rsid w:val="009D44B6"/>
    <w:rsid w:val="009E45F7"/>
    <w:rsid w:val="009F015E"/>
    <w:rsid w:val="009F03F5"/>
    <w:rsid w:val="009F4C95"/>
    <w:rsid w:val="009F6942"/>
    <w:rsid w:val="009F6EE1"/>
    <w:rsid w:val="00A03ACA"/>
    <w:rsid w:val="00A10234"/>
    <w:rsid w:val="00A15B4F"/>
    <w:rsid w:val="00A17971"/>
    <w:rsid w:val="00A20D5E"/>
    <w:rsid w:val="00A22063"/>
    <w:rsid w:val="00A23437"/>
    <w:rsid w:val="00A2384F"/>
    <w:rsid w:val="00A25AB9"/>
    <w:rsid w:val="00A32276"/>
    <w:rsid w:val="00A37A66"/>
    <w:rsid w:val="00A40A86"/>
    <w:rsid w:val="00A40C65"/>
    <w:rsid w:val="00A41309"/>
    <w:rsid w:val="00A43868"/>
    <w:rsid w:val="00A5683B"/>
    <w:rsid w:val="00A603B2"/>
    <w:rsid w:val="00A62764"/>
    <w:rsid w:val="00A63400"/>
    <w:rsid w:val="00A66A95"/>
    <w:rsid w:val="00A705E1"/>
    <w:rsid w:val="00A70680"/>
    <w:rsid w:val="00A74C01"/>
    <w:rsid w:val="00A762EE"/>
    <w:rsid w:val="00A81B0E"/>
    <w:rsid w:val="00A830EA"/>
    <w:rsid w:val="00A85C25"/>
    <w:rsid w:val="00A97300"/>
    <w:rsid w:val="00AA2580"/>
    <w:rsid w:val="00AA2CB2"/>
    <w:rsid w:val="00AA2DAF"/>
    <w:rsid w:val="00AA65DA"/>
    <w:rsid w:val="00AC44E0"/>
    <w:rsid w:val="00AC4FC6"/>
    <w:rsid w:val="00AC51AA"/>
    <w:rsid w:val="00AC5B3F"/>
    <w:rsid w:val="00AD5AAE"/>
    <w:rsid w:val="00AE0EA0"/>
    <w:rsid w:val="00AE3DA5"/>
    <w:rsid w:val="00AE6BE2"/>
    <w:rsid w:val="00AF133B"/>
    <w:rsid w:val="00AF13DF"/>
    <w:rsid w:val="00AF3878"/>
    <w:rsid w:val="00AF3BE3"/>
    <w:rsid w:val="00AF57A6"/>
    <w:rsid w:val="00AF6E6A"/>
    <w:rsid w:val="00AF7DB1"/>
    <w:rsid w:val="00B10666"/>
    <w:rsid w:val="00B14894"/>
    <w:rsid w:val="00B15E57"/>
    <w:rsid w:val="00B1627B"/>
    <w:rsid w:val="00B258BE"/>
    <w:rsid w:val="00B31019"/>
    <w:rsid w:val="00B31AFF"/>
    <w:rsid w:val="00B32245"/>
    <w:rsid w:val="00B34142"/>
    <w:rsid w:val="00B36849"/>
    <w:rsid w:val="00B37AB5"/>
    <w:rsid w:val="00B4015C"/>
    <w:rsid w:val="00B44152"/>
    <w:rsid w:val="00B47E64"/>
    <w:rsid w:val="00B50A0F"/>
    <w:rsid w:val="00B54864"/>
    <w:rsid w:val="00B62393"/>
    <w:rsid w:val="00B63094"/>
    <w:rsid w:val="00B653CD"/>
    <w:rsid w:val="00B6613A"/>
    <w:rsid w:val="00B6712C"/>
    <w:rsid w:val="00B71747"/>
    <w:rsid w:val="00B73BC4"/>
    <w:rsid w:val="00B80B9C"/>
    <w:rsid w:val="00B908D0"/>
    <w:rsid w:val="00B92911"/>
    <w:rsid w:val="00B9441D"/>
    <w:rsid w:val="00B95FF1"/>
    <w:rsid w:val="00BA2364"/>
    <w:rsid w:val="00BA48F3"/>
    <w:rsid w:val="00BA6B2E"/>
    <w:rsid w:val="00BA72CC"/>
    <w:rsid w:val="00BB1FE4"/>
    <w:rsid w:val="00BB41C7"/>
    <w:rsid w:val="00BB4295"/>
    <w:rsid w:val="00BB54E1"/>
    <w:rsid w:val="00BB579E"/>
    <w:rsid w:val="00BC0835"/>
    <w:rsid w:val="00BC268E"/>
    <w:rsid w:val="00BD0BA7"/>
    <w:rsid w:val="00BD1C31"/>
    <w:rsid w:val="00BD3A67"/>
    <w:rsid w:val="00BD4D81"/>
    <w:rsid w:val="00C05781"/>
    <w:rsid w:val="00C10942"/>
    <w:rsid w:val="00C110FB"/>
    <w:rsid w:val="00C20C67"/>
    <w:rsid w:val="00C262BF"/>
    <w:rsid w:val="00C30862"/>
    <w:rsid w:val="00C343DF"/>
    <w:rsid w:val="00C37423"/>
    <w:rsid w:val="00C44DDF"/>
    <w:rsid w:val="00C4583E"/>
    <w:rsid w:val="00C45A57"/>
    <w:rsid w:val="00C46EB8"/>
    <w:rsid w:val="00C478DE"/>
    <w:rsid w:val="00C603BF"/>
    <w:rsid w:val="00C612E1"/>
    <w:rsid w:val="00C63BCE"/>
    <w:rsid w:val="00C647CC"/>
    <w:rsid w:val="00C650F2"/>
    <w:rsid w:val="00C73B5A"/>
    <w:rsid w:val="00C773A9"/>
    <w:rsid w:val="00C82E74"/>
    <w:rsid w:val="00C863BA"/>
    <w:rsid w:val="00C86DA7"/>
    <w:rsid w:val="00C93E94"/>
    <w:rsid w:val="00C95662"/>
    <w:rsid w:val="00CA11A4"/>
    <w:rsid w:val="00CA5954"/>
    <w:rsid w:val="00CA6758"/>
    <w:rsid w:val="00CA6D4A"/>
    <w:rsid w:val="00CB0ED6"/>
    <w:rsid w:val="00CB3221"/>
    <w:rsid w:val="00CC2130"/>
    <w:rsid w:val="00CC5F33"/>
    <w:rsid w:val="00CD4CC0"/>
    <w:rsid w:val="00CD5C75"/>
    <w:rsid w:val="00CE42A1"/>
    <w:rsid w:val="00CE5A14"/>
    <w:rsid w:val="00CE64F6"/>
    <w:rsid w:val="00CF0AF9"/>
    <w:rsid w:val="00CF2B2E"/>
    <w:rsid w:val="00CF3AFE"/>
    <w:rsid w:val="00CF4503"/>
    <w:rsid w:val="00D038E3"/>
    <w:rsid w:val="00D06B9C"/>
    <w:rsid w:val="00D07C61"/>
    <w:rsid w:val="00D156FA"/>
    <w:rsid w:val="00D20823"/>
    <w:rsid w:val="00D20EC8"/>
    <w:rsid w:val="00D2302F"/>
    <w:rsid w:val="00D23B34"/>
    <w:rsid w:val="00D25C9E"/>
    <w:rsid w:val="00D31951"/>
    <w:rsid w:val="00D35B4A"/>
    <w:rsid w:val="00D3636E"/>
    <w:rsid w:val="00D37833"/>
    <w:rsid w:val="00D404FB"/>
    <w:rsid w:val="00D42021"/>
    <w:rsid w:val="00D47569"/>
    <w:rsid w:val="00D5574E"/>
    <w:rsid w:val="00D6044C"/>
    <w:rsid w:val="00D61B9B"/>
    <w:rsid w:val="00D63477"/>
    <w:rsid w:val="00D66382"/>
    <w:rsid w:val="00D6647B"/>
    <w:rsid w:val="00D73DFB"/>
    <w:rsid w:val="00D75D31"/>
    <w:rsid w:val="00D76ECE"/>
    <w:rsid w:val="00D805AC"/>
    <w:rsid w:val="00D83196"/>
    <w:rsid w:val="00D8539B"/>
    <w:rsid w:val="00D860D2"/>
    <w:rsid w:val="00D941C1"/>
    <w:rsid w:val="00D972F7"/>
    <w:rsid w:val="00DA75F0"/>
    <w:rsid w:val="00DA7715"/>
    <w:rsid w:val="00DB2A86"/>
    <w:rsid w:val="00DB6089"/>
    <w:rsid w:val="00DB7F5A"/>
    <w:rsid w:val="00DC0E41"/>
    <w:rsid w:val="00DC0EC7"/>
    <w:rsid w:val="00DC35CE"/>
    <w:rsid w:val="00DC4444"/>
    <w:rsid w:val="00DC7E9B"/>
    <w:rsid w:val="00DD297B"/>
    <w:rsid w:val="00DD5A4E"/>
    <w:rsid w:val="00DD61C9"/>
    <w:rsid w:val="00DD6858"/>
    <w:rsid w:val="00DE08C4"/>
    <w:rsid w:val="00DE22D8"/>
    <w:rsid w:val="00DF1C12"/>
    <w:rsid w:val="00DF24CE"/>
    <w:rsid w:val="00DF2806"/>
    <w:rsid w:val="00DF2EEF"/>
    <w:rsid w:val="00DF5DD8"/>
    <w:rsid w:val="00E038E8"/>
    <w:rsid w:val="00E233B9"/>
    <w:rsid w:val="00E23C5A"/>
    <w:rsid w:val="00E367E4"/>
    <w:rsid w:val="00E40E20"/>
    <w:rsid w:val="00E41C60"/>
    <w:rsid w:val="00E43928"/>
    <w:rsid w:val="00E44455"/>
    <w:rsid w:val="00E52220"/>
    <w:rsid w:val="00E609C4"/>
    <w:rsid w:val="00E60CFD"/>
    <w:rsid w:val="00E67058"/>
    <w:rsid w:val="00E72154"/>
    <w:rsid w:val="00E7773C"/>
    <w:rsid w:val="00E80161"/>
    <w:rsid w:val="00E80255"/>
    <w:rsid w:val="00E83985"/>
    <w:rsid w:val="00E9194C"/>
    <w:rsid w:val="00E97143"/>
    <w:rsid w:val="00E972EF"/>
    <w:rsid w:val="00EA184D"/>
    <w:rsid w:val="00EA1A12"/>
    <w:rsid w:val="00EA2D70"/>
    <w:rsid w:val="00EA511F"/>
    <w:rsid w:val="00EB3EB7"/>
    <w:rsid w:val="00EB4A7E"/>
    <w:rsid w:val="00EB7025"/>
    <w:rsid w:val="00EB75E5"/>
    <w:rsid w:val="00EC1E5C"/>
    <w:rsid w:val="00EC4144"/>
    <w:rsid w:val="00ED45C8"/>
    <w:rsid w:val="00ED45E3"/>
    <w:rsid w:val="00ED491D"/>
    <w:rsid w:val="00ED6626"/>
    <w:rsid w:val="00EE1111"/>
    <w:rsid w:val="00EE37F0"/>
    <w:rsid w:val="00EF5835"/>
    <w:rsid w:val="00EF6DF7"/>
    <w:rsid w:val="00F02B8F"/>
    <w:rsid w:val="00F047F8"/>
    <w:rsid w:val="00F04890"/>
    <w:rsid w:val="00F1748F"/>
    <w:rsid w:val="00F21031"/>
    <w:rsid w:val="00F2198D"/>
    <w:rsid w:val="00F225EA"/>
    <w:rsid w:val="00F22A7C"/>
    <w:rsid w:val="00F22FC7"/>
    <w:rsid w:val="00F23664"/>
    <w:rsid w:val="00F26228"/>
    <w:rsid w:val="00F346EF"/>
    <w:rsid w:val="00F34739"/>
    <w:rsid w:val="00F4295A"/>
    <w:rsid w:val="00F45BC2"/>
    <w:rsid w:val="00F46CA7"/>
    <w:rsid w:val="00F47B37"/>
    <w:rsid w:val="00F5196C"/>
    <w:rsid w:val="00F614FB"/>
    <w:rsid w:val="00F63F7C"/>
    <w:rsid w:val="00F67A26"/>
    <w:rsid w:val="00F834B9"/>
    <w:rsid w:val="00F8563B"/>
    <w:rsid w:val="00F86197"/>
    <w:rsid w:val="00F87C9C"/>
    <w:rsid w:val="00F9460B"/>
    <w:rsid w:val="00F9572E"/>
    <w:rsid w:val="00F97C1F"/>
    <w:rsid w:val="00FA6177"/>
    <w:rsid w:val="00FA7BFB"/>
    <w:rsid w:val="00FB31D1"/>
    <w:rsid w:val="00FB3849"/>
    <w:rsid w:val="00FB5DEE"/>
    <w:rsid w:val="00FB5F1A"/>
    <w:rsid w:val="00FC2DCB"/>
    <w:rsid w:val="00FC5EE9"/>
    <w:rsid w:val="00FC7F38"/>
    <w:rsid w:val="00FD4B8E"/>
    <w:rsid w:val="00FD620A"/>
    <w:rsid w:val="00FD7DC9"/>
    <w:rsid w:val="00FE12F5"/>
    <w:rsid w:val="00FE164C"/>
    <w:rsid w:val="00FE2750"/>
    <w:rsid w:val="00FE32FC"/>
    <w:rsid w:val="00FE33A3"/>
    <w:rsid w:val="00FE4895"/>
    <w:rsid w:val="00FE520A"/>
    <w:rsid w:val="00FF0F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68A1"/>
    <w:pPr>
      <w:autoSpaceDE w:val="0"/>
      <w:autoSpaceDN w:val="0"/>
    </w:pPr>
    <w:rPr>
      <w:sz w:val="24"/>
      <w:szCs w:val="24"/>
    </w:rPr>
  </w:style>
  <w:style w:type="paragraph" w:styleId="Heading1">
    <w:name w:val="heading 1"/>
    <w:basedOn w:val="Normal"/>
    <w:next w:val="Normal"/>
    <w:qFormat/>
    <w:rsid w:val="008E68A1"/>
    <w:pPr>
      <w:keepNext/>
      <w:tabs>
        <w:tab w:val="center" w:pos="4680"/>
      </w:tabs>
      <w:suppressAutoHyphens/>
      <w:jc w:val="both"/>
      <w:outlineLvl w:val="0"/>
    </w:pPr>
    <w:rPr>
      <w:b/>
      <w:bCs/>
    </w:rPr>
  </w:style>
  <w:style w:type="paragraph" w:styleId="Heading2">
    <w:name w:val="heading 2"/>
    <w:basedOn w:val="Normal"/>
    <w:next w:val="Normal"/>
    <w:qFormat/>
    <w:rsid w:val="008E68A1"/>
    <w:pPr>
      <w:keepNext/>
      <w:spacing w:line="360" w:lineRule="auto"/>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68A1"/>
    <w:pPr>
      <w:tabs>
        <w:tab w:val="center" w:pos="4320"/>
        <w:tab w:val="right" w:pos="8640"/>
      </w:tabs>
    </w:pPr>
  </w:style>
  <w:style w:type="character" w:styleId="PageNumber">
    <w:name w:val="page number"/>
    <w:basedOn w:val="DefaultParagraphFont"/>
    <w:rsid w:val="008E68A1"/>
  </w:style>
  <w:style w:type="paragraph" w:styleId="Header">
    <w:name w:val="header"/>
    <w:basedOn w:val="Normal"/>
    <w:rsid w:val="008E68A1"/>
    <w:pPr>
      <w:tabs>
        <w:tab w:val="center" w:pos="4320"/>
        <w:tab w:val="right" w:pos="8640"/>
      </w:tabs>
    </w:pPr>
  </w:style>
  <w:style w:type="paragraph" w:styleId="FootnoteText">
    <w:name w:val="footnote text"/>
    <w:aliases w:val="Car"/>
    <w:basedOn w:val="Normal"/>
    <w:link w:val="FootnoteTextChar"/>
    <w:qFormat/>
    <w:rsid w:val="008E68A1"/>
  </w:style>
  <w:style w:type="character" w:styleId="FootnoteReference">
    <w:name w:val="footnote reference"/>
    <w:basedOn w:val="DefaultParagraphFont"/>
    <w:uiPriority w:val="99"/>
    <w:rsid w:val="008E68A1"/>
    <w:rPr>
      <w:vertAlign w:val="superscript"/>
    </w:rPr>
  </w:style>
  <w:style w:type="paragraph" w:styleId="DocumentMap">
    <w:name w:val="Document Map"/>
    <w:basedOn w:val="Normal"/>
    <w:semiHidden/>
    <w:rsid w:val="008E68A1"/>
    <w:pPr>
      <w:shd w:val="clear" w:color="auto" w:fill="000080"/>
    </w:pPr>
    <w:rPr>
      <w:rFonts w:ascii="Tahoma" w:hAnsi="Tahoma" w:cs="Tahoma"/>
    </w:rPr>
  </w:style>
  <w:style w:type="character" w:customStyle="1" w:styleId="FootnoteTextChar">
    <w:name w:val="Footnote Text Char"/>
    <w:aliases w:val="Car Char"/>
    <w:basedOn w:val="DefaultParagraphFont"/>
    <w:link w:val="FootnoteText"/>
    <w:rsid w:val="00221E89"/>
    <w:rPr>
      <w:sz w:val="24"/>
      <w:szCs w:val="24"/>
    </w:rPr>
  </w:style>
  <w:style w:type="paragraph" w:customStyle="1" w:styleId="Style">
    <w:name w:val="Style"/>
    <w:basedOn w:val="FootnoteText"/>
    <w:rsid w:val="003923CB"/>
    <w:pPr>
      <w:ind w:firstLine="1440"/>
    </w:pPr>
    <w:rPr>
      <w:sz w:val="20"/>
      <w:szCs w:val="20"/>
    </w:rPr>
  </w:style>
  <w:style w:type="paragraph" w:styleId="BalloonText">
    <w:name w:val="Balloon Text"/>
    <w:basedOn w:val="Normal"/>
    <w:link w:val="BalloonTextChar"/>
    <w:rsid w:val="00EB7025"/>
    <w:rPr>
      <w:rFonts w:ascii="Tahoma" w:hAnsi="Tahoma" w:cs="Tahoma"/>
      <w:sz w:val="16"/>
      <w:szCs w:val="16"/>
    </w:rPr>
  </w:style>
  <w:style w:type="character" w:customStyle="1" w:styleId="BalloonTextChar">
    <w:name w:val="Balloon Text Char"/>
    <w:basedOn w:val="DefaultParagraphFont"/>
    <w:link w:val="BalloonText"/>
    <w:rsid w:val="00EB7025"/>
    <w:rPr>
      <w:rFonts w:ascii="Tahoma" w:hAnsi="Tahoma" w:cs="Tahoma"/>
      <w:sz w:val="16"/>
      <w:szCs w:val="16"/>
    </w:rPr>
  </w:style>
  <w:style w:type="paragraph" w:customStyle="1" w:styleId="IndentedQuote">
    <w:name w:val="Indented Quote"/>
    <w:basedOn w:val="Normal"/>
    <w:autoRedefine/>
    <w:qFormat/>
    <w:rsid w:val="008F7BCB"/>
    <w:pPr>
      <w:autoSpaceDE/>
      <w:autoSpaceDN/>
      <w:ind w:left="720" w:right="720"/>
    </w:pPr>
    <w:rPr>
      <w:rFonts w:eastAsia="Calibri"/>
    </w:rPr>
  </w:style>
  <w:style w:type="paragraph" w:styleId="Quote">
    <w:name w:val="Quote"/>
    <w:basedOn w:val="Normal"/>
    <w:next w:val="Normal"/>
    <w:link w:val="QuoteChar"/>
    <w:uiPriority w:val="29"/>
    <w:qFormat/>
    <w:rsid w:val="008F7BCB"/>
    <w:pPr>
      <w:autoSpaceDE/>
      <w:autoSpaceDN/>
      <w:spacing w:after="120"/>
    </w:pPr>
    <w:rPr>
      <w:iCs/>
      <w:color w:val="000000" w:themeColor="text1"/>
      <w:szCs w:val="20"/>
    </w:rPr>
  </w:style>
  <w:style w:type="character" w:customStyle="1" w:styleId="QuoteChar">
    <w:name w:val="Quote Char"/>
    <w:basedOn w:val="DefaultParagraphFont"/>
    <w:link w:val="Quote"/>
    <w:uiPriority w:val="29"/>
    <w:rsid w:val="008F7BCB"/>
    <w:rPr>
      <w:iCs/>
      <w:color w:val="000000" w:themeColor="text1"/>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FBFE5-7D14-4864-B4E4-E4EB41490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BEFORE THE</vt:lpstr>
    </vt:vector>
  </TitlesOfParts>
  <Company>PA PUC</Company>
  <LinksUpToDate>false</LinksUpToDate>
  <CharactersWithSpaces>8790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BEFORE THE</dc:title>
  <dc:subject/>
  <dc:creator>PA PUC</dc:creator>
  <cp:keywords/>
  <dc:description/>
  <cp:lastModifiedBy>tibikunle</cp:lastModifiedBy>
  <cp:revision>3</cp:revision>
  <cp:lastPrinted>2011-09-27T14:18:00Z</cp:lastPrinted>
  <dcterms:created xsi:type="dcterms:W3CDTF">2011-09-19T15:00:00Z</dcterms:created>
  <dcterms:modified xsi:type="dcterms:W3CDTF">2011-09-27T14:19:00Z</dcterms:modified>
</cp:coreProperties>
</file>