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706171" w:rsidRPr="00D8760E" w:rsidTr="003729CD">
        <w:trPr>
          <w:trHeight w:val="990"/>
        </w:trPr>
        <w:tc>
          <w:tcPr>
            <w:tcW w:w="1363" w:type="dxa"/>
          </w:tcPr>
          <w:p w:rsidR="00706171" w:rsidRPr="00D8760E" w:rsidRDefault="00706171" w:rsidP="003729CD">
            <w:r>
              <w:rPr>
                <w:noProof/>
                <w:spacing w:val="-2"/>
              </w:rPr>
              <w:drawing>
                <wp:inline distT="0" distB="0" distL="0" distR="0">
                  <wp:extent cx="723900" cy="723900"/>
                  <wp:effectExtent l="19050" t="0" r="0" b="0"/>
                  <wp:docPr id="2"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706171" w:rsidRPr="00D8760E" w:rsidRDefault="00706171" w:rsidP="003729CD">
            <w:pPr>
              <w:suppressAutoHyphens/>
              <w:jc w:val="center"/>
              <w:rPr>
                <w:rFonts w:ascii="Arial" w:hAnsi="Arial"/>
                <w:color w:val="000080"/>
                <w:spacing w:val="-3"/>
                <w:sz w:val="26"/>
              </w:rPr>
            </w:pPr>
          </w:p>
          <w:p w:rsidR="00706171" w:rsidRPr="00D8760E" w:rsidRDefault="00706171" w:rsidP="003729CD">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706171" w:rsidRPr="00D8760E" w:rsidRDefault="00706171" w:rsidP="003729CD">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706171" w:rsidRPr="00D8760E" w:rsidRDefault="00706171" w:rsidP="003729CD">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706171" w:rsidRPr="00D8760E" w:rsidRDefault="00706171" w:rsidP="003729CD">
            <w:pPr>
              <w:rPr>
                <w:rFonts w:ascii="Arial" w:hAnsi="Arial"/>
                <w:sz w:val="12"/>
              </w:rPr>
            </w:pPr>
          </w:p>
          <w:p w:rsidR="00706171" w:rsidRPr="00D8760E" w:rsidRDefault="00706171" w:rsidP="003729CD">
            <w:pPr>
              <w:rPr>
                <w:rFonts w:ascii="Arial" w:hAnsi="Arial"/>
                <w:sz w:val="12"/>
              </w:rPr>
            </w:pPr>
          </w:p>
          <w:p w:rsidR="00706171" w:rsidRPr="00D8760E" w:rsidRDefault="00706171" w:rsidP="003729CD">
            <w:pPr>
              <w:rPr>
                <w:rFonts w:ascii="Arial" w:hAnsi="Arial"/>
                <w:sz w:val="12"/>
              </w:rPr>
            </w:pPr>
          </w:p>
          <w:p w:rsidR="00706171" w:rsidRPr="00D8760E" w:rsidRDefault="00706171" w:rsidP="003729CD">
            <w:pPr>
              <w:rPr>
                <w:rFonts w:ascii="Arial" w:hAnsi="Arial"/>
                <w:sz w:val="12"/>
              </w:rPr>
            </w:pPr>
          </w:p>
          <w:p w:rsidR="00706171" w:rsidRPr="00D8760E" w:rsidRDefault="00706171" w:rsidP="003729CD">
            <w:pPr>
              <w:rPr>
                <w:rFonts w:ascii="Arial" w:hAnsi="Arial"/>
                <w:sz w:val="12"/>
              </w:rPr>
            </w:pPr>
          </w:p>
          <w:p w:rsidR="00706171" w:rsidRPr="00D8760E" w:rsidRDefault="00706171" w:rsidP="003729CD">
            <w:pPr>
              <w:rPr>
                <w:rFonts w:ascii="Arial" w:hAnsi="Arial"/>
                <w:sz w:val="12"/>
              </w:rPr>
            </w:pPr>
          </w:p>
          <w:p w:rsidR="00706171" w:rsidRPr="00D8760E" w:rsidRDefault="00706171" w:rsidP="003729CD">
            <w:pPr>
              <w:jc w:val="right"/>
              <w:rPr>
                <w:rFonts w:ascii="Arial" w:hAnsi="Arial"/>
                <w:sz w:val="12"/>
              </w:rPr>
            </w:pPr>
            <w:r w:rsidRPr="00D8760E">
              <w:rPr>
                <w:rFonts w:ascii="Arial" w:hAnsi="Arial"/>
                <w:b/>
                <w:spacing w:val="-1"/>
                <w:sz w:val="12"/>
              </w:rPr>
              <w:t>IN REPLY PLEASE REFER TO OUR FILE</w:t>
            </w:r>
          </w:p>
        </w:tc>
      </w:tr>
    </w:tbl>
    <w:p w:rsidR="00706171" w:rsidRPr="007A669B" w:rsidRDefault="00706171" w:rsidP="00706171">
      <w:pPr>
        <w:ind w:left="-900" w:right="-720"/>
        <w:rPr>
          <w:rFonts w:ascii="Arial" w:hAnsi="Arial"/>
          <w:b/>
        </w:rPr>
      </w:pPr>
      <w:r w:rsidRPr="0050388D">
        <w:t xml:space="preserve"> </w:t>
      </w:r>
      <w:r w:rsidRPr="00EF5ECF">
        <w:rPr>
          <w:rFonts w:ascii="Arial" w:hAnsi="Arial"/>
          <w:b/>
          <w:u w:val="single"/>
        </w:rPr>
        <w:t>PRESS RELEASE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sidRPr="00335C74">
        <w:rPr>
          <w:rFonts w:ascii="Arial" w:hAnsi="Arial"/>
          <w:b/>
          <w:color w:val="FF0000"/>
        </w:rPr>
        <w:tab/>
      </w:r>
      <w:r>
        <w:rPr>
          <w:rFonts w:ascii="Arial" w:hAnsi="Arial"/>
          <w:b/>
        </w:rPr>
        <w:tab/>
      </w:r>
    </w:p>
    <w:p w:rsidR="00706171" w:rsidRPr="00EF5ECF" w:rsidRDefault="00706171" w:rsidP="00706171">
      <w:pPr>
        <w:ind w:left="-900" w:right="-720"/>
        <w:rPr>
          <w:rFonts w:ascii="Arial" w:hAnsi="Arial"/>
        </w:rPr>
      </w:pPr>
      <w:r w:rsidRPr="00EF5ECF">
        <w:rPr>
          <w:rFonts w:ascii="Arial" w:hAnsi="Arial"/>
        </w:rPr>
        <w:t xml:space="preserve"> </w:t>
      </w:r>
      <w:r w:rsidRPr="00856B6C">
        <w:rPr>
          <w:rFonts w:ascii="Arial" w:hAnsi="Arial"/>
        </w:rPr>
        <w:t xml:space="preserve">Date: </w:t>
      </w:r>
      <w:r w:rsidRPr="00856B6C">
        <w:rPr>
          <w:rFonts w:ascii="Arial" w:hAnsi="Arial"/>
        </w:rPr>
        <w:tab/>
      </w:r>
      <w:r>
        <w:rPr>
          <w:rFonts w:ascii="Arial" w:hAnsi="Arial"/>
        </w:rPr>
        <w:tab/>
        <w:t>Sept. 2</w:t>
      </w:r>
      <w:r w:rsidR="009B25BD">
        <w:rPr>
          <w:rFonts w:ascii="Arial" w:hAnsi="Arial"/>
        </w:rPr>
        <w:t>2</w:t>
      </w:r>
      <w:r>
        <w:rPr>
          <w:rFonts w:ascii="Arial" w:hAnsi="Arial"/>
        </w:rPr>
        <w:t>, 2011</w:t>
      </w:r>
      <w:r w:rsidRPr="00EF5ECF">
        <w:rPr>
          <w:rFonts w:ascii="Arial" w:hAnsi="Arial"/>
        </w:rPr>
        <w:tab/>
      </w:r>
      <w:r w:rsidRPr="00EF5ECF">
        <w:rPr>
          <w:rFonts w:ascii="Arial" w:hAnsi="Arial"/>
        </w:rPr>
        <w:tab/>
      </w:r>
      <w:r w:rsidRPr="00EF5ECF">
        <w:rPr>
          <w:rFonts w:ascii="Arial" w:hAnsi="Arial"/>
        </w:rPr>
        <w:tab/>
      </w:r>
    </w:p>
    <w:p w:rsidR="00706171" w:rsidRDefault="00706171" w:rsidP="00706171">
      <w:pPr>
        <w:ind w:left="-900" w:right="-720"/>
        <w:rPr>
          <w:rFonts w:ascii="Arial" w:hAnsi="Arial"/>
        </w:rPr>
      </w:pPr>
      <w:r w:rsidRPr="00EF5ECF">
        <w:rPr>
          <w:rFonts w:ascii="Arial" w:hAnsi="Arial"/>
        </w:rPr>
        <w:t xml:space="preserve"> Contact:</w:t>
      </w:r>
      <w:r w:rsidRPr="00EF5ECF">
        <w:rPr>
          <w:rFonts w:ascii="Arial" w:hAnsi="Arial"/>
        </w:rPr>
        <w:tab/>
      </w:r>
      <w:r>
        <w:rPr>
          <w:rFonts w:ascii="Arial" w:hAnsi="Arial"/>
        </w:rPr>
        <w:t>Jennifer Kocher, Press Secretary</w:t>
      </w:r>
    </w:p>
    <w:p w:rsidR="00706171" w:rsidRPr="00EF5ECF" w:rsidRDefault="00706171" w:rsidP="00706171">
      <w:pPr>
        <w:ind w:left="-900" w:right="-720"/>
        <w:rPr>
          <w:rFonts w:ascii="Arial" w:hAnsi="Arial"/>
        </w:rPr>
      </w:pPr>
      <w:r>
        <w:rPr>
          <w:rFonts w:ascii="Arial" w:hAnsi="Arial"/>
        </w:rPr>
        <w:tab/>
      </w:r>
      <w:r>
        <w:rPr>
          <w:rFonts w:ascii="Arial" w:hAnsi="Arial"/>
        </w:rPr>
        <w:tab/>
      </w:r>
      <w:r>
        <w:rPr>
          <w:rFonts w:ascii="Arial" w:hAnsi="Arial"/>
        </w:rPr>
        <w:tab/>
        <w:t xml:space="preserve">(717) 787-5722 or </w:t>
      </w:r>
      <w:hyperlink r:id="rId6" w:history="1">
        <w:r w:rsidRPr="00396C7D">
          <w:rPr>
            <w:rStyle w:val="Hyperlink"/>
            <w:rFonts w:ascii="Arial" w:hAnsi="Arial"/>
          </w:rPr>
          <w:t>jekocher@pa.gov</w:t>
        </w:r>
      </w:hyperlink>
      <w:r>
        <w:rPr>
          <w:rFonts w:ascii="Arial" w:hAnsi="Arial"/>
        </w:rPr>
        <w:t xml:space="preserve">  </w:t>
      </w:r>
    </w:p>
    <w:p w:rsidR="00706171" w:rsidRDefault="00706171" w:rsidP="00706171">
      <w:pPr>
        <w:ind w:left="-540" w:right="-720"/>
        <w:jc w:val="center"/>
        <w:rPr>
          <w:rFonts w:ascii="Arial" w:hAnsi="Arial"/>
          <w:b/>
        </w:rPr>
      </w:pPr>
    </w:p>
    <w:p w:rsidR="00706171" w:rsidRPr="0070744C" w:rsidRDefault="00706171" w:rsidP="00706171">
      <w:pPr>
        <w:ind w:left="-900" w:right="-990"/>
        <w:jc w:val="center"/>
        <w:rPr>
          <w:rFonts w:ascii="Arial" w:hAnsi="Arial"/>
          <w:b/>
          <w:bCs/>
        </w:rPr>
      </w:pPr>
      <w:r>
        <w:rPr>
          <w:rFonts w:ascii="Arial" w:hAnsi="Arial"/>
          <w:b/>
          <w:bCs/>
        </w:rPr>
        <w:t xml:space="preserve">PUC </w:t>
      </w:r>
      <w:r w:rsidR="004211FD">
        <w:rPr>
          <w:rFonts w:ascii="Arial" w:hAnsi="Arial"/>
          <w:b/>
          <w:bCs/>
        </w:rPr>
        <w:t xml:space="preserve">Finalizes Rulemaking, Policy Statement on </w:t>
      </w:r>
      <w:r w:rsidR="007607F1">
        <w:rPr>
          <w:rFonts w:ascii="Arial" w:hAnsi="Arial"/>
          <w:b/>
          <w:bCs/>
        </w:rPr>
        <w:t>Default Service, Retail Electric Markets</w:t>
      </w:r>
    </w:p>
    <w:p w:rsidR="00706171" w:rsidRPr="00A33043" w:rsidRDefault="00706171" w:rsidP="00706171">
      <w:pPr>
        <w:ind w:left="-540" w:right="-990"/>
        <w:jc w:val="center"/>
        <w:rPr>
          <w:rFonts w:ascii="Arial" w:hAnsi="Arial"/>
          <w:b/>
          <w:bCs/>
        </w:rPr>
      </w:pPr>
    </w:p>
    <w:p w:rsidR="00856FC1" w:rsidRDefault="00706171" w:rsidP="00856FC1">
      <w:pPr>
        <w:autoSpaceDE w:val="0"/>
        <w:autoSpaceDN w:val="0"/>
        <w:adjustRightInd w:val="0"/>
        <w:ind w:left="-900" w:right="-720" w:firstLine="900"/>
        <w:rPr>
          <w:rFonts w:ascii="Arial" w:hAnsi="Arial"/>
        </w:rPr>
      </w:pPr>
      <w:r w:rsidRPr="00EF5ECF">
        <w:rPr>
          <w:rFonts w:ascii="Arial" w:hAnsi="Arial"/>
        </w:rPr>
        <w:t>HARRISBURG –</w:t>
      </w:r>
      <w:r>
        <w:rPr>
          <w:rFonts w:ascii="Arial" w:hAnsi="Arial"/>
        </w:rPr>
        <w:t xml:space="preserve"> The </w:t>
      </w:r>
      <w:r w:rsidRPr="00027C4D">
        <w:rPr>
          <w:rFonts w:ascii="Arial" w:hAnsi="Arial"/>
        </w:rPr>
        <w:t xml:space="preserve">Pennsylvania </w:t>
      </w:r>
      <w:r>
        <w:rPr>
          <w:rFonts w:ascii="Arial" w:hAnsi="Arial"/>
        </w:rPr>
        <w:t xml:space="preserve">Public Utility Commission (PUC) today </w:t>
      </w:r>
      <w:r w:rsidR="00E46281">
        <w:rPr>
          <w:rFonts w:ascii="Arial" w:hAnsi="Arial"/>
        </w:rPr>
        <w:t>approved a</w:t>
      </w:r>
      <w:r w:rsidR="00D224D6">
        <w:rPr>
          <w:rFonts w:ascii="Arial" w:hAnsi="Arial"/>
        </w:rPr>
        <w:t xml:space="preserve"> </w:t>
      </w:r>
      <w:r w:rsidR="00E46281">
        <w:rPr>
          <w:rFonts w:ascii="Arial" w:hAnsi="Arial"/>
        </w:rPr>
        <w:t xml:space="preserve">final </w:t>
      </w:r>
      <w:r w:rsidR="00D224D6">
        <w:rPr>
          <w:rFonts w:ascii="Arial" w:hAnsi="Arial"/>
        </w:rPr>
        <w:t>rulemaking and policy statement on default service electricity service, which brings the PUC’s regulations and policy statements in line with the requirements of Act 129 of 2008.</w:t>
      </w:r>
    </w:p>
    <w:p w:rsidR="00856FC1" w:rsidRDefault="00856FC1" w:rsidP="00856FC1">
      <w:pPr>
        <w:autoSpaceDE w:val="0"/>
        <w:autoSpaceDN w:val="0"/>
        <w:adjustRightInd w:val="0"/>
        <w:ind w:left="-900" w:right="-720" w:firstLine="900"/>
        <w:rPr>
          <w:rFonts w:ascii="Arial" w:hAnsi="Arial"/>
        </w:rPr>
      </w:pPr>
    </w:p>
    <w:p w:rsidR="005F56F6" w:rsidRDefault="00856FC1" w:rsidP="00856FC1">
      <w:pPr>
        <w:autoSpaceDE w:val="0"/>
        <w:autoSpaceDN w:val="0"/>
        <w:adjustRightInd w:val="0"/>
        <w:ind w:left="-900" w:right="-720" w:firstLine="900"/>
        <w:rPr>
          <w:rFonts w:ascii="Arial" w:hAnsi="Arial"/>
        </w:rPr>
      </w:pPr>
      <w:r w:rsidRPr="00856FC1">
        <w:rPr>
          <w:rFonts w:ascii="Arial" w:hAnsi="Arial"/>
        </w:rPr>
        <w:t xml:space="preserve">The Commission voted </w:t>
      </w:r>
      <w:r w:rsidR="009B46E2">
        <w:rPr>
          <w:rFonts w:ascii="Arial" w:hAnsi="Arial"/>
        </w:rPr>
        <w:t>5-0</w:t>
      </w:r>
      <w:r w:rsidR="00843DF0">
        <w:rPr>
          <w:rFonts w:ascii="Arial" w:hAnsi="Arial"/>
        </w:rPr>
        <w:t xml:space="preserve"> </w:t>
      </w:r>
      <w:r w:rsidR="0063557F">
        <w:rPr>
          <w:rFonts w:ascii="Arial" w:hAnsi="Arial"/>
        </w:rPr>
        <w:t xml:space="preserve">on a </w:t>
      </w:r>
      <w:hyperlink r:id="rId7" w:history="1">
        <w:r w:rsidR="0063557F" w:rsidRPr="00C96B6F">
          <w:rPr>
            <w:rStyle w:val="Hyperlink"/>
            <w:rFonts w:ascii="Arial" w:hAnsi="Arial"/>
          </w:rPr>
          <w:t>motion</w:t>
        </w:r>
      </w:hyperlink>
      <w:r w:rsidR="0063557F">
        <w:rPr>
          <w:rFonts w:ascii="Arial" w:hAnsi="Arial"/>
        </w:rPr>
        <w:t xml:space="preserve"> by Commission Vice Chairman John F. Coleman Jr. </w:t>
      </w:r>
      <w:r w:rsidR="00843DF0">
        <w:rPr>
          <w:rFonts w:ascii="Arial" w:hAnsi="Arial"/>
        </w:rPr>
        <w:t xml:space="preserve">to adopt the </w:t>
      </w:r>
      <w:r w:rsidR="0032343C">
        <w:rPr>
          <w:rFonts w:ascii="Arial" w:hAnsi="Arial"/>
        </w:rPr>
        <w:t xml:space="preserve">final </w:t>
      </w:r>
      <w:r w:rsidR="00843DF0">
        <w:rPr>
          <w:rFonts w:ascii="Arial" w:hAnsi="Arial"/>
        </w:rPr>
        <w:t xml:space="preserve">changes to its default service </w:t>
      </w:r>
      <w:r w:rsidR="0063557F">
        <w:rPr>
          <w:rFonts w:ascii="Arial" w:hAnsi="Arial"/>
        </w:rPr>
        <w:t xml:space="preserve">regulations. In separate action, the Commission voted </w:t>
      </w:r>
      <w:r w:rsidR="009B46E2">
        <w:rPr>
          <w:rFonts w:ascii="Arial" w:hAnsi="Arial"/>
        </w:rPr>
        <w:t>5-0</w:t>
      </w:r>
      <w:r w:rsidR="0063557F">
        <w:rPr>
          <w:rFonts w:ascii="Arial" w:hAnsi="Arial"/>
        </w:rPr>
        <w:t xml:space="preserve"> to finalize a </w:t>
      </w:r>
      <w:r w:rsidR="005F56F6">
        <w:rPr>
          <w:rFonts w:ascii="Arial" w:hAnsi="Arial"/>
        </w:rPr>
        <w:t xml:space="preserve">policy </w:t>
      </w:r>
      <w:r w:rsidRPr="00856FC1">
        <w:rPr>
          <w:rFonts w:ascii="Arial" w:hAnsi="Arial"/>
        </w:rPr>
        <w:t>statement</w:t>
      </w:r>
      <w:r w:rsidR="0063557F">
        <w:rPr>
          <w:rFonts w:ascii="Arial" w:hAnsi="Arial"/>
        </w:rPr>
        <w:t xml:space="preserve"> also related to default service electricity service</w:t>
      </w:r>
      <w:r w:rsidR="005F56F6">
        <w:rPr>
          <w:rFonts w:ascii="Arial" w:hAnsi="Arial"/>
        </w:rPr>
        <w:t>.</w:t>
      </w:r>
      <w:r w:rsidR="004D174D">
        <w:rPr>
          <w:rFonts w:ascii="Arial" w:hAnsi="Arial"/>
        </w:rPr>
        <w:t xml:space="preserve"> </w:t>
      </w:r>
    </w:p>
    <w:p w:rsidR="000B291F" w:rsidRDefault="000B291F" w:rsidP="00856FC1">
      <w:pPr>
        <w:autoSpaceDE w:val="0"/>
        <w:autoSpaceDN w:val="0"/>
        <w:adjustRightInd w:val="0"/>
        <w:ind w:left="-900" w:right="-720" w:firstLine="900"/>
        <w:rPr>
          <w:rFonts w:ascii="Arial" w:hAnsi="Arial"/>
        </w:rPr>
      </w:pPr>
    </w:p>
    <w:p w:rsidR="00DE7904" w:rsidRPr="0008725D" w:rsidRDefault="00DE7904" w:rsidP="00DE7904">
      <w:pPr>
        <w:autoSpaceDE w:val="0"/>
        <w:autoSpaceDN w:val="0"/>
        <w:adjustRightInd w:val="0"/>
        <w:ind w:left="-900" w:right="-720" w:firstLine="900"/>
        <w:rPr>
          <w:rFonts w:ascii="Arial" w:hAnsi="Arial"/>
        </w:rPr>
      </w:pPr>
      <w:r w:rsidRPr="00856FC1">
        <w:rPr>
          <w:rFonts w:ascii="Arial" w:hAnsi="Arial"/>
        </w:rPr>
        <w:t xml:space="preserve">The </w:t>
      </w:r>
      <w:r>
        <w:rPr>
          <w:rFonts w:ascii="Arial" w:hAnsi="Arial"/>
        </w:rPr>
        <w:t xml:space="preserve">final default service </w:t>
      </w:r>
      <w:r w:rsidR="00E331D7">
        <w:rPr>
          <w:rFonts w:ascii="Arial" w:hAnsi="Arial"/>
        </w:rPr>
        <w:t>rulemaking</w:t>
      </w:r>
      <w:r>
        <w:rPr>
          <w:rFonts w:ascii="Arial" w:hAnsi="Arial"/>
        </w:rPr>
        <w:t xml:space="preserve"> amend</w:t>
      </w:r>
      <w:r w:rsidR="00E331D7">
        <w:rPr>
          <w:rFonts w:ascii="Arial" w:hAnsi="Arial"/>
        </w:rPr>
        <w:t>s</w:t>
      </w:r>
      <w:r>
        <w:rPr>
          <w:rFonts w:ascii="Arial" w:hAnsi="Arial"/>
        </w:rPr>
        <w:t xml:space="preserve"> the following areas</w:t>
      </w:r>
      <w:r w:rsidR="00E331D7">
        <w:rPr>
          <w:rFonts w:ascii="Arial" w:hAnsi="Arial"/>
        </w:rPr>
        <w:t xml:space="preserve"> of the regulations</w:t>
      </w:r>
      <w:r w:rsidRPr="0008725D">
        <w:rPr>
          <w:rFonts w:ascii="Arial" w:hAnsi="Arial"/>
        </w:rPr>
        <w:t>:</w:t>
      </w:r>
    </w:p>
    <w:p w:rsidR="00DE7904" w:rsidRDefault="00DE7904" w:rsidP="00DE7904">
      <w:pPr>
        <w:numPr>
          <w:ilvl w:val="0"/>
          <w:numId w:val="2"/>
        </w:numPr>
        <w:autoSpaceDE w:val="0"/>
        <w:autoSpaceDN w:val="0"/>
        <w:adjustRightInd w:val="0"/>
        <w:ind w:right="-720"/>
        <w:rPr>
          <w:rFonts w:ascii="Arial" w:hAnsi="Arial"/>
        </w:rPr>
      </w:pPr>
      <w:r>
        <w:rPr>
          <w:rFonts w:ascii="Arial" w:hAnsi="Arial"/>
        </w:rPr>
        <w:t>Provider obligations;</w:t>
      </w:r>
    </w:p>
    <w:p w:rsidR="00DE7904" w:rsidRDefault="00DE7904" w:rsidP="00DE7904">
      <w:pPr>
        <w:numPr>
          <w:ilvl w:val="0"/>
          <w:numId w:val="2"/>
        </w:numPr>
        <w:autoSpaceDE w:val="0"/>
        <w:autoSpaceDN w:val="0"/>
        <w:adjustRightInd w:val="0"/>
        <w:ind w:right="-720"/>
        <w:rPr>
          <w:rFonts w:ascii="Arial" w:hAnsi="Arial"/>
        </w:rPr>
      </w:pPr>
      <w:r>
        <w:rPr>
          <w:rFonts w:ascii="Arial" w:hAnsi="Arial"/>
        </w:rPr>
        <w:t>Service programs and periods of service;</w:t>
      </w:r>
    </w:p>
    <w:p w:rsidR="00DE7904" w:rsidRPr="0008725D" w:rsidRDefault="00DE7904" w:rsidP="00DE7904">
      <w:pPr>
        <w:numPr>
          <w:ilvl w:val="0"/>
          <w:numId w:val="2"/>
        </w:numPr>
        <w:autoSpaceDE w:val="0"/>
        <w:autoSpaceDN w:val="0"/>
        <w:adjustRightInd w:val="0"/>
        <w:ind w:right="-720"/>
        <w:rPr>
          <w:rFonts w:ascii="Arial" w:hAnsi="Arial"/>
        </w:rPr>
      </w:pPr>
      <w:r>
        <w:rPr>
          <w:rFonts w:ascii="Arial" w:hAnsi="Arial"/>
        </w:rPr>
        <w:t xml:space="preserve">Procurement </w:t>
      </w:r>
      <w:r w:rsidRPr="0008725D">
        <w:rPr>
          <w:rFonts w:ascii="Arial" w:hAnsi="Arial"/>
        </w:rPr>
        <w:t xml:space="preserve">and </w:t>
      </w:r>
      <w:r>
        <w:rPr>
          <w:rFonts w:ascii="Arial" w:hAnsi="Arial"/>
        </w:rPr>
        <w:t>i</w:t>
      </w:r>
      <w:r w:rsidRPr="0008725D">
        <w:rPr>
          <w:rFonts w:ascii="Arial" w:hAnsi="Arial"/>
        </w:rPr>
        <w:t xml:space="preserve">mplementation </w:t>
      </w:r>
      <w:r>
        <w:rPr>
          <w:rFonts w:ascii="Arial" w:hAnsi="Arial"/>
        </w:rPr>
        <w:t>plans;</w:t>
      </w:r>
    </w:p>
    <w:p w:rsidR="00DE7904" w:rsidRDefault="00DE7904" w:rsidP="00DE7904">
      <w:pPr>
        <w:numPr>
          <w:ilvl w:val="0"/>
          <w:numId w:val="2"/>
        </w:numPr>
        <w:autoSpaceDE w:val="0"/>
        <w:autoSpaceDN w:val="0"/>
        <w:adjustRightInd w:val="0"/>
        <w:ind w:right="-720"/>
        <w:rPr>
          <w:rFonts w:ascii="Arial" w:hAnsi="Arial"/>
        </w:rPr>
      </w:pPr>
      <w:r>
        <w:rPr>
          <w:rFonts w:ascii="Arial" w:hAnsi="Arial"/>
        </w:rPr>
        <w:t>R</w:t>
      </w:r>
      <w:r w:rsidRPr="0008725D">
        <w:rPr>
          <w:rFonts w:ascii="Arial" w:hAnsi="Arial"/>
        </w:rPr>
        <w:t xml:space="preserve">ate </w:t>
      </w:r>
      <w:r>
        <w:rPr>
          <w:rFonts w:ascii="Arial" w:hAnsi="Arial"/>
        </w:rPr>
        <w:t>d</w:t>
      </w:r>
      <w:r w:rsidRPr="0008725D">
        <w:rPr>
          <w:rFonts w:ascii="Arial" w:hAnsi="Arial"/>
        </w:rPr>
        <w:t xml:space="preserve">esign and the </w:t>
      </w:r>
      <w:r>
        <w:rPr>
          <w:rFonts w:ascii="Arial" w:hAnsi="Arial"/>
        </w:rPr>
        <w:t>r</w:t>
      </w:r>
      <w:r w:rsidRPr="0008725D">
        <w:rPr>
          <w:rFonts w:ascii="Arial" w:hAnsi="Arial"/>
        </w:rPr>
        <w:t xml:space="preserve">ecovery of </w:t>
      </w:r>
      <w:r>
        <w:rPr>
          <w:rFonts w:ascii="Arial" w:hAnsi="Arial"/>
        </w:rPr>
        <w:t>r</w:t>
      </w:r>
      <w:r w:rsidRPr="0008725D">
        <w:rPr>
          <w:rFonts w:ascii="Arial" w:hAnsi="Arial"/>
        </w:rPr>
        <w:t xml:space="preserve">easonable </w:t>
      </w:r>
      <w:r>
        <w:rPr>
          <w:rFonts w:ascii="Arial" w:hAnsi="Arial"/>
        </w:rPr>
        <w:t>costs; and</w:t>
      </w:r>
    </w:p>
    <w:p w:rsidR="00DE7904" w:rsidRPr="000B291F" w:rsidRDefault="00DE7904" w:rsidP="00DE7904">
      <w:pPr>
        <w:numPr>
          <w:ilvl w:val="0"/>
          <w:numId w:val="2"/>
        </w:numPr>
        <w:autoSpaceDE w:val="0"/>
        <w:autoSpaceDN w:val="0"/>
        <w:adjustRightInd w:val="0"/>
        <w:ind w:right="-720"/>
        <w:rPr>
          <w:rFonts w:ascii="Arial" w:hAnsi="Arial"/>
        </w:rPr>
      </w:pPr>
      <w:r w:rsidRPr="000B291F">
        <w:rPr>
          <w:rFonts w:ascii="Arial" w:hAnsi="Arial"/>
        </w:rPr>
        <w:t>Commission review of default service program and rates.</w:t>
      </w:r>
    </w:p>
    <w:p w:rsidR="005F56F6" w:rsidRDefault="005F56F6" w:rsidP="00856FC1">
      <w:pPr>
        <w:autoSpaceDE w:val="0"/>
        <w:autoSpaceDN w:val="0"/>
        <w:adjustRightInd w:val="0"/>
        <w:ind w:left="-900" w:right="-720" w:firstLine="900"/>
        <w:rPr>
          <w:rFonts w:ascii="Arial" w:hAnsi="Arial"/>
        </w:rPr>
      </w:pPr>
    </w:p>
    <w:p w:rsidR="00991930" w:rsidRPr="002715FB" w:rsidRDefault="00991930" w:rsidP="00991930">
      <w:pPr>
        <w:autoSpaceDE w:val="0"/>
        <w:autoSpaceDN w:val="0"/>
        <w:adjustRightInd w:val="0"/>
        <w:ind w:left="-900" w:right="-720" w:firstLine="900"/>
        <w:rPr>
          <w:rFonts w:ascii="Arial" w:hAnsi="Arial"/>
        </w:rPr>
      </w:pPr>
      <w:r>
        <w:rPr>
          <w:rFonts w:ascii="Arial" w:hAnsi="Arial" w:cs="Arial"/>
        </w:rPr>
        <w:t>The rulemaking now goes to the state’s Independent Regulatory Review Commission for consideration.</w:t>
      </w:r>
    </w:p>
    <w:p w:rsidR="00991930" w:rsidRDefault="00991930" w:rsidP="002715FB">
      <w:pPr>
        <w:autoSpaceDE w:val="0"/>
        <w:autoSpaceDN w:val="0"/>
        <w:adjustRightInd w:val="0"/>
        <w:ind w:left="-900" w:right="-720" w:firstLine="900"/>
        <w:rPr>
          <w:rFonts w:ascii="Arial" w:hAnsi="Arial"/>
        </w:rPr>
      </w:pPr>
    </w:p>
    <w:p w:rsidR="00856FC1" w:rsidRDefault="004D0D83" w:rsidP="002715FB">
      <w:pPr>
        <w:autoSpaceDE w:val="0"/>
        <w:autoSpaceDN w:val="0"/>
        <w:adjustRightInd w:val="0"/>
        <w:ind w:left="-900" w:right="-720" w:firstLine="900"/>
        <w:rPr>
          <w:rFonts w:ascii="Arial" w:hAnsi="Arial"/>
        </w:rPr>
      </w:pPr>
      <w:r>
        <w:rPr>
          <w:rFonts w:ascii="Arial" w:hAnsi="Arial"/>
        </w:rPr>
        <w:t>The final policy statement</w:t>
      </w:r>
      <w:r w:rsidR="00B60B87">
        <w:rPr>
          <w:rFonts w:ascii="Arial" w:hAnsi="Arial"/>
        </w:rPr>
        <w:t xml:space="preserve"> </w:t>
      </w:r>
      <w:r w:rsidR="002A1DE5" w:rsidRPr="002A1DE5">
        <w:rPr>
          <w:rFonts w:ascii="Arial" w:hAnsi="Arial"/>
        </w:rPr>
        <w:t>revisions add certain definitions, address electric generation supply procurement and alternative energy portfolio standards.</w:t>
      </w:r>
      <w:r w:rsidR="002715FB">
        <w:rPr>
          <w:rFonts w:ascii="Arial" w:hAnsi="Arial"/>
        </w:rPr>
        <w:t xml:space="preserve"> </w:t>
      </w:r>
      <w:r w:rsidR="002A1DE5">
        <w:rPr>
          <w:rFonts w:ascii="Arial" w:hAnsi="Arial"/>
        </w:rPr>
        <w:t>It also</w:t>
      </w:r>
      <w:r w:rsidR="00856FC1" w:rsidRPr="00B60B87">
        <w:rPr>
          <w:rFonts w:ascii="Arial" w:hAnsi="Arial"/>
        </w:rPr>
        <w:t xml:space="preserve"> </w:t>
      </w:r>
      <w:r w:rsidR="00B60B87" w:rsidRPr="00B60B87">
        <w:rPr>
          <w:rFonts w:ascii="Arial" w:hAnsi="Arial"/>
        </w:rPr>
        <w:t>called for</w:t>
      </w:r>
      <w:r w:rsidR="00856FC1" w:rsidRPr="00B60B87">
        <w:rPr>
          <w:rFonts w:ascii="Arial" w:hAnsi="Arial"/>
        </w:rPr>
        <w:t xml:space="preserve"> the </w:t>
      </w:r>
      <w:r w:rsidR="002715FB">
        <w:rPr>
          <w:rFonts w:ascii="Arial" w:hAnsi="Arial"/>
        </w:rPr>
        <w:t>default service provider</w:t>
      </w:r>
      <w:r w:rsidR="00856FC1" w:rsidRPr="00B60B87">
        <w:rPr>
          <w:rFonts w:ascii="Arial" w:hAnsi="Arial"/>
        </w:rPr>
        <w:t xml:space="preserve"> </w:t>
      </w:r>
      <w:r w:rsidR="00B60B87" w:rsidRPr="00B60B87">
        <w:rPr>
          <w:rFonts w:ascii="Arial" w:hAnsi="Arial"/>
        </w:rPr>
        <w:t xml:space="preserve">to </w:t>
      </w:r>
      <w:r w:rsidR="00856FC1" w:rsidRPr="00B60B87">
        <w:rPr>
          <w:rFonts w:ascii="Arial" w:hAnsi="Arial"/>
        </w:rPr>
        <w:t>procure electric generation supply for default service customers in compliance with Act 129</w:t>
      </w:r>
      <w:r w:rsidR="002715FB">
        <w:rPr>
          <w:rFonts w:ascii="Arial" w:hAnsi="Arial"/>
        </w:rPr>
        <w:t>, which requires</w:t>
      </w:r>
      <w:r w:rsidR="00856FC1" w:rsidRPr="00B60B87">
        <w:rPr>
          <w:rFonts w:ascii="Arial" w:hAnsi="Arial"/>
        </w:rPr>
        <w:t xml:space="preserve"> that default service be purchased at the lowest cost to consumer over the long term.</w:t>
      </w:r>
    </w:p>
    <w:p w:rsidR="00010120" w:rsidRDefault="00010120" w:rsidP="002715FB">
      <w:pPr>
        <w:autoSpaceDE w:val="0"/>
        <w:autoSpaceDN w:val="0"/>
        <w:adjustRightInd w:val="0"/>
        <w:ind w:left="-900" w:right="-720" w:firstLine="900"/>
        <w:rPr>
          <w:rFonts w:ascii="Arial" w:hAnsi="Arial"/>
        </w:rPr>
      </w:pPr>
    </w:p>
    <w:p w:rsidR="00856FC1" w:rsidRPr="00856FC1" w:rsidRDefault="00856FC1" w:rsidP="00856FC1">
      <w:pPr>
        <w:autoSpaceDE w:val="0"/>
        <w:autoSpaceDN w:val="0"/>
        <w:adjustRightInd w:val="0"/>
        <w:ind w:left="-900" w:right="-720" w:firstLine="900"/>
        <w:rPr>
          <w:rFonts w:ascii="Arial" w:hAnsi="Arial"/>
        </w:rPr>
      </w:pPr>
      <w:r w:rsidRPr="00856FC1">
        <w:rPr>
          <w:rFonts w:ascii="Arial" w:hAnsi="Arial"/>
        </w:rPr>
        <w:t xml:space="preserve">On Oct. 15, 2008, HB 2200 </w:t>
      </w:r>
      <w:r w:rsidR="00E80D57">
        <w:rPr>
          <w:rFonts w:ascii="Arial" w:hAnsi="Arial"/>
        </w:rPr>
        <w:t xml:space="preserve">was signed </w:t>
      </w:r>
      <w:r w:rsidRPr="00856FC1">
        <w:rPr>
          <w:rFonts w:ascii="Arial" w:hAnsi="Arial"/>
        </w:rPr>
        <w:t>into law as Act 129 of 2008.  The Act adds several new sections to, and amends several existing sections of, the Public Utility Code.  In order to comply with the Act in an orderly and efficient manner, the Commission will implement the Act in phases that include energy efficiency and conservation programs; smart meter technology; time-of-use rates; real-time pricing plans; market misconduct; and cost recovery. </w:t>
      </w:r>
    </w:p>
    <w:p w:rsidR="00856FC1" w:rsidRDefault="00856FC1" w:rsidP="00856FC1">
      <w:pPr>
        <w:autoSpaceDE w:val="0"/>
        <w:autoSpaceDN w:val="0"/>
        <w:adjustRightInd w:val="0"/>
        <w:ind w:left="-900" w:right="-720" w:firstLine="900"/>
        <w:rPr>
          <w:rFonts w:ascii="Arial" w:hAnsi="Arial"/>
        </w:rPr>
      </w:pPr>
    </w:p>
    <w:p w:rsidR="00706171" w:rsidRPr="001F4CBA" w:rsidRDefault="00706171" w:rsidP="00706171">
      <w:pPr>
        <w:autoSpaceDE w:val="0"/>
        <w:autoSpaceDN w:val="0"/>
        <w:adjustRightInd w:val="0"/>
        <w:ind w:left="-900" w:right="-720" w:firstLine="900"/>
        <w:rPr>
          <w:rFonts w:ascii="Arial" w:hAnsi="Arial" w:cs="Arial"/>
        </w:rPr>
      </w:pPr>
      <w:r w:rsidRPr="00E35B7A">
        <w:rPr>
          <w:rFonts w:ascii="Arial" w:hAnsi="Arial" w:cs="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r>
        <w:rPr>
          <w:rFonts w:ascii="Arial" w:hAnsi="Arial" w:cs="Arial"/>
        </w:rPr>
        <w:t xml:space="preserve"> </w:t>
      </w:r>
      <w:r w:rsidRPr="00E35B7A">
        <w:rPr>
          <w:rFonts w:ascii="Arial" w:hAnsi="Arial" w:cs="Arial"/>
        </w:rPr>
        <w:t>For recent news releases, audio of select Commission proceedings or more information</w:t>
      </w:r>
      <w:r>
        <w:rPr>
          <w:rFonts w:ascii="Arial" w:hAnsi="Arial" w:cs="Arial"/>
        </w:rPr>
        <w:t xml:space="preserve"> </w:t>
      </w:r>
      <w:r w:rsidRPr="00E35B7A">
        <w:rPr>
          <w:rFonts w:ascii="Arial" w:hAnsi="Arial" w:cs="Arial"/>
        </w:rPr>
        <w:t xml:space="preserve">about the PUC, visit our </w:t>
      </w:r>
      <w:r>
        <w:rPr>
          <w:rFonts w:ascii="Arial" w:hAnsi="Arial" w:cs="Arial"/>
        </w:rPr>
        <w:t>w</w:t>
      </w:r>
      <w:r w:rsidRPr="00E35B7A">
        <w:rPr>
          <w:rFonts w:ascii="Arial" w:hAnsi="Arial" w:cs="Arial"/>
        </w:rPr>
        <w:t xml:space="preserve">ebsite at </w:t>
      </w:r>
      <w:hyperlink r:id="rId8" w:history="1">
        <w:r w:rsidRPr="00E35B7A">
          <w:rPr>
            <w:rFonts w:ascii="Arial" w:hAnsi="Arial" w:cs="Arial"/>
            <w:color w:val="0000FF"/>
            <w:u w:val="single"/>
          </w:rPr>
          <w:t>www.puc.state.pa.us</w:t>
        </w:r>
      </w:hyperlink>
      <w:r w:rsidRPr="00E35B7A">
        <w:rPr>
          <w:rFonts w:ascii="Arial" w:hAnsi="Arial" w:cs="Arial"/>
        </w:rPr>
        <w:t>.</w:t>
      </w:r>
    </w:p>
    <w:p w:rsidR="00706171" w:rsidRDefault="004B0E0A" w:rsidP="004B0E0A">
      <w:pPr>
        <w:spacing w:before="100" w:beforeAutospacing="1" w:after="100" w:afterAutospacing="1"/>
        <w:ind w:left="-540" w:right="-1440"/>
        <w:jc w:val="center"/>
        <w:rPr>
          <w:rFonts w:ascii="Arial" w:hAnsi="Arial"/>
        </w:rPr>
      </w:pPr>
      <w:r>
        <w:rPr>
          <w:rFonts w:ascii="Arial" w:hAnsi="Arial"/>
        </w:rPr>
        <w:t># # #</w:t>
      </w:r>
    </w:p>
    <w:p w:rsidR="00541B3F" w:rsidRDefault="00622479" w:rsidP="003B0332">
      <w:pPr>
        <w:spacing w:before="100" w:beforeAutospacing="1" w:after="100" w:afterAutospacing="1"/>
        <w:ind w:left="-540" w:right="-1440"/>
      </w:pPr>
      <w:r>
        <w:rPr>
          <w:rFonts w:ascii="Arial" w:hAnsi="Arial"/>
        </w:rPr>
        <w:t>Docket nos. L</w:t>
      </w:r>
      <w:r w:rsidR="004B0E0A">
        <w:rPr>
          <w:rFonts w:ascii="Arial" w:hAnsi="Arial"/>
        </w:rPr>
        <w:t xml:space="preserve">-2009-2095604; </w:t>
      </w:r>
      <w:r w:rsidR="004C30FB">
        <w:rPr>
          <w:rFonts w:ascii="Arial" w:hAnsi="Arial"/>
        </w:rPr>
        <w:t>M</w:t>
      </w:r>
      <w:r w:rsidR="004B0E0A">
        <w:rPr>
          <w:rFonts w:ascii="Arial" w:hAnsi="Arial"/>
        </w:rPr>
        <w:t>-2009-2140580</w:t>
      </w:r>
    </w:p>
    <w:sectPr w:rsidR="00541B3F" w:rsidSect="00DC4F02">
      <w:pgSz w:w="12240" w:h="15840"/>
      <w:pgMar w:top="1440" w:right="1800" w:bottom="5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219CC"/>
    <w:multiLevelType w:val="multilevel"/>
    <w:tmpl w:val="A1C4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E92523"/>
    <w:multiLevelType w:val="multilevel"/>
    <w:tmpl w:val="C368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6171"/>
    <w:rsid w:val="00010120"/>
    <w:rsid w:val="000425ED"/>
    <w:rsid w:val="0008725D"/>
    <w:rsid w:val="000B291F"/>
    <w:rsid w:val="00205EBC"/>
    <w:rsid w:val="002715FB"/>
    <w:rsid w:val="0028757A"/>
    <w:rsid w:val="002A1DE5"/>
    <w:rsid w:val="0032343C"/>
    <w:rsid w:val="00396BD5"/>
    <w:rsid w:val="003B0332"/>
    <w:rsid w:val="00400C16"/>
    <w:rsid w:val="004211FD"/>
    <w:rsid w:val="004654A0"/>
    <w:rsid w:val="0049164C"/>
    <w:rsid w:val="004B0E0A"/>
    <w:rsid w:val="004C30FB"/>
    <w:rsid w:val="004D0D83"/>
    <w:rsid w:val="004D174D"/>
    <w:rsid w:val="00541B3F"/>
    <w:rsid w:val="00551EC4"/>
    <w:rsid w:val="00555D9B"/>
    <w:rsid w:val="005F4742"/>
    <w:rsid w:val="005F56F6"/>
    <w:rsid w:val="00622479"/>
    <w:rsid w:val="0063557F"/>
    <w:rsid w:val="006759C1"/>
    <w:rsid w:val="00693694"/>
    <w:rsid w:val="00706171"/>
    <w:rsid w:val="00713AC9"/>
    <w:rsid w:val="007607F1"/>
    <w:rsid w:val="007974A8"/>
    <w:rsid w:val="00803309"/>
    <w:rsid w:val="00816FEB"/>
    <w:rsid w:val="00843DF0"/>
    <w:rsid w:val="00856FC1"/>
    <w:rsid w:val="0088269A"/>
    <w:rsid w:val="008B1039"/>
    <w:rsid w:val="009034E2"/>
    <w:rsid w:val="00933B26"/>
    <w:rsid w:val="00991930"/>
    <w:rsid w:val="009B25BD"/>
    <w:rsid w:val="009B46E2"/>
    <w:rsid w:val="00A44435"/>
    <w:rsid w:val="00A6245D"/>
    <w:rsid w:val="00B2464F"/>
    <w:rsid w:val="00B60B87"/>
    <w:rsid w:val="00B84532"/>
    <w:rsid w:val="00BD537A"/>
    <w:rsid w:val="00C96B6F"/>
    <w:rsid w:val="00D224D6"/>
    <w:rsid w:val="00DC4F02"/>
    <w:rsid w:val="00DE7904"/>
    <w:rsid w:val="00E331D7"/>
    <w:rsid w:val="00E457B9"/>
    <w:rsid w:val="00E46281"/>
    <w:rsid w:val="00E80D57"/>
    <w:rsid w:val="00EB34BD"/>
    <w:rsid w:val="00F940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6171"/>
    <w:rPr>
      <w:color w:val="0000FF"/>
      <w:u w:val="single"/>
    </w:rPr>
  </w:style>
  <w:style w:type="paragraph" w:styleId="BalloonText">
    <w:name w:val="Balloon Text"/>
    <w:basedOn w:val="Normal"/>
    <w:link w:val="BalloonTextChar"/>
    <w:uiPriority w:val="99"/>
    <w:semiHidden/>
    <w:unhideWhenUsed/>
    <w:rsid w:val="00706171"/>
    <w:rPr>
      <w:rFonts w:ascii="Tahoma" w:hAnsi="Tahoma" w:cs="Tahoma"/>
      <w:sz w:val="16"/>
      <w:szCs w:val="16"/>
    </w:rPr>
  </w:style>
  <w:style w:type="character" w:customStyle="1" w:styleId="BalloonTextChar">
    <w:name w:val="Balloon Text Char"/>
    <w:basedOn w:val="DefaultParagraphFont"/>
    <w:link w:val="BalloonText"/>
    <w:uiPriority w:val="99"/>
    <w:semiHidden/>
    <w:rsid w:val="0070617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572069">
      <w:bodyDiv w:val="1"/>
      <w:marLeft w:val="15"/>
      <w:marRight w:val="0"/>
      <w:marTop w:val="15"/>
      <w:marBottom w:val="0"/>
      <w:divBdr>
        <w:top w:val="none" w:sz="0" w:space="0" w:color="auto"/>
        <w:left w:val="none" w:sz="0" w:space="0" w:color="auto"/>
        <w:bottom w:val="none" w:sz="0" w:space="0" w:color="auto"/>
        <w:right w:val="none" w:sz="0" w:space="0" w:color="auto"/>
      </w:divBdr>
      <w:divsChild>
        <w:div w:id="1856193147">
          <w:marLeft w:val="0"/>
          <w:marRight w:val="0"/>
          <w:marTop w:val="0"/>
          <w:marBottom w:val="0"/>
          <w:divBdr>
            <w:top w:val="none" w:sz="0" w:space="0" w:color="auto"/>
            <w:left w:val="none" w:sz="0" w:space="0" w:color="auto"/>
            <w:bottom w:val="none" w:sz="0" w:space="0" w:color="auto"/>
            <w:right w:val="none" w:sz="0" w:space="0" w:color="auto"/>
          </w:divBdr>
        </w:div>
      </w:divsChild>
    </w:div>
    <w:div w:id="1141657753">
      <w:bodyDiv w:val="1"/>
      <w:marLeft w:val="15"/>
      <w:marRight w:val="0"/>
      <w:marTop w:val="15"/>
      <w:marBottom w:val="0"/>
      <w:divBdr>
        <w:top w:val="none" w:sz="0" w:space="0" w:color="auto"/>
        <w:left w:val="none" w:sz="0" w:space="0" w:color="auto"/>
        <w:bottom w:val="none" w:sz="0" w:space="0" w:color="auto"/>
        <w:right w:val="none" w:sz="0" w:space="0" w:color="auto"/>
      </w:divBdr>
      <w:divsChild>
        <w:div w:id="1914311676">
          <w:marLeft w:val="0"/>
          <w:marRight w:val="0"/>
          <w:marTop w:val="0"/>
          <w:marBottom w:val="0"/>
          <w:divBdr>
            <w:top w:val="none" w:sz="0" w:space="0" w:color="auto"/>
            <w:left w:val="none" w:sz="0" w:space="0" w:color="auto"/>
            <w:bottom w:val="none" w:sz="0" w:space="0" w:color="auto"/>
            <w:right w:val="none" w:sz="0" w:space="0" w:color="auto"/>
          </w:divBdr>
        </w:div>
      </w:divsChild>
    </w:div>
    <w:div w:id="1682196744">
      <w:bodyDiv w:val="1"/>
      <w:marLeft w:val="15"/>
      <w:marRight w:val="0"/>
      <w:marTop w:val="15"/>
      <w:marBottom w:val="0"/>
      <w:divBdr>
        <w:top w:val="none" w:sz="0" w:space="0" w:color="auto"/>
        <w:left w:val="none" w:sz="0" w:space="0" w:color="auto"/>
        <w:bottom w:val="none" w:sz="0" w:space="0" w:color="auto"/>
        <w:right w:val="none" w:sz="0" w:space="0" w:color="auto"/>
      </w:divBdr>
      <w:divsChild>
        <w:div w:id="670454349">
          <w:marLeft w:val="0"/>
          <w:marRight w:val="0"/>
          <w:marTop w:val="0"/>
          <w:marBottom w:val="0"/>
          <w:divBdr>
            <w:top w:val="none" w:sz="0" w:space="0" w:color="auto"/>
            <w:left w:val="none" w:sz="0" w:space="0" w:color="auto"/>
            <w:bottom w:val="none" w:sz="0" w:space="0" w:color="auto"/>
            <w:right w:val="none" w:sz="0" w:space="0" w:color="auto"/>
          </w:divBdr>
        </w:div>
      </w:divsChild>
    </w:div>
    <w:div w:id="1788503954">
      <w:bodyDiv w:val="1"/>
      <w:marLeft w:val="15"/>
      <w:marRight w:val="0"/>
      <w:marTop w:val="15"/>
      <w:marBottom w:val="0"/>
      <w:divBdr>
        <w:top w:val="none" w:sz="0" w:space="0" w:color="auto"/>
        <w:left w:val="none" w:sz="0" w:space="0" w:color="auto"/>
        <w:bottom w:val="none" w:sz="0" w:space="0" w:color="auto"/>
        <w:right w:val="none" w:sz="0" w:space="0" w:color="auto"/>
      </w:divBdr>
      <w:divsChild>
        <w:div w:id="1475295876">
          <w:marLeft w:val="0"/>
          <w:marRight w:val="0"/>
          <w:marTop w:val="0"/>
          <w:marBottom w:val="0"/>
          <w:divBdr>
            <w:top w:val="none" w:sz="0" w:space="0" w:color="auto"/>
            <w:left w:val="none" w:sz="0" w:space="0" w:color="auto"/>
            <w:bottom w:val="none" w:sz="0" w:space="0" w:color="auto"/>
            <w:right w:val="none" w:sz="0" w:space="0" w:color="auto"/>
          </w:divBdr>
        </w:div>
      </w:divsChild>
    </w:div>
    <w:div w:id="1954090406">
      <w:bodyDiv w:val="1"/>
      <w:marLeft w:val="15"/>
      <w:marRight w:val="0"/>
      <w:marTop w:val="15"/>
      <w:marBottom w:val="0"/>
      <w:divBdr>
        <w:top w:val="none" w:sz="0" w:space="0" w:color="auto"/>
        <w:left w:val="none" w:sz="0" w:space="0" w:color="auto"/>
        <w:bottom w:val="none" w:sz="0" w:space="0" w:color="auto"/>
        <w:right w:val="none" w:sz="0" w:space="0" w:color="auto"/>
      </w:divBdr>
      <w:divsChild>
        <w:div w:id="24449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 TargetMode="External"/><Relationship Id="rId3" Type="http://schemas.openxmlformats.org/officeDocument/2006/relationships/settings" Target="settings.xml"/><Relationship Id="rId7" Type="http://schemas.openxmlformats.org/officeDocument/2006/relationships/hyperlink" Target="http://www.puc.state.pa.us/general/pdf/Comm-SM/Coleman_Motion_LAW2095604_09221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kocher@pa.go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66</cp:revision>
  <dcterms:created xsi:type="dcterms:W3CDTF">2011-09-21T13:46:00Z</dcterms:created>
  <dcterms:modified xsi:type="dcterms:W3CDTF">2011-09-22T18:12:00Z</dcterms:modified>
</cp:coreProperties>
</file>