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5DE" w:rsidRPr="000D6397" w:rsidRDefault="003435DE" w:rsidP="000D6397">
      <w:pPr>
        <w:pStyle w:val="Style"/>
        <w:jc w:val="center"/>
        <w:rPr>
          <w:b/>
          <w:color w:val="000000"/>
        </w:rPr>
      </w:pPr>
      <w:r w:rsidRPr="000D6397">
        <w:rPr>
          <w:b/>
          <w:color w:val="000000"/>
        </w:rPr>
        <w:t>BEFORE THE</w:t>
      </w:r>
    </w:p>
    <w:p w:rsidR="003435DE" w:rsidRPr="000D6397" w:rsidRDefault="003435DE" w:rsidP="000D6397">
      <w:pPr>
        <w:pStyle w:val="Style"/>
        <w:jc w:val="center"/>
        <w:rPr>
          <w:b/>
          <w:bCs/>
          <w:color w:val="000000"/>
        </w:rPr>
      </w:pPr>
      <w:r w:rsidRPr="000D6397">
        <w:rPr>
          <w:b/>
          <w:bCs/>
          <w:color w:val="000000"/>
        </w:rPr>
        <w:t>PENNSYLVANIA PUBLIC UTILITY COMMISSION</w:t>
      </w:r>
    </w:p>
    <w:p w:rsidR="003435DE" w:rsidRPr="000D6397" w:rsidRDefault="003435DE" w:rsidP="000D6397">
      <w:pPr>
        <w:pStyle w:val="Style"/>
        <w:jc w:val="center"/>
        <w:rPr>
          <w:b/>
          <w:bCs/>
          <w:color w:val="000000"/>
        </w:rPr>
      </w:pPr>
    </w:p>
    <w:p w:rsidR="003435DE" w:rsidRPr="000D6397" w:rsidRDefault="003435DE" w:rsidP="000D6397">
      <w:pPr>
        <w:pStyle w:val="Style"/>
        <w:jc w:val="center"/>
        <w:rPr>
          <w:b/>
          <w:bCs/>
          <w:color w:val="000000"/>
        </w:rPr>
      </w:pPr>
    </w:p>
    <w:p w:rsidR="003435DE" w:rsidRPr="000D6397" w:rsidRDefault="003435DE" w:rsidP="000D6397">
      <w:pPr>
        <w:pStyle w:val="Style"/>
        <w:jc w:val="center"/>
        <w:rPr>
          <w:b/>
          <w:bCs/>
          <w:color w:val="000000"/>
        </w:rPr>
      </w:pPr>
    </w:p>
    <w:p w:rsidR="003435DE" w:rsidRPr="000D6397" w:rsidRDefault="003435DE" w:rsidP="000D6397">
      <w:pPr>
        <w:pStyle w:val="Style"/>
        <w:rPr>
          <w:bCs/>
          <w:color w:val="000000"/>
        </w:rPr>
      </w:pPr>
      <w:proofErr w:type="spellStart"/>
      <w:r w:rsidRPr="000D6397">
        <w:rPr>
          <w:bCs/>
          <w:color w:val="000000"/>
        </w:rPr>
        <w:t>Nitin</w:t>
      </w:r>
      <w:proofErr w:type="spellEnd"/>
      <w:r w:rsidRPr="000D6397">
        <w:rPr>
          <w:bCs/>
          <w:color w:val="000000"/>
        </w:rPr>
        <w:t xml:space="preserve"> Desai</w:t>
      </w:r>
      <w:r w:rsidRPr="000D6397">
        <w:rPr>
          <w:bCs/>
          <w:color w:val="000000"/>
        </w:rPr>
        <w:tab/>
      </w:r>
      <w:r w:rsidRPr="000D6397">
        <w:rPr>
          <w:bCs/>
          <w:color w:val="000000"/>
        </w:rPr>
        <w:tab/>
      </w:r>
      <w:r w:rsidRPr="000D6397">
        <w:rPr>
          <w:bCs/>
          <w:color w:val="000000"/>
        </w:rPr>
        <w:tab/>
      </w:r>
      <w:r w:rsidRPr="000D6397">
        <w:rPr>
          <w:bCs/>
          <w:color w:val="000000"/>
        </w:rPr>
        <w:tab/>
      </w:r>
      <w:r w:rsidRPr="000D6397">
        <w:rPr>
          <w:bCs/>
          <w:color w:val="000000"/>
        </w:rPr>
        <w:tab/>
      </w:r>
      <w:r w:rsidRPr="000D6397">
        <w:rPr>
          <w:bCs/>
          <w:color w:val="000000"/>
        </w:rPr>
        <w:tab/>
        <w:t>:</w:t>
      </w:r>
    </w:p>
    <w:p w:rsidR="003435DE" w:rsidRPr="000D6397" w:rsidRDefault="003435DE" w:rsidP="000D6397">
      <w:pPr>
        <w:pStyle w:val="Style"/>
        <w:rPr>
          <w:bCs/>
          <w:color w:val="000000"/>
        </w:rPr>
      </w:pPr>
      <w:r w:rsidRPr="000D6397">
        <w:rPr>
          <w:bCs/>
          <w:color w:val="000000"/>
        </w:rPr>
        <w:tab/>
      </w:r>
      <w:r w:rsidRPr="000D6397">
        <w:rPr>
          <w:bCs/>
          <w:color w:val="000000"/>
        </w:rPr>
        <w:tab/>
      </w:r>
      <w:r w:rsidRPr="000D6397">
        <w:rPr>
          <w:bCs/>
          <w:color w:val="000000"/>
        </w:rPr>
        <w:tab/>
      </w:r>
      <w:r w:rsidRPr="000D6397">
        <w:rPr>
          <w:bCs/>
          <w:color w:val="000000"/>
        </w:rPr>
        <w:tab/>
      </w:r>
      <w:r w:rsidRPr="000D6397">
        <w:rPr>
          <w:bCs/>
          <w:color w:val="000000"/>
        </w:rPr>
        <w:tab/>
      </w:r>
      <w:r w:rsidRPr="000D6397">
        <w:rPr>
          <w:bCs/>
          <w:color w:val="000000"/>
        </w:rPr>
        <w:tab/>
      </w:r>
      <w:r w:rsidRPr="000D6397">
        <w:rPr>
          <w:bCs/>
          <w:color w:val="000000"/>
        </w:rPr>
        <w:tab/>
        <w:t>:</w:t>
      </w:r>
    </w:p>
    <w:p w:rsidR="003435DE" w:rsidRPr="000D6397" w:rsidRDefault="003435DE" w:rsidP="000D6397">
      <w:pPr>
        <w:pStyle w:val="Style"/>
        <w:rPr>
          <w:bCs/>
          <w:color w:val="000000"/>
        </w:rPr>
      </w:pPr>
      <w:r w:rsidRPr="000D6397">
        <w:rPr>
          <w:bCs/>
          <w:color w:val="000000"/>
        </w:rPr>
        <w:tab/>
        <w:t>v.</w:t>
      </w:r>
      <w:r w:rsidRPr="000D6397">
        <w:rPr>
          <w:bCs/>
          <w:color w:val="000000"/>
        </w:rPr>
        <w:tab/>
      </w:r>
      <w:r w:rsidRPr="000D6397">
        <w:rPr>
          <w:bCs/>
          <w:color w:val="000000"/>
        </w:rPr>
        <w:tab/>
      </w:r>
      <w:r w:rsidRPr="000D6397">
        <w:rPr>
          <w:bCs/>
          <w:color w:val="000000"/>
        </w:rPr>
        <w:tab/>
      </w:r>
      <w:r w:rsidRPr="000D6397">
        <w:rPr>
          <w:bCs/>
          <w:color w:val="000000"/>
        </w:rPr>
        <w:tab/>
      </w:r>
      <w:r w:rsidRPr="000D6397">
        <w:rPr>
          <w:bCs/>
          <w:color w:val="000000"/>
        </w:rPr>
        <w:tab/>
      </w:r>
      <w:r w:rsidRPr="000D6397">
        <w:rPr>
          <w:bCs/>
          <w:color w:val="000000"/>
        </w:rPr>
        <w:tab/>
        <w:t>:</w:t>
      </w:r>
      <w:r w:rsidRPr="000D6397">
        <w:rPr>
          <w:bCs/>
          <w:color w:val="000000"/>
        </w:rPr>
        <w:tab/>
      </w:r>
      <w:r w:rsidRPr="000D6397">
        <w:rPr>
          <w:bCs/>
          <w:color w:val="000000"/>
        </w:rPr>
        <w:tab/>
        <w:t>F-2010-2195246</w:t>
      </w:r>
    </w:p>
    <w:p w:rsidR="003435DE" w:rsidRPr="000D6397" w:rsidRDefault="003435DE" w:rsidP="000D6397">
      <w:pPr>
        <w:pStyle w:val="Style"/>
        <w:rPr>
          <w:bCs/>
          <w:color w:val="000000"/>
        </w:rPr>
      </w:pPr>
      <w:r w:rsidRPr="000D6397">
        <w:rPr>
          <w:bCs/>
          <w:color w:val="000000"/>
        </w:rPr>
        <w:tab/>
      </w:r>
      <w:r w:rsidRPr="000D6397">
        <w:rPr>
          <w:bCs/>
          <w:color w:val="000000"/>
        </w:rPr>
        <w:tab/>
      </w:r>
      <w:r w:rsidRPr="000D6397">
        <w:rPr>
          <w:bCs/>
          <w:color w:val="000000"/>
        </w:rPr>
        <w:tab/>
      </w:r>
      <w:r w:rsidRPr="000D6397">
        <w:rPr>
          <w:bCs/>
          <w:color w:val="000000"/>
        </w:rPr>
        <w:tab/>
      </w:r>
      <w:r w:rsidRPr="000D6397">
        <w:rPr>
          <w:bCs/>
          <w:color w:val="000000"/>
        </w:rPr>
        <w:tab/>
      </w:r>
      <w:r w:rsidRPr="000D6397">
        <w:rPr>
          <w:bCs/>
          <w:color w:val="000000"/>
        </w:rPr>
        <w:tab/>
      </w:r>
      <w:r w:rsidRPr="000D6397">
        <w:rPr>
          <w:bCs/>
          <w:color w:val="000000"/>
        </w:rPr>
        <w:tab/>
        <w:t>:</w:t>
      </w:r>
    </w:p>
    <w:p w:rsidR="003435DE" w:rsidRPr="000D6397" w:rsidRDefault="003435DE" w:rsidP="000D6397">
      <w:pPr>
        <w:pStyle w:val="Style"/>
        <w:rPr>
          <w:bCs/>
          <w:color w:val="000000"/>
        </w:rPr>
      </w:pPr>
      <w:r w:rsidRPr="000D6397">
        <w:rPr>
          <w:bCs/>
          <w:color w:val="000000"/>
        </w:rPr>
        <w:t>Philadelphia Gas Works</w:t>
      </w:r>
      <w:r w:rsidRPr="000D6397">
        <w:rPr>
          <w:bCs/>
          <w:color w:val="000000"/>
        </w:rPr>
        <w:tab/>
      </w:r>
      <w:r w:rsidRPr="000D6397">
        <w:rPr>
          <w:bCs/>
          <w:color w:val="000000"/>
        </w:rPr>
        <w:tab/>
      </w:r>
      <w:r w:rsidRPr="000D6397">
        <w:rPr>
          <w:bCs/>
          <w:color w:val="000000"/>
        </w:rPr>
        <w:tab/>
      </w:r>
      <w:r w:rsidRPr="000D6397">
        <w:rPr>
          <w:bCs/>
          <w:color w:val="000000"/>
        </w:rPr>
        <w:tab/>
        <w:t>:</w:t>
      </w:r>
    </w:p>
    <w:p w:rsidR="003435DE" w:rsidRPr="000D6397" w:rsidRDefault="003435DE" w:rsidP="000D6397">
      <w:pPr>
        <w:pStyle w:val="Style"/>
        <w:rPr>
          <w:bCs/>
          <w:color w:val="000000"/>
        </w:rPr>
      </w:pPr>
    </w:p>
    <w:p w:rsidR="003435DE" w:rsidRPr="000D6397" w:rsidRDefault="003435DE" w:rsidP="000D6397">
      <w:pPr>
        <w:pStyle w:val="Style"/>
        <w:rPr>
          <w:bCs/>
          <w:color w:val="000000"/>
        </w:rPr>
      </w:pPr>
    </w:p>
    <w:p w:rsidR="003435DE" w:rsidRPr="000D6397" w:rsidRDefault="003435DE" w:rsidP="000D6397">
      <w:pPr>
        <w:pStyle w:val="Style"/>
        <w:rPr>
          <w:bCs/>
          <w:color w:val="000000"/>
        </w:rPr>
      </w:pPr>
    </w:p>
    <w:p w:rsidR="003435DE" w:rsidRPr="000D6397" w:rsidRDefault="003435DE" w:rsidP="000D6397">
      <w:pPr>
        <w:pStyle w:val="Style"/>
        <w:jc w:val="center"/>
        <w:rPr>
          <w:b/>
          <w:bCs/>
          <w:color w:val="000000"/>
          <w:u w:val="single"/>
        </w:rPr>
      </w:pPr>
      <w:r w:rsidRPr="000D6397">
        <w:rPr>
          <w:b/>
          <w:bCs/>
          <w:color w:val="000000"/>
          <w:u w:val="single"/>
        </w:rPr>
        <w:t>INITIAL DECISION</w:t>
      </w:r>
    </w:p>
    <w:p w:rsidR="003435DE" w:rsidRPr="000D6397" w:rsidRDefault="003435DE" w:rsidP="000D6397">
      <w:pPr>
        <w:pStyle w:val="Style"/>
        <w:jc w:val="center"/>
        <w:rPr>
          <w:b/>
          <w:bCs/>
          <w:color w:val="000000"/>
          <w:u w:val="single"/>
        </w:rPr>
      </w:pPr>
      <w:r w:rsidRPr="000D6397">
        <w:rPr>
          <w:b/>
          <w:bCs/>
          <w:color w:val="000000"/>
          <w:u w:val="single"/>
        </w:rPr>
        <w:t>SUSTAINING PRELIMINARY OBJECTIONS</w:t>
      </w:r>
    </w:p>
    <w:p w:rsidR="003435DE" w:rsidRPr="000D6397" w:rsidRDefault="003435DE" w:rsidP="000D6397">
      <w:pPr>
        <w:pStyle w:val="Style"/>
        <w:jc w:val="center"/>
        <w:rPr>
          <w:b/>
          <w:bCs/>
          <w:color w:val="000000"/>
          <w:u w:val="single"/>
        </w:rPr>
      </w:pPr>
      <w:r w:rsidRPr="000D6397">
        <w:rPr>
          <w:b/>
          <w:bCs/>
          <w:color w:val="000000"/>
          <w:u w:val="single"/>
        </w:rPr>
        <w:t>AND DISMISSING COMPLAINT</w:t>
      </w:r>
    </w:p>
    <w:p w:rsidR="003435DE" w:rsidRPr="000D6397" w:rsidRDefault="003435DE" w:rsidP="000D6397">
      <w:pPr>
        <w:pStyle w:val="Style"/>
        <w:tabs>
          <w:tab w:val="left" w:pos="3343"/>
        </w:tabs>
        <w:rPr>
          <w:bCs/>
          <w:color w:val="000000"/>
        </w:rPr>
      </w:pPr>
      <w:r w:rsidRPr="000D6397">
        <w:rPr>
          <w:bCs/>
          <w:color w:val="000000"/>
        </w:rPr>
        <w:tab/>
      </w:r>
    </w:p>
    <w:p w:rsidR="003435DE" w:rsidRPr="000D6397" w:rsidRDefault="003435DE" w:rsidP="000D6397">
      <w:pPr>
        <w:pStyle w:val="Style"/>
        <w:jc w:val="center"/>
        <w:rPr>
          <w:bCs/>
          <w:color w:val="000000"/>
        </w:rPr>
      </w:pPr>
    </w:p>
    <w:p w:rsidR="003435DE" w:rsidRPr="000D6397" w:rsidRDefault="003435DE" w:rsidP="000D6397">
      <w:pPr>
        <w:pStyle w:val="Style"/>
        <w:jc w:val="center"/>
        <w:rPr>
          <w:bCs/>
          <w:color w:val="000000"/>
        </w:rPr>
      </w:pPr>
      <w:r w:rsidRPr="000D6397">
        <w:rPr>
          <w:bCs/>
          <w:color w:val="000000"/>
        </w:rPr>
        <w:t>Before</w:t>
      </w:r>
    </w:p>
    <w:p w:rsidR="003435DE" w:rsidRPr="000D6397" w:rsidRDefault="003435DE" w:rsidP="000D6397">
      <w:pPr>
        <w:pStyle w:val="Style"/>
        <w:jc w:val="center"/>
        <w:rPr>
          <w:bCs/>
          <w:color w:val="000000"/>
        </w:rPr>
      </w:pPr>
      <w:r w:rsidRPr="000D6397">
        <w:rPr>
          <w:bCs/>
          <w:color w:val="000000"/>
        </w:rPr>
        <w:t>Joel H. Cheskis</w:t>
      </w:r>
    </w:p>
    <w:p w:rsidR="003435DE" w:rsidRPr="000D6397" w:rsidRDefault="003435DE" w:rsidP="000D6397">
      <w:pPr>
        <w:pStyle w:val="Style"/>
        <w:jc w:val="center"/>
        <w:rPr>
          <w:bCs/>
          <w:color w:val="000000"/>
        </w:rPr>
      </w:pPr>
      <w:r w:rsidRPr="000D6397">
        <w:rPr>
          <w:bCs/>
          <w:color w:val="000000"/>
        </w:rPr>
        <w:t>Administrative Law Judge</w:t>
      </w:r>
    </w:p>
    <w:p w:rsidR="003435DE" w:rsidRPr="000D6397" w:rsidRDefault="003435DE" w:rsidP="000D6397">
      <w:pPr>
        <w:pStyle w:val="Style"/>
        <w:jc w:val="center"/>
        <w:rPr>
          <w:bCs/>
          <w:color w:val="000000"/>
        </w:rPr>
      </w:pPr>
    </w:p>
    <w:p w:rsidR="003435DE" w:rsidRPr="000D6397" w:rsidRDefault="003435DE" w:rsidP="000D6397">
      <w:pPr>
        <w:pStyle w:val="Style"/>
        <w:jc w:val="center"/>
        <w:rPr>
          <w:bCs/>
          <w:color w:val="000000"/>
        </w:rPr>
      </w:pPr>
    </w:p>
    <w:p w:rsidR="003435DE" w:rsidRPr="000D6397" w:rsidRDefault="003435DE" w:rsidP="000D6397">
      <w:pPr>
        <w:pStyle w:val="Style"/>
        <w:jc w:val="center"/>
        <w:rPr>
          <w:bCs/>
          <w:color w:val="000000"/>
          <w:u w:val="single"/>
        </w:rPr>
      </w:pPr>
      <w:r w:rsidRPr="000D6397">
        <w:rPr>
          <w:bCs/>
          <w:color w:val="000000"/>
          <w:u w:val="single"/>
        </w:rPr>
        <w:t>HISTORY OF THE PROCEEDING</w:t>
      </w:r>
    </w:p>
    <w:p w:rsidR="003435DE" w:rsidRPr="000D6397" w:rsidRDefault="003435DE" w:rsidP="000D6397">
      <w:pPr>
        <w:pStyle w:val="Style"/>
        <w:jc w:val="center"/>
        <w:rPr>
          <w:bCs/>
          <w:color w:val="000000"/>
        </w:rPr>
      </w:pPr>
    </w:p>
    <w:p w:rsidR="003435DE" w:rsidRPr="000D6397" w:rsidRDefault="003435DE" w:rsidP="000D6397">
      <w:pPr>
        <w:pStyle w:val="Style"/>
        <w:jc w:val="center"/>
        <w:rPr>
          <w:bCs/>
          <w:color w:val="000000"/>
        </w:rPr>
      </w:pPr>
    </w:p>
    <w:p w:rsidR="003435DE" w:rsidRPr="000D6397" w:rsidRDefault="003435DE" w:rsidP="000D6397">
      <w:pPr>
        <w:pStyle w:val="Style"/>
        <w:spacing w:line="360" w:lineRule="auto"/>
        <w:ind w:firstLine="1440"/>
        <w:rPr>
          <w:bCs/>
          <w:color w:val="000000"/>
        </w:rPr>
      </w:pPr>
      <w:r w:rsidRPr="000D6397">
        <w:rPr>
          <w:bCs/>
          <w:color w:val="000000"/>
        </w:rPr>
        <w:t xml:space="preserve">On August 15, 2010, </w:t>
      </w:r>
      <w:proofErr w:type="spellStart"/>
      <w:r w:rsidRPr="000D6397">
        <w:rPr>
          <w:bCs/>
          <w:color w:val="000000"/>
        </w:rPr>
        <w:t>Nitin</w:t>
      </w:r>
      <w:proofErr w:type="spellEnd"/>
      <w:r w:rsidRPr="000D6397">
        <w:rPr>
          <w:bCs/>
          <w:color w:val="000000"/>
        </w:rPr>
        <w:t xml:space="preserve"> Desai (Complainant) filed with the Pennsylvania Public Utility Commission (Commission) a formal Complaint (Complaint) against Philadelphia Gas Works (PGW or respondent), Docket Number F-2010-2195246.  The Complaint alleged that the respondent was not applying the Complainant’s Parts and Labor Plan (PLP) to both apartments, on separate floors, owned by the Complainant located at the service address.  The Complaint alleged that the respondent was only allowing the PLP to cover one of the apartments at the service address, but not both.  The Complaint followed a determination by the Commission’s Bureau of Consumer Services (BCS) that the Complainant had to have a PLP for each apartment, as the respondent contended.  The Complainant filed the Complaint following the BCS decision.</w:t>
      </w:r>
    </w:p>
    <w:p w:rsidR="003435DE" w:rsidRPr="000D6397" w:rsidRDefault="003435DE" w:rsidP="000D6397">
      <w:pPr>
        <w:spacing w:after="0"/>
        <w:rPr>
          <w:rFonts w:ascii="Times New Roman" w:hAnsi="Times New Roman"/>
          <w:bCs/>
          <w:color w:val="000000"/>
          <w:sz w:val="24"/>
          <w:szCs w:val="24"/>
        </w:rPr>
      </w:pPr>
      <w:r w:rsidRPr="000D6397">
        <w:rPr>
          <w:rFonts w:ascii="Times New Roman" w:hAnsi="Times New Roman"/>
          <w:bCs/>
          <w:color w:val="000000"/>
          <w:sz w:val="24"/>
          <w:szCs w:val="24"/>
        </w:rPr>
        <w:br w:type="page"/>
      </w:r>
    </w:p>
    <w:p w:rsidR="003435DE" w:rsidRPr="000D6397" w:rsidRDefault="003435DE" w:rsidP="000D6397">
      <w:pPr>
        <w:pStyle w:val="Style"/>
        <w:spacing w:line="360" w:lineRule="auto"/>
        <w:ind w:firstLine="1440"/>
        <w:rPr>
          <w:bCs/>
          <w:color w:val="000000"/>
        </w:rPr>
      </w:pPr>
      <w:r w:rsidRPr="000D6397">
        <w:rPr>
          <w:bCs/>
          <w:color w:val="000000"/>
        </w:rPr>
        <w:lastRenderedPageBreak/>
        <w:t>The Complaint was served on respondent on August 24, 2010.</w:t>
      </w:r>
    </w:p>
    <w:p w:rsidR="003435DE" w:rsidRPr="000D6397" w:rsidRDefault="003435DE" w:rsidP="000D6397">
      <w:pPr>
        <w:pStyle w:val="Style"/>
        <w:spacing w:line="360" w:lineRule="auto"/>
        <w:ind w:firstLine="1440"/>
        <w:rPr>
          <w:bCs/>
          <w:color w:val="000000"/>
        </w:rPr>
      </w:pPr>
    </w:p>
    <w:p w:rsidR="003435DE" w:rsidRPr="000D6397" w:rsidRDefault="003435DE" w:rsidP="000D6397">
      <w:pPr>
        <w:pStyle w:val="Style"/>
        <w:spacing w:line="360" w:lineRule="auto"/>
        <w:ind w:firstLine="1440"/>
        <w:rPr>
          <w:bCs/>
          <w:color w:val="000000"/>
        </w:rPr>
      </w:pPr>
      <w:r w:rsidRPr="000D6397">
        <w:rPr>
          <w:bCs/>
          <w:color w:val="000000"/>
        </w:rPr>
        <w:t xml:space="preserve">Under separate cover letters, each dated September 13, 2010, respondent filed and served an Answer (Answer) to the Complaint and Preliminary Objections (Preliminary Objections).  The Preliminary Objections were endorsed with a notice to plead.  </w:t>
      </w:r>
    </w:p>
    <w:p w:rsidR="003435DE" w:rsidRPr="000D6397" w:rsidRDefault="003435DE" w:rsidP="000D6397">
      <w:pPr>
        <w:pStyle w:val="Style"/>
        <w:spacing w:line="360" w:lineRule="auto"/>
        <w:ind w:firstLine="1440"/>
        <w:rPr>
          <w:bCs/>
          <w:color w:val="000000"/>
        </w:rPr>
      </w:pPr>
    </w:p>
    <w:p w:rsidR="003435DE" w:rsidRPr="000D6397" w:rsidRDefault="003435DE" w:rsidP="000D6397">
      <w:pPr>
        <w:pStyle w:val="Style"/>
        <w:spacing w:line="360" w:lineRule="auto"/>
        <w:ind w:firstLine="1440"/>
        <w:rPr>
          <w:bCs/>
          <w:color w:val="000000"/>
        </w:rPr>
      </w:pPr>
      <w:r w:rsidRPr="000D6397">
        <w:rPr>
          <w:bCs/>
          <w:color w:val="000000"/>
        </w:rPr>
        <w:t>The Answer stated that the Complainant has a PLP for only one floor at the service address.  The Answer further states that, at the time the Complainant called PGW to schedule a service call, the Complainant was referred to a contractor by a PGW representative since there was no effective PLP.  A PGW technician determined that the Complainant wanted a first floor house heater serviced under the second floor house heater contract.</w:t>
      </w:r>
    </w:p>
    <w:p w:rsidR="003435DE" w:rsidRPr="000D6397" w:rsidRDefault="003435DE" w:rsidP="000D6397">
      <w:pPr>
        <w:pStyle w:val="Style"/>
        <w:spacing w:line="360" w:lineRule="auto"/>
        <w:ind w:firstLine="1440"/>
        <w:rPr>
          <w:bCs/>
          <w:color w:val="000000"/>
        </w:rPr>
      </w:pPr>
    </w:p>
    <w:p w:rsidR="003435DE" w:rsidRPr="000D6397" w:rsidRDefault="003435DE" w:rsidP="000D6397">
      <w:pPr>
        <w:pStyle w:val="Style"/>
        <w:spacing w:line="360" w:lineRule="auto"/>
        <w:ind w:firstLine="1440"/>
        <w:rPr>
          <w:bCs/>
          <w:color w:val="000000"/>
        </w:rPr>
      </w:pPr>
      <w:r w:rsidRPr="000D6397">
        <w:rPr>
          <w:bCs/>
          <w:color w:val="000000"/>
        </w:rPr>
        <w:t>The Preliminary Objections averred the Commission lacks jurisdiction over PGW’s PLP as it is considered an unregulated activity.  The Preliminary Objections further aver that the Commission should sustain respondent’s preliminary objections to the Complaint and dismiss the Complaint for lack of jurisdiction.</w:t>
      </w:r>
    </w:p>
    <w:p w:rsidR="003435DE" w:rsidRPr="000D6397" w:rsidRDefault="003435DE" w:rsidP="000D6397">
      <w:pPr>
        <w:pStyle w:val="Style"/>
        <w:spacing w:line="360" w:lineRule="auto"/>
        <w:ind w:firstLine="1440"/>
        <w:rPr>
          <w:bCs/>
          <w:color w:val="000000"/>
        </w:rPr>
      </w:pPr>
    </w:p>
    <w:p w:rsidR="003435DE" w:rsidRPr="000D6397" w:rsidRDefault="003435DE" w:rsidP="000D6397">
      <w:pPr>
        <w:pStyle w:val="Style"/>
        <w:spacing w:line="360" w:lineRule="auto"/>
        <w:ind w:firstLine="1440"/>
        <w:rPr>
          <w:color w:val="000000"/>
        </w:rPr>
      </w:pPr>
      <w:r w:rsidRPr="000D6397">
        <w:rPr>
          <w:color w:val="000000"/>
        </w:rPr>
        <w:t xml:space="preserve">Complainant’s answer to the Preliminary Objections was due no later than September 27, 2010.  52 </w:t>
      </w:r>
      <w:proofErr w:type="spellStart"/>
      <w:r w:rsidRPr="000D6397">
        <w:rPr>
          <w:color w:val="000000"/>
        </w:rPr>
        <w:t>Pa.Code</w:t>
      </w:r>
      <w:proofErr w:type="spellEnd"/>
      <w:r w:rsidRPr="000D6397">
        <w:rPr>
          <w:color w:val="000000"/>
        </w:rPr>
        <w:t xml:space="preserve"> §§ 5.101(f</w:t>
      </w:r>
      <w:proofErr w:type="gramStart"/>
      <w:r w:rsidRPr="000D6397">
        <w:rPr>
          <w:color w:val="000000"/>
        </w:rPr>
        <w:t>)(</w:t>
      </w:r>
      <w:proofErr w:type="gramEnd"/>
      <w:r w:rsidRPr="000D6397">
        <w:rPr>
          <w:color w:val="000000"/>
        </w:rPr>
        <w:t>1), 1.12(a), 1.56(a)(1) and (b).  Complainant did not file an answer to the Preliminary Objections.</w:t>
      </w:r>
    </w:p>
    <w:p w:rsidR="003435DE" w:rsidRPr="000D6397" w:rsidRDefault="003435DE" w:rsidP="000D6397">
      <w:pPr>
        <w:pStyle w:val="Style"/>
        <w:spacing w:line="360" w:lineRule="auto"/>
        <w:ind w:firstLine="1440"/>
        <w:rPr>
          <w:color w:val="000000"/>
        </w:rPr>
      </w:pPr>
    </w:p>
    <w:p w:rsidR="003435DE" w:rsidRPr="000D6397" w:rsidRDefault="003435DE" w:rsidP="000D6397">
      <w:pPr>
        <w:pStyle w:val="Style"/>
        <w:spacing w:line="360" w:lineRule="auto"/>
        <w:ind w:firstLine="1440"/>
        <w:rPr>
          <w:color w:val="000000"/>
        </w:rPr>
      </w:pPr>
      <w:r w:rsidRPr="000D6397">
        <w:rPr>
          <w:color w:val="000000"/>
        </w:rPr>
        <w:t xml:space="preserve">By Motion Judge Assignment Notice dated August 31, </w:t>
      </w:r>
      <w:proofErr w:type="gramStart"/>
      <w:r w:rsidRPr="000D6397">
        <w:rPr>
          <w:color w:val="000000"/>
        </w:rPr>
        <w:t>2011,</w:t>
      </w:r>
      <w:proofErr w:type="gramEnd"/>
      <w:r w:rsidRPr="000D6397">
        <w:rPr>
          <w:color w:val="000000"/>
        </w:rPr>
        <w:t xml:space="preserve"> the parties were informed that respondent’s Preliminary Objections had been assigned to me for a ruling.</w:t>
      </w:r>
    </w:p>
    <w:p w:rsidR="000D6397" w:rsidRDefault="000D6397">
      <w:pPr>
        <w:rPr>
          <w:rFonts w:ascii="Times New Roman" w:hAnsi="Times New Roman"/>
          <w:color w:val="000000"/>
          <w:w w:val="78"/>
          <w:sz w:val="24"/>
          <w:szCs w:val="24"/>
        </w:rPr>
      </w:pPr>
      <w:r>
        <w:rPr>
          <w:color w:val="000000"/>
          <w:w w:val="78"/>
        </w:rPr>
        <w:br w:type="page"/>
      </w:r>
    </w:p>
    <w:p w:rsidR="003435DE" w:rsidRPr="000D6397" w:rsidRDefault="003435DE" w:rsidP="000D6397">
      <w:pPr>
        <w:pStyle w:val="Style"/>
        <w:spacing w:line="360" w:lineRule="auto"/>
        <w:ind w:firstLine="1440"/>
        <w:rPr>
          <w:color w:val="000000"/>
          <w:w w:val="78"/>
        </w:rPr>
      </w:pPr>
    </w:p>
    <w:p w:rsidR="003435DE" w:rsidRPr="000D6397" w:rsidRDefault="003435DE" w:rsidP="000D6397">
      <w:pPr>
        <w:pStyle w:val="Style"/>
        <w:spacing w:line="360" w:lineRule="auto"/>
        <w:ind w:firstLine="1440"/>
        <w:rPr>
          <w:color w:val="000000"/>
        </w:rPr>
      </w:pPr>
      <w:r w:rsidRPr="000D6397">
        <w:rPr>
          <w:color w:val="000000"/>
        </w:rPr>
        <w:t>Respondent’s Preliminary Objections are procedurally ready to be ruled upon.</w:t>
      </w:r>
    </w:p>
    <w:p w:rsidR="000D6397" w:rsidRDefault="000D6397" w:rsidP="000D6397">
      <w:pPr>
        <w:pStyle w:val="Style"/>
        <w:spacing w:line="360" w:lineRule="auto"/>
        <w:jc w:val="center"/>
        <w:rPr>
          <w:color w:val="000000"/>
          <w:u w:val="single"/>
        </w:rPr>
      </w:pPr>
    </w:p>
    <w:p w:rsidR="003435DE" w:rsidRPr="000D6397" w:rsidRDefault="003435DE" w:rsidP="000D6397">
      <w:pPr>
        <w:pStyle w:val="Style"/>
        <w:spacing w:line="360" w:lineRule="auto"/>
        <w:jc w:val="center"/>
        <w:rPr>
          <w:color w:val="000000"/>
          <w:u w:val="single"/>
        </w:rPr>
      </w:pPr>
      <w:r w:rsidRPr="000D6397">
        <w:rPr>
          <w:color w:val="000000"/>
          <w:u w:val="single"/>
        </w:rPr>
        <w:t>FINDINGS OF FACT</w:t>
      </w:r>
    </w:p>
    <w:p w:rsidR="003435DE" w:rsidRPr="000D6397" w:rsidRDefault="003435DE" w:rsidP="000D6397">
      <w:pPr>
        <w:pStyle w:val="Style"/>
        <w:spacing w:line="360" w:lineRule="auto"/>
        <w:ind w:firstLine="1440"/>
        <w:rPr>
          <w:color w:val="000000"/>
        </w:rPr>
      </w:pPr>
    </w:p>
    <w:p w:rsidR="003435DE" w:rsidRPr="000D6397" w:rsidRDefault="003435DE" w:rsidP="000D6397">
      <w:pPr>
        <w:pStyle w:val="Style"/>
        <w:numPr>
          <w:ilvl w:val="0"/>
          <w:numId w:val="1"/>
        </w:numPr>
        <w:spacing w:line="360" w:lineRule="auto"/>
        <w:ind w:left="0" w:firstLine="1440"/>
        <w:rPr>
          <w:color w:val="000000"/>
        </w:rPr>
      </w:pPr>
      <w:r w:rsidRPr="000D6397">
        <w:rPr>
          <w:color w:val="000000"/>
        </w:rPr>
        <w:t xml:space="preserve">Complainant, </w:t>
      </w:r>
      <w:proofErr w:type="spellStart"/>
      <w:r w:rsidRPr="000D6397">
        <w:rPr>
          <w:color w:val="000000"/>
        </w:rPr>
        <w:t>Nitin</w:t>
      </w:r>
      <w:proofErr w:type="spellEnd"/>
      <w:r w:rsidRPr="000D6397">
        <w:rPr>
          <w:color w:val="000000"/>
        </w:rPr>
        <w:t xml:space="preserve"> Desai, is the owner of the premises.</w:t>
      </w:r>
    </w:p>
    <w:p w:rsidR="003435DE" w:rsidRPr="000D6397" w:rsidRDefault="003435DE" w:rsidP="000D6397">
      <w:pPr>
        <w:pStyle w:val="Style"/>
        <w:spacing w:line="360" w:lineRule="auto"/>
        <w:ind w:firstLine="1440"/>
        <w:rPr>
          <w:color w:val="000000"/>
        </w:rPr>
      </w:pPr>
    </w:p>
    <w:p w:rsidR="003435DE" w:rsidRPr="000D6397" w:rsidRDefault="003435DE" w:rsidP="000D6397">
      <w:pPr>
        <w:pStyle w:val="Style"/>
        <w:numPr>
          <w:ilvl w:val="0"/>
          <w:numId w:val="1"/>
        </w:numPr>
        <w:spacing w:line="360" w:lineRule="auto"/>
        <w:ind w:left="0" w:firstLine="1440"/>
        <w:rPr>
          <w:color w:val="000000"/>
        </w:rPr>
      </w:pPr>
      <w:r w:rsidRPr="000D6397">
        <w:rPr>
          <w:color w:val="000000"/>
        </w:rPr>
        <w:t>Respondent is the Philadelphia Gas Works.</w:t>
      </w:r>
    </w:p>
    <w:p w:rsidR="003435DE" w:rsidRPr="000D6397" w:rsidRDefault="003435DE" w:rsidP="000D6397">
      <w:pPr>
        <w:pStyle w:val="ListParagraph"/>
        <w:spacing w:after="0"/>
        <w:ind w:left="0" w:firstLine="1440"/>
        <w:rPr>
          <w:rFonts w:ascii="Times New Roman" w:hAnsi="Times New Roman"/>
          <w:color w:val="000000"/>
          <w:sz w:val="24"/>
          <w:szCs w:val="24"/>
        </w:rPr>
      </w:pPr>
    </w:p>
    <w:p w:rsidR="003435DE" w:rsidRPr="000D6397" w:rsidRDefault="003435DE" w:rsidP="000D6397">
      <w:pPr>
        <w:pStyle w:val="Style"/>
        <w:numPr>
          <w:ilvl w:val="0"/>
          <w:numId w:val="1"/>
        </w:numPr>
        <w:spacing w:line="360" w:lineRule="auto"/>
        <w:ind w:left="0" w:firstLine="1440"/>
        <w:rPr>
          <w:color w:val="000000"/>
        </w:rPr>
      </w:pPr>
      <w:r w:rsidRPr="000D6397">
        <w:rPr>
          <w:color w:val="000000"/>
        </w:rPr>
        <w:t>On August 15, 2010, the Complainant filed a Complaint with the Commission against the Respondent.</w:t>
      </w:r>
    </w:p>
    <w:p w:rsidR="003435DE" w:rsidRPr="000D6397" w:rsidRDefault="003435DE" w:rsidP="000D6397">
      <w:pPr>
        <w:pStyle w:val="ListParagraph"/>
        <w:spacing w:after="0"/>
        <w:ind w:left="0" w:firstLine="1440"/>
        <w:rPr>
          <w:rFonts w:ascii="Times New Roman" w:hAnsi="Times New Roman"/>
          <w:color w:val="000000"/>
          <w:sz w:val="24"/>
          <w:szCs w:val="24"/>
        </w:rPr>
      </w:pPr>
    </w:p>
    <w:p w:rsidR="003435DE" w:rsidRPr="000D6397" w:rsidRDefault="003435DE" w:rsidP="000D6397">
      <w:pPr>
        <w:pStyle w:val="Style"/>
        <w:numPr>
          <w:ilvl w:val="0"/>
          <w:numId w:val="1"/>
        </w:numPr>
        <w:spacing w:line="360" w:lineRule="auto"/>
        <w:ind w:left="0" w:firstLine="1440"/>
        <w:rPr>
          <w:color w:val="000000"/>
        </w:rPr>
      </w:pPr>
      <w:r w:rsidRPr="000D6397">
        <w:rPr>
          <w:color w:val="000000"/>
        </w:rPr>
        <w:t xml:space="preserve">The Respondent filed an Answer and Preliminary Objections, under separate cover, on September 13, 2010.  </w:t>
      </w:r>
    </w:p>
    <w:p w:rsidR="003435DE" w:rsidRPr="000D6397" w:rsidRDefault="003435DE" w:rsidP="000D6397">
      <w:pPr>
        <w:pStyle w:val="ListParagraph"/>
        <w:spacing w:after="0"/>
        <w:ind w:left="0" w:firstLine="1440"/>
        <w:rPr>
          <w:rFonts w:ascii="Times New Roman" w:hAnsi="Times New Roman"/>
          <w:color w:val="000000"/>
          <w:sz w:val="24"/>
          <w:szCs w:val="24"/>
        </w:rPr>
      </w:pPr>
    </w:p>
    <w:p w:rsidR="003435DE" w:rsidRPr="000D6397" w:rsidRDefault="003435DE" w:rsidP="000D6397">
      <w:pPr>
        <w:pStyle w:val="Style"/>
        <w:numPr>
          <w:ilvl w:val="0"/>
          <w:numId w:val="1"/>
        </w:numPr>
        <w:spacing w:line="360" w:lineRule="auto"/>
        <w:ind w:left="0" w:firstLine="1440"/>
        <w:rPr>
          <w:color w:val="000000"/>
        </w:rPr>
      </w:pPr>
      <w:r w:rsidRPr="000D6397">
        <w:rPr>
          <w:color w:val="000000"/>
        </w:rPr>
        <w:t>The Complainant did not file an Answer to the Preliminary Objections.</w:t>
      </w:r>
    </w:p>
    <w:p w:rsidR="003435DE" w:rsidRPr="000D6397" w:rsidRDefault="003435DE" w:rsidP="000D6397">
      <w:pPr>
        <w:pStyle w:val="ListParagraph"/>
        <w:spacing w:after="0"/>
        <w:ind w:left="0"/>
        <w:rPr>
          <w:rFonts w:ascii="Times New Roman" w:hAnsi="Times New Roman"/>
          <w:strike/>
          <w:color w:val="000000"/>
          <w:sz w:val="24"/>
          <w:szCs w:val="24"/>
        </w:rPr>
      </w:pPr>
    </w:p>
    <w:p w:rsidR="003435DE" w:rsidRPr="000D6397" w:rsidRDefault="003435DE" w:rsidP="000D6397">
      <w:pPr>
        <w:pStyle w:val="Style"/>
        <w:spacing w:line="360" w:lineRule="auto"/>
        <w:jc w:val="center"/>
        <w:rPr>
          <w:color w:val="000000"/>
          <w:u w:val="single"/>
        </w:rPr>
      </w:pPr>
      <w:r w:rsidRPr="000D6397">
        <w:rPr>
          <w:color w:val="000000"/>
          <w:u w:val="single"/>
        </w:rPr>
        <w:t>DISCUSSION</w:t>
      </w:r>
    </w:p>
    <w:p w:rsidR="003435DE" w:rsidRPr="000D6397" w:rsidRDefault="003435DE" w:rsidP="000D6397">
      <w:pPr>
        <w:pStyle w:val="Style"/>
        <w:spacing w:line="360" w:lineRule="auto"/>
        <w:ind w:firstLine="1440"/>
        <w:rPr>
          <w:strike/>
          <w:color w:val="000000"/>
        </w:rPr>
      </w:pPr>
    </w:p>
    <w:p w:rsidR="003435DE" w:rsidRPr="000D6397" w:rsidRDefault="003435DE" w:rsidP="000D6397">
      <w:pPr>
        <w:pStyle w:val="Style"/>
        <w:spacing w:line="360" w:lineRule="auto"/>
        <w:ind w:firstLine="1440"/>
        <w:rPr>
          <w:color w:val="000000"/>
        </w:rPr>
      </w:pPr>
      <w:r w:rsidRPr="000D6397">
        <w:rPr>
          <w:color w:val="000000"/>
        </w:rPr>
        <w:t>This case involves the Complainant</w:t>
      </w:r>
      <w:r w:rsidR="006724F9" w:rsidRPr="000D6397">
        <w:rPr>
          <w:color w:val="000000"/>
        </w:rPr>
        <w:t>’</w:t>
      </w:r>
      <w:r w:rsidRPr="000D6397">
        <w:rPr>
          <w:color w:val="000000"/>
        </w:rPr>
        <w:t>s request to have one Parts and Labor Plan (PLP) purchased through the Respondent applied to two apartments located in the same house.  The Complainant owns both apartments and stated in the Complaint that he was told by the Respondent over the phone that the PLP will cover both apartments since he owns the entire house and neither floor is rented to a tenant.  Complainant requests that the Respondent service both apartments under the one PLP.</w:t>
      </w:r>
    </w:p>
    <w:p w:rsidR="003435DE" w:rsidRPr="000D6397" w:rsidRDefault="003435DE" w:rsidP="000D6397">
      <w:pPr>
        <w:pStyle w:val="Style"/>
        <w:spacing w:line="360" w:lineRule="auto"/>
        <w:ind w:firstLine="1440"/>
        <w:rPr>
          <w:color w:val="000000"/>
        </w:rPr>
      </w:pPr>
    </w:p>
    <w:p w:rsidR="003435DE" w:rsidRPr="000D6397" w:rsidRDefault="003435DE" w:rsidP="000D6397">
      <w:pPr>
        <w:pStyle w:val="Style"/>
        <w:spacing w:line="360" w:lineRule="auto"/>
        <w:ind w:firstLine="1440"/>
        <w:rPr>
          <w:color w:val="000000"/>
        </w:rPr>
      </w:pPr>
      <w:r w:rsidRPr="000D6397">
        <w:rPr>
          <w:color w:val="000000"/>
        </w:rPr>
        <w:t>Respondent filed a Preliminary Objection and Motion to Strike Impertinent Matter.</w:t>
      </w:r>
      <w:r w:rsidRPr="000D6397">
        <w:rPr>
          <w:rStyle w:val="FootnoteReference"/>
          <w:color w:val="000000"/>
        </w:rPr>
        <w:footnoteReference w:id="1"/>
      </w:r>
      <w:r w:rsidRPr="000D6397">
        <w:rPr>
          <w:color w:val="000000"/>
        </w:rPr>
        <w:t xml:space="preserve">  The Preliminary Objection stated that the Commission lacks jurisdiction over PGW’s </w:t>
      </w:r>
      <w:r w:rsidRPr="000D6397">
        <w:rPr>
          <w:color w:val="000000"/>
        </w:rPr>
        <w:lastRenderedPageBreak/>
        <w:t>PLP as it is considered an unregulated activity.  The Respondent requests that the Commission grant the Preliminary Objection and dismiss the Complaint for lack of jurisdiction.</w:t>
      </w:r>
    </w:p>
    <w:p w:rsidR="006724F9" w:rsidRPr="000D6397" w:rsidRDefault="006724F9" w:rsidP="000D6397">
      <w:pPr>
        <w:pStyle w:val="Style"/>
        <w:spacing w:line="360" w:lineRule="auto"/>
        <w:ind w:firstLine="1440"/>
        <w:rPr>
          <w:color w:val="000000"/>
        </w:rPr>
      </w:pPr>
    </w:p>
    <w:p w:rsidR="003435DE" w:rsidRPr="000D6397" w:rsidRDefault="003435DE" w:rsidP="000D6397">
      <w:pPr>
        <w:pStyle w:val="Style"/>
        <w:spacing w:line="360" w:lineRule="auto"/>
        <w:ind w:firstLine="1440"/>
        <w:rPr>
          <w:color w:val="000000"/>
        </w:rPr>
      </w:pPr>
      <w:r w:rsidRPr="000D6397">
        <w:rPr>
          <w:color w:val="000000"/>
        </w:rPr>
        <w:t xml:space="preserve">The Commission’s Rules of Administrative Practice and Procedure (Rules), 52 </w:t>
      </w:r>
      <w:proofErr w:type="spellStart"/>
      <w:r w:rsidRPr="000D6397">
        <w:rPr>
          <w:color w:val="000000"/>
        </w:rPr>
        <w:t>Pa.Code</w:t>
      </w:r>
      <w:proofErr w:type="spellEnd"/>
      <w:r w:rsidRPr="000D6397">
        <w:rPr>
          <w:color w:val="000000"/>
        </w:rPr>
        <w:t xml:space="preserve"> Chapters 1, 3 and 5, provide for the filing of preliminary objections.  </w:t>
      </w:r>
      <w:proofErr w:type="gramStart"/>
      <w:r w:rsidRPr="000D6397">
        <w:rPr>
          <w:color w:val="000000"/>
        </w:rPr>
        <w:t xml:space="preserve">52 </w:t>
      </w:r>
      <w:proofErr w:type="spellStart"/>
      <w:r w:rsidRPr="000D6397">
        <w:rPr>
          <w:color w:val="000000"/>
        </w:rPr>
        <w:t>Pa.Code</w:t>
      </w:r>
      <w:proofErr w:type="spellEnd"/>
      <w:r w:rsidRPr="000D6397">
        <w:rPr>
          <w:color w:val="000000"/>
        </w:rPr>
        <w:t xml:space="preserve"> </w:t>
      </w:r>
      <w:r w:rsidRPr="000D6397">
        <w:rPr>
          <w:color w:val="000000"/>
          <w:w w:val="86"/>
        </w:rPr>
        <w:t xml:space="preserve">§ </w:t>
      </w:r>
      <w:r w:rsidRPr="000D6397">
        <w:rPr>
          <w:color w:val="000000"/>
        </w:rPr>
        <w:t>5.101.</w:t>
      </w:r>
      <w:proofErr w:type="gramEnd"/>
      <w:r w:rsidRPr="000D6397">
        <w:rPr>
          <w:color w:val="000000"/>
        </w:rPr>
        <w:t xml:space="preserve">  Commission preliminary objection practice is comparable to Pennsylvania civil practice respecting the filing of preliminary objections.  </w:t>
      </w:r>
      <w:r w:rsidRPr="000D6397">
        <w:rPr>
          <w:iCs/>
          <w:color w:val="000000"/>
          <w:u w:val="single"/>
        </w:rPr>
        <w:t xml:space="preserve">Equitable Small Transportation </w:t>
      </w:r>
      <w:proofErr w:type="spellStart"/>
      <w:r w:rsidRPr="000D6397">
        <w:rPr>
          <w:iCs/>
          <w:color w:val="000000"/>
          <w:u w:val="single"/>
        </w:rPr>
        <w:t>Intervenors</w:t>
      </w:r>
      <w:proofErr w:type="spellEnd"/>
      <w:r w:rsidRPr="000D6397">
        <w:rPr>
          <w:iCs/>
          <w:color w:val="000000"/>
          <w:u w:val="single"/>
        </w:rPr>
        <w:t xml:space="preserve"> v. Equitable Gas Company</w:t>
      </w:r>
      <w:r w:rsidRPr="000D6397">
        <w:rPr>
          <w:i/>
          <w:iCs/>
          <w:color w:val="000000"/>
        </w:rPr>
        <w:t xml:space="preserve">, </w:t>
      </w:r>
      <w:r w:rsidRPr="000D6397">
        <w:rPr>
          <w:color w:val="000000"/>
        </w:rPr>
        <w:t xml:space="preserve">1994 Pa PUC LEXIS 69, Docket No. </w:t>
      </w:r>
      <w:proofErr w:type="gramStart"/>
      <w:r w:rsidRPr="000D6397">
        <w:rPr>
          <w:color w:val="000000"/>
        </w:rPr>
        <w:t>C-00935435 (July 18, 1994).</w:t>
      </w:r>
      <w:proofErr w:type="gramEnd"/>
      <w:r w:rsidRPr="000D6397">
        <w:rPr>
          <w:color w:val="000000"/>
        </w:rPr>
        <w:t xml:space="preserve">  </w:t>
      </w:r>
    </w:p>
    <w:p w:rsidR="003435DE" w:rsidRPr="000D6397" w:rsidRDefault="003435DE" w:rsidP="000D6397">
      <w:pPr>
        <w:pStyle w:val="Style"/>
        <w:spacing w:line="360" w:lineRule="auto"/>
        <w:ind w:firstLine="1440"/>
        <w:rPr>
          <w:color w:val="000000"/>
        </w:rPr>
      </w:pPr>
    </w:p>
    <w:p w:rsidR="003435DE" w:rsidRDefault="003435DE" w:rsidP="000D6397">
      <w:pPr>
        <w:pStyle w:val="Style"/>
        <w:spacing w:line="360" w:lineRule="auto"/>
        <w:ind w:firstLine="1440"/>
        <w:rPr>
          <w:color w:val="000000"/>
        </w:rPr>
      </w:pPr>
      <w:r w:rsidRPr="000D6397">
        <w:rPr>
          <w:color w:val="000000"/>
        </w:rPr>
        <w:t>The Commission’s Rules provide, in relevant part:</w:t>
      </w:r>
    </w:p>
    <w:p w:rsidR="000D6397" w:rsidRPr="000D6397" w:rsidRDefault="000D6397" w:rsidP="000D6397">
      <w:pPr>
        <w:pStyle w:val="Style"/>
        <w:ind w:firstLine="1440"/>
        <w:rPr>
          <w:color w:val="000000"/>
        </w:rPr>
      </w:pPr>
    </w:p>
    <w:p w:rsidR="003435DE" w:rsidRPr="000D6397" w:rsidRDefault="000D6397" w:rsidP="000D6397">
      <w:pPr>
        <w:pStyle w:val="Style"/>
        <w:tabs>
          <w:tab w:val="left" w:pos="1469"/>
          <w:tab w:val="left" w:pos="2196"/>
        </w:tabs>
        <w:ind w:left="1440" w:right="1441"/>
        <w:rPr>
          <w:color w:val="000000"/>
        </w:rPr>
      </w:pPr>
      <w:r>
        <w:rPr>
          <w:color w:val="000000"/>
        </w:rPr>
        <w:t>(a)</w:t>
      </w:r>
      <w:r w:rsidR="003435DE" w:rsidRPr="000D6397">
        <w:rPr>
          <w:color w:val="000000"/>
        </w:rPr>
        <w:tab/>
      </w:r>
      <w:r w:rsidR="003435DE" w:rsidRPr="000D6397">
        <w:rPr>
          <w:i/>
          <w:iCs/>
          <w:color w:val="000000"/>
        </w:rPr>
        <w:t xml:space="preserve">Grounds. </w:t>
      </w:r>
      <w:r w:rsidR="003435DE" w:rsidRPr="000D6397">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435DE" w:rsidRPr="000D6397" w:rsidRDefault="003435DE" w:rsidP="000D6397">
      <w:pPr>
        <w:pStyle w:val="Style"/>
        <w:tabs>
          <w:tab w:val="left" w:pos="1469"/>
          <w:tab w:val="left" w:pos="2196"/>
        </w:tabs>
        <w:ind w:left="1440" w:right="1441"/>
        <w:rPr>
          <w:color w:val="000000"/>
        </w:rPr>
      </w:pPr>
    </w:p>
    <w:p w:rsidR="003435DE" w:rsidRPr="000D6397" w:rsidRDefault="003435DE" w:rsidP="000D6397">
      <w:pPr>
        <w:pStyle w:val="Style"/>
        <w:tabs>
          <w:tab w:val="left" w:pos="2196"/>
          <w:tab w:val="left" w:pos="2909"/>
        </w:tabs>
        <w:ind w:left="1440" w:right="1441"/>
        <w:rPr>
          <w:color w:val="000000"/>
        </w:rPr>
      </w:pPr>
      <w:r w:rsidRPr="000D6397">
        <w:tab/>
      </w:r>
      <w:r w:rsidRPr="000D6397">
        <w:rPr>
          <w:color w:val="000000"/>
        </w:rPr>
        <w:t>(1)</w:t>
      </w:r>
      <w:r w:rsidRPr="000D6397">
        <w:rPr>
          <w:color w:val="000000"/>
        </w:rPr>
        <w:tab/>
        <w:t xml:space="preserve">Lack of Commission jurisdiction or improper </w:t>
      </w:r>
    </w:p>
    <w:p w:rsidR="003435DE" w:rsidRPr="000D6397" w:rsidRDefault="003435DE" w:rsidP="000D6397">
      <w:pPr>
        <w:pStyle w:val="Style"/>
        <w:ind w:left="1440" w:right="1441"/>
        <w:rPr>
          <w:color w:val="000000"/>
        </w:rPr>
      </w:pPr>
      <w:proofErr w:type="gramStart"/>
      <w:r w:rsidRPr="000D6397">
        <w:rPr>
          <w:color w:val="000000"/>
        </w:rPr>
        <w:t>service</w:t>
      </w:r>
      <w:proofErr w:type="gramEnd"/>
      <w:r w:rsidRPr="000D6397">
        <w:rPr>
          <w:color w:val="000000"/>
        </w:rPr>
        <w:t xml:space="preserve"> of the pleading initiating the proceeding.</w:t>
      </w:r>
    </w:p>
    <w:p w:rsidR="003435DE" w:rsidRPr="000D6397" w:rsidRDefault="003435DE" w:rsidP="000D6397">
      <w:pPr>
        <w:pStyle w:val="Style"/>
        <w:ind w:left="1440" w:right="1441"/>
        <w:rPr>
          <w:color w:val="000000"/>
        </w:rPr>
      </w:pPr>
    </w:p>
    <w:p w:rsidR="003435DE" w:rsidRPr="000D6397" w:rsidRDefault="003435DE" w:rsidP="000D6397">
      <w:pPr>
        <w:pStyle w:val="Style"/>
        <w:rPr>
          <w:color w:val="000000"/>
        </w:rPr>
      </w:pPr>
      <w:r w:rsidRPr="000D6397">
        <w:rPr>
          <w:color w:val="000000"/>
        </w:rPr>
        <w:t xml:space="preserve">52 </w:t>
      </w:r>
      <w:proofErr w:type="spellStart"/>
      <w:r w:rsidRPr="000D6397">
        <w:rPr>
          <w:color w:val="000000"/>
        </w:rPr>
        <w:t>Pa.Code</w:t>
      </w:r>
      <w:proofErr w:type="spellEnd"/>
      <w:r w:rsidRPr="000D6397">
        <w:rPr>
          <w:color w:val="000000"/>
        </w:rPr>
        <w:t xml:space="preserve"> § 5.101(a</w:t>
      </w:r>
      <w:proofErr w:type="gramStart"/>
      <w:r w:rsidRPr="000D6397">
        <w:rPr>
          <w:color w:val="000000"/>
        </w:rPr>
        <w:t>)(</w:t>
      </w:r>
      <w:proofErr w:type="gramEnd"/>
      <w:r w:rsidRPr="000D6397">
        <w:rPr>
          <w:color w:val="000000"/>
        </w:rPr>
        <w:t>1).</w:t>
      </w:r>
    </w:p>
    <w:p w:rsidR="003435DE" w:rsidRPr="000D6397" w:rsidRDefault="003435DE" w:rsidP="000D6397">
      <w:pPr>
        <w:pStyle w:val="Style"/>
        <w:spacing w:line="360" w:lineRule="auto"/>
        <w:rPr>
          <w:color w:val="000000"/>
        </w:rPr>
      </w:pPr>
    </w:p>
    <w:p w:rsidR="003435DE" w:rsidRPr="000D6397" w:rsidRDefault="003435DE" w:rsidP="000D6397">
      <w:pPr>
        <w:pStyle w:val="ParaTab1"/>
        <w:spacing w:line="360" w:lineRule="auto"/>
        <w:rPr>
          <w:rFonts w:ascii="Times New Roman" w:hAnsi="Times New Roman" w:cs="Times New Roman"/>
        </w:rPr>
      </w:pPr>
      <w:r w:rsidRPr="000D6397">
        <w:rPr>
          <w:rFonts w:ascii="Times New Roman" w:hAnsi="Times New Roman" w:cs="Times New Roman"/>
        </w:rPr>
        <w:t xml:space="preserve">The Commission, as a creation of the General Assembly, has only the powers and authority granted to it by the General Assembly contained in the Public Utility Code.  </w:t>
      </w:r>
      <w:proofErr w:type="gramStart"/>
      <w:r w:rsidRPr="000D6397">
        <w:rPr>
          <w:rFonts w:ascii="Times New Roman" w:hAnsi="Times New Roman" w:cs="Times New Roman"/>
          <w:u w:val="single"/>
        </w:rPr>
        <w:t>Feingold v. Bell Tel. Co. of Pa.</w:t>
      </w:r>
      <w:r w:rsidRPr="000D6397">
        <w:rPr>
          <w:rFonts w:ascii="Times New Roman" w:hAnsi="Times New Roman" w:cs="Times New Roman"/>
        </w:rPr>
        <w:t>, 383 A.2d 791 (Pa. 1977).</w:t>
      </w:r>
      <w:proofErr w:type="gramEnd"/>
      <w:r w:rsidRPr="000D6397">
        <w:rPr>
          <w:rFonts w:ascii="Times New Roman" w:hAnsi="Times New Roman" w:cs="Times New Roman"/>
        </w:rPr>
        <w:t xml:space="preserve">  The Commission must act within, and cannot exceed, its jurisdiction.  </w:t>
      </w:r>
      <w:proofErr w:type="gramStart"/>
      <w:r w:rsidRPr="000D6397">
        <w:rPr>
          <w:rFonts w:ascii="Times New Roman" w:hAnsi="Times New Roman" w:cs="Times New Roman"/>
          <w:u w:val="single"/>
        </w:rPr>
        <w:t>City of Pittsburgh v. Pennsylvania Pub.</w:t>
      </w:r>
      <w:proofErr w:type="gramEnd"/>
      <w:r w:rsidRPr="000D6397">
        <w:rPr>
          <w:rFonts w:ascii="Times New Roman" w:hAnsi="Times New Roman" w:cs="Times New Roman"/>
          <w:u w:val="single"/>
        </w:rPr>
        <w:t xml:space="preserve"> </w:t>
      </w:r>
      <w:proofErr w:type="gramStart"/>
      <w:r w:rsidRPr="000D6397">
        <w:rPr>
          <w:rFonts w:ascii="Times New Roman" w:hAnsi="Times New Roman" w:cs="Times New Roman"/>
          <w:u w:val="single"/>
        </w:rPr>
        <w:t xml:space="preserve">Util. </w:t>
      </w:r>
      <w:proofErr w:type="spellStart"/>
      <w:r w:rsidRPr="000D6397">
        <w:rPr>
          <w:rFonts w:ascii="Times New Roman" w:hAnsi="Times New Roman" w:cs="Times New Roman"/>
          <w:u w:val="single"/>
        </w:rPr>
        <w:t>Comm’n</w:t>
      </w:r>
      <w:proofErr w:type="spellEnd"/>
      <w:r w:rsidRPr="000D6397">
        <w:rPr>
          <w:rFonts w:ascii="Times New Roman" w:hAnsi="Times New Roman" w:cs="Times New Roman"/>
          <w:u w:val="single"/>
        </w:rPr>
        <w:t>.,</w:t>
      </w:r>
      <w:r w:rsidRPr="000D6397">
        <w:rPr>
          <w:rFonts w:ascii="Times New Roman" w:hAnsi="Times New Roman" w:cs="Times New Roman"/>
        </w:rPr>
        <w:t xml:space="preserve"> 43 A.2d 348 (Pa. Super. 1945).</w:t>
      </w:r>
      <w:proofErr w:type="gramEnd"/>
      <w:r w:rsidRPr="000D6397">
        <w:rPr>
          <w:rFonts w:ascii="Times New Roman" w:hAnsi="Times New Roman" w:cs="Times New Roman"/>
        </w:rPr>
        <w:t xml:space="preserve">  Jurisdiction may not be conferred by the parties where none exists.  </w:t>
      </w:r>
      <w:proofErr w:type="gramStart"/>
      <w:r w:rsidRPr="000D6397">
        <w:rPr>
          <w:rFonts w:ascii="Times New Roman" w:hAnsi="Times New Roman" w:cs="Times New Roman"/>
          <w:u w:val="single"/>
        </w:rPr>
        <w:t xml:space="preserve">Roberts v. </w:t>
      </w:r>
      <w:proofErr w:type="spellStart"/>
      <w:r w:rsidRPr="000D6397">
        <w:rPr>
          <w:rFonts w:ascii="Times New Roman" w:hAnsi="Times New Roman" w:cs="Times New Roman"/>
          <w:u w:val="single"/>
        </w:rPr>
        <w:t>Martorano</w:t>
      </w:r>
      <w:proofErr w:type="spellEnd"/>
      <w:r w:rsidRPr="000D6397">
        <w:rPr>
          <w:rFonts w:ascii="Times New Roman" w:hAnsi="Times New Roman" w:cs="Times New Roman"/>
        </w:rPr>
        <w:t>, 235 A.2d 602 (Pa. 1967).</w:t>
      </w:r>
      <w:proofErr w:type="gramEnd"/>
      <w:r w:rsidRPr="000D6397">
        <w:rPr>
          <w:rFonts w:ascii="Times New Roman" w:hAnsi="Times New Roman" w:cs="Times New Roman"/>
        </w:rPr>
        <w:t xml:space="preserve">  Subject matter jurisdiction is a prerequisite to the exercise of power to decide a controversy.  </w:t>
      </w:r>
      <w:proofErr w:type="gramStart"/>
      <w:r w:rsidRPr="000D6397">
        <w:rPr>
          <w:rFonts w:ascii="Times New Roman" w:hAnsi="Times New Roman" w:cs="Times New Roman"/>
          <w:u w:val="single"/>
        </w:rPr>
        <w:t>Hughes v. Pennsylvania State Police</w:t>
      </w:r>
      <w:r w:rsidRPr="000D6397">
        <w:rPr>
          <w:rFonts w:ascii="Times New Roman" w:hAnsi="Times New Roman" w:cs="Times New Roman"/>
        </w:rPr>
        <w:t xml:space="preserve">, 619 A.2d 390 (Pa. </w:t>
      </w:r>
      <w:proofErr w:type="spellStart"/>
      <w:r w:rsidRPr="000D6397">
        <w:rPr>
          <w:rFonts w:ascii="Times New Roman" w:hAnsi="Times New Roman" w:cs="Times New Roman"/>
        </w:rPr>
        <w:t>Cmwlth</w:t>
      </w:r>
      <w:proofErr w:type="spellEnd"/>
      <w:r w:rsidRPr="000D6397">
        <w:rPr>
          <w:rFonts w:ascii="Times New Roman" w:hAnsi="Times New Roman" w:cs="Times New Roman"/>
        </w:rPr>
        <w:t xml:space="preserve">. 1992), </w:t>
      </w:r>
      <w:proofErr w:type="spellStart"/>
      <w:r w:rsidRPr="000D6397">
        <w:rPr>
          <w:rFonts w:ascii="Times New Roman" w:hAnsi="Times New Roman" w:cs="Times New Roman"/>
          <w:u w:val="single"/>
        </w:rPr>
        <w:t>alloc</w:t>
      </w:r>
      <w:proofErr w:type="spellEnd"/>
      <w:r w:rsidRPr="000D6397">
        <w:rPr>
          <w:rFonts w:ascii="Times New Roman" w:hAnsi="Times New Roman" w:cs="Times New Roman"/>
          <w:u w:val="single"/>
        </w:rPr>
        <w:t>.</w:t>
      </w:r>
      <w:proofErr w:type="gramEnd"/>
      <w:r w:rsidRPr="000D6397">
        <w:rPr>
          <w:rFonts w:ascii="Times New Roman" w:hAnsi="Times New Roman" w:cs="Times New Roman"/>
          <w:u w:val="single"/>
        </w:rPr>
        <w:t xml:space="preserve"> </w:t>
      </w:r>
      <w:proofErr w:type="gramStart"/>
      <w:r w:rsidRPr="000D6397">
        <w:rPr>
          <w:rFonts w:ascii="Times New Roman" w:hAnsi="Times New Roman" w:cs="Times New Roman"/>
          <w:u w:val="single"/>
        </w:rPr>
        <w:t>denied</w:t>
      </w:r>
      <w:proofErr w:type="gramEnd"/>
      <w:r w:rsidRPr="000D6397">
        <w:rPr>
          <w:rFonts w:ascii="Times New Roman" w:hAnsi="Times New Roman" w:cs="Times New Roman"/>
        </w:rPr>
        <w:t>, 637 A.2d 293 (Pa. 1993).</w:t>
      </w:r>
    </w:p>
    <w:p w:rsidR="003435DE" w:rsidRPr="000D6397" w:rsidRDefault="003435DE" w:rsidP="000D6397">
      <w:pPr>
        <w:pStyle w:val="Style"/>
        <w:spacing w:line="360" w:lineRule="auto"/>
        <w:rPr>
          <w:color w:val="000000"/>
        </w:rPr>
      </w:pPr>
    </w:p>
    <w:p w:rsidR="003435DE" w:rsidRPr="000D6397" w:rsidRDefault="003435DE" w:rsidP="000D6397">
      <w:pPr>
        <w:spacing w:after="0" w:line="360" w:lineRule="auto"/>
        <w:ind w:firstLine="1440"/>
        <w:rPr>
          <w:rFonts w:ascii="Times New Roman" w:hAnsi="Times New Roman"/>
          <w:sz w:val="24"/>
          <w:szCs w:val="24"/>
        </w:rPr>
      </w:pPr>
      <w:r w:rsidRPr="000D6397">
        <w:rPr>
          <w:rFonts w:ascii="Times New Roman" w:hAnsi="Times New Roman"/>
          <w:color w:val="000000"/>
          <w:sz w:val="24"/>
          <w:szCs w:val="24"/>
        </w:rPr>
        <w:t xml:space="preserve">The Commission recently discussed the issue of its jurisdiction over repair service agreements between a public utility and one of its customers </w:t>
      </w:r>
      <w:r w:rsidRPr="000D6397">
        <w:rPr>
          <w:rFonts w:ascii="Times New Roman" w:hAnsi="Times New Roman"/>
          <w:sz w:val="24"/>
          <w:szCs w:val="24"/>
        </w:rPr>
        <w:t xml:space="preserve">in </w:t>
      </w:r>
      <w:proofErr w:type="spellStart"/>
      <w:r w:rsidRPr="000D6397">
        <w:rPr>
          <w:rFonts w:ascii="Times New Roman" w:hAnsi="Times New Roman"/>
          <w:sz w:val="24"/>
          <w:szCs w:val="24"/>
          <w:u w:val="single"/>
        </w:rPr>
        <w:t>Nicholla</w:t>
      </w:r>
      <w:proofErr w:type="spellEnd"/>
      <w:r w:rsidRPr="000D6397">
        <w:rPr>
          <w:rFonts w:ascii="Times New Roman" w:hAnsi="Times New Roman"/>
          <w:sz w:val="24"/>
          <w:szCs w:val="24"/>
          <w:u w:val="single"/>
        </w:rPr>
        <w:t xml:space="preserve"> Anderson v. Philadelphia Gas Works</w:t>
      </w:r>
      <w:r w:rsidRPr="000D6397">
        <w:rPr>
          <w:rFonts w:ascii="Times New Roman" w:hAnsi="Times New Roman"/>
          <w:sz w:val="24"/>
          <w:szCs w:val="24"/>
        </w:rPr>
        <w:t>, Docket No. F-00825712 (Order entered August 29, 2002</w:t>
      </w:r>
      <w:proofErr w:type="gramStart"/>
      <w:r w:rsidRPr="000D6397">
        <w:rPr>
          <w:rFonts w:ascii="Times New Roman" w:hAnsi="Times New Roman"/>
          <w:sz w:val="24"/>
          <w:szCs w:val="24"/>
        </w:rPr>
        <w:t>)(</w:t>
      </w:r>
      <w:proofErr w:type="gramEnd"/>
      <w:r w:rsidRPr="000D6397">
        <w:rPr>
          <w:rFonts w:ascii="Times New Roman" w:hAnsi="Times New Roman"/>
          <w:sz w:val="24"/>
          <w:szCs w:val="24"/>
          <w:u w:val="single"/>
        </w:rPr>
        <w:t>Anderson</w:t>
      </w:r>
      <w:r w:rsidRPr="000D6397">
        <w:rPr>
          <w:rFonts w:ascii="Times New Roman" w:hAnsi="Times New Roman"/>
          <w:sz w:val="24"/>
          <w:szCs w:val="24"/>
        </w:rPr>
        <w:t xml:space="preserve">); </w:t>
      </w:r>
      <w:r w:rsidRPr="000D6397">
        <w:rPr>
          <w:rFonts w:ascii="Times New Roman" w:hAnsi="Times New Roman"/>
          <w:i/>
          <w:sz w:val="24"/>
          <w:szCs w:val="24"/>
        </w:rPr>
        <w:t>see also</w:t>
      </w:r>
      <w:r w:rsidRPr="000D6397">
        <w:rPr>
          <w:rFonts w:ascii="Times New Roman" w:hAnsi="Times New Roman"/>
          <w:sz w:val="24"/>
          <w:szCs w:val="24"/>
        </w:rPr>
        <w:t xml:space="preserve">, </w:t>
      </w:r>
      <w:r w:rsidRPr="000D6397">
        <w:rPr>
          <w:rFonts w:ascii="Times New Roman" w:hAnsi="Times New Roman"/>
          <w:sz w:val="24"/>
          <w:szCs w:val="24"/>
          <w:u w:val="single"/>
        </w:rPr>
        <w:t xml:space="preserve">Sophia </w:t>
      </w:r>
      <w:proofErr w:type="spellStart"/>
      <w:r w:rsidRPr="000D6397">
        <w:rPr>
          <w:rFonts w:ascii="Times New Roman" w:hAnsi="Times New Roman"/>
          <w:sz w:val="24"/>
          <w:szCs w:val="24"/>
          <w:u w:val="single"/>
        </w:rPr>
        <w:t>Ottaviano</w:t>
      </w:r>
      <w:proofErr w:type="spellEnd"/>
      <w:r w:rsidRPr="000D6397">
        <w:rPr>
          <w:rFonts w:ascii="Times New Roman" w:hAnsi="Times New Roman"/>
          <w:sz w:val="24"/>
          <w:szCs w:val="24"/>
          <w:u w:val="single"/>
        </w:rPr>
        <w:t xml:space="preserve"> v. Philadelphia Gas Works</w:t>
      </w:r>
      <w:r w:rsidRPr="000D6397">
        <w:rPr>
          <w:rFonts w:ascii="Times New Roman" w:hAnsi="Times New Roman"/>
          <w:sz w:val="24"/>
          <w:szCs w:val="24"/>
        </w:rPr>
        <w:t xml:space="preserve">, Docket No. C-20066357 (Order entered </w:t>
      </w:r>
      <w:r w:rsidRPr="000D6397">
        <w:rPr>
          <w:rFonts w:ascii="Times New Roman" w:hAnsi="Times New Roman"/>
          <w:sz w:val="24"/>
          <w:szCs w:val="24"/>
        </w:rPr>
        <w:lastRenderedPageBreak/>
        <w:t>September 22, 2006</w:t>
      </w:r>
      <w:proofErr w:type="gramStart"/>
      <w:r w:rsidRPr="000D6397">
        <w:rPr>
          <w:rFonts w:ascii="Times New Roman" w:hAnsi="Times New Roman"/>
          <w:sz w:val="24"/>
          <w:szCs w:val="24"/>
        </w:rPr>
        <w:t>)</w:t>
      </w:r>
      <w:r w:rsidR="00F50A06" w:rsidRPr="000D6397">
        <w:rPr>
          <w:rFonts w:ascii="Times New Roman" w:hAnsi="Times New Roman"/>
          <w:sz w:val="24"/>
          <w:szCs w:val="24"/>
        </w:rPr>
        <w:t>(</w:t>
      </w:r>
      <w:proofErr w:type="spellStart"/>
      <w:proofErr w:type="gramEnd"/>
      <w:r w:rsidR="00F50A06" w:rsidRPr="000D6397">
        <w:rPr>
          <w:rFonts w:ascii="Times New Roman" w:hAnsi="Times New Roman"/>
          <w:sz w:val="24"/>
          <w:szCs w:val="24"/>
          <w:u w:val="single"/>
        </w:rPr>
        <w:t>Ottaviano</w:t>
      </w:r>
      <w:proofErr w:type="spellEnd"/>
      <w:r w:rsidR="00F50A06" w:rsidRPr="000D6397">
        <w:rPr>
          <w:rFonts w:ascii="Times New Roman" w:hAnsi="Times New Roman"/>
          <w:sz w:val="24"/>
          <w:szCs w:val="24"/>
        </w:rPr>
        <w:t>)</w:t>
      </w:r>
      <w:r w:rsidRPr="000D6397">
        <w:rPr>
          <w:rFonts w:ascii="Times New Roman" w:hAnsi="Times New Roman"/>
          <w:sz w:val="24"/>
          <w:szCs w:val="24"/>
        </w:rPr>
        <w:t xml:space="preserve">.  In </w:t>
      </w:r>
      <w:r w:rsidRPr="000D6397">
        <w:rPr>
          <w:rFonts w:ascii="Times New Roman" w:hAnsi="Times New Roman"/>
          <w:sz w:val="24"/>
          <w:szCs w:val="24"/>
          <w:u w:val="single"/>
        </w:rPr>
        <w:t>Anderson</w:t>
      </w:r>
      <w:r w:rsidRPr="000D6397">
        <w:rPr>
          <w:rFonts w:ascii="Times New Roman" w:hAnsi="Times New Roman"/>
          <w:sz w:val="24"/>
          <w:szCs w:val="24"/>
        </w:rPr>
        <w:t xml:space="preserve">, the Commission held that a repair contract/warranty dispute did not involve a law, regulation or order that it had jurisdiction to administer.  </w:t>
      </w:r>
      <w:proofErr w:type="gramStart"/>
      <w:r w:rsidRPr="000D6397">
        <w:rPr>
          <w:rFonts w:ascii="Times New Roman" w:hAnsi="Times New Roman"/>
          <w:sz w:val="24"/>
          <w:szCs w:val="24"/>
        </w:rPr>
        <w:t>66 Pa. C.S. §701.</w:t>
      </w:r>
      <w:proofErr w:type="gramEnd"/>
      <w:r w:rsidRPr="000D6397">
        <w:rPr>
          <w:rFonts w:ascii="Times New Roman" w:hAnsi="Times New Roman"/>
          <w:sz w:val="24"/>
          <w:szCs w:val="24"/>
        </w:rPr>
        <w:t xml:space="preserve">  There, the Complainant alleged that PGW violated a parts and labor warranty agreement by billing the Complainant for repairs to her gas range.  The Commission stated:</w:t>
      </w:r>
    </w:p>
    <w:p w:rsidR="003435DE" w:rsidRPr="000D6397" w:rsidRDefault="003435DE" w:rsidP="000D6397">
      <w:pPr>
        <w:spacing w:after="0" w:line="360" w:lineRule="auto"/>
        <w:ind w:firstLine="1440"/>
        <w:rPr>
          <w:rFonts w:ascii="Times New Roman" w:hAnsi="Times New Roman"/>
          <w:sz w:val="24"/>
          <w:szCs w:val="24"/>
        </w:rPr>
      </w:pPr>
    </w:p>
    <w:p w:rsidR="003435DE" w:rsidRPr="000D6397" w:rsidRDefault="003435DE" w:rsidP="001829EA">
      <w:pPr>
        <w:spacing w:after="0" w:line="240" w:lineRule="auto"/>
        <w:ind w:left="1440" w:right="1441"/>
        <w:rPr>
          <w:rFonts w:ascii="Times New Roman" w:hAnsi="Times New Roman"/>
          <w:sz w:val="24"/>
          <w:szCs w:val="24"/>
        </w:rPr>
      </w:pPr>
      <w:r w:rsidRPr="000D6397">
        <w:rPr>
          <w:rFonts w:ascii="Times New Roman" w:hAnsi="Times New Roman"/>
          <w:sz w:val="24"/>
          <w:szCs w:val="24"/>
        </w:rPr>
        <w:t xml:space="preserve">Servicing the Complainant’s appliance is not an essential part of PGW’s public gas service.  It is merely a supplemental service incidental to its primary gas service.  As noted in </w:t>
      </w:r>
      <w:r w:rsidRPr="000D6397">
        <w:rPr>
          <w:rFonts w:ascii="Times New Roman" w:hAnsi="Times New Roman"/>
          <w:sz w:val="24"/>
          <w:szCs w:val="24"/>
          <w:u w:val="single"/>
        </w:rPr>
        <w:t>Felix v. Pa. P.U.C.</w:t>
      </w:r>
      <w:r w:rsidRPr="000D6397">
        <w:rPr>
          <w:rFonts w:ascii="Times New Roman" w:hAnsi="Times New Roman"/>
          <w:sz w:val="24"/>
          <w:szCs w:val="24"/>
        </w:rPr>
        <w:t xml:space="preserve">, 146 A.2d 347 (Pa. Super. Ct. 1958), </w:t>
      </w:r>
      <w:r w:rsidRPr="000D6397">
        <w:rPr>
          <w:rFonts w:ascii="Times New Roman" w:hAnsi="Times New Roman"/>
          <w:sz w:val="24"/>
          <w:szCs w:val="24"/>
          <w:u w:val="single"/>
        </w:rPr>
        <w:t>private services that merely supplement the public services provided by a utility do not fall within the Commission’s jurisdiction.  PGW’s obligations to service the Complainant’s appliance are defined by the terms of the private agreement between PGW and the Complainant, not by the public rights embodied in the Public Utility Code</w:t>
      </w:r>
      <w:r w:rsidRPr="000D6397">
        <w:rPr>
          <w:rFonts w:ascii="Times New Roman" w:hAnsi="Times New Roman"/>
          <w:sz w:val="24"/>
          <w:szCs w:val="24"/>
        </w:rPr>
        <w:t xml:space="preserve">.  </w:t>
      </w:r>
    </w:p>
    <w:p w:rsidR="003435DE" w:rsidRPr="000D6397" w:rsidRDefault="003435DE" w:rsidP="001829EA">
      <w:pPr>
        <w:spacing w:after="0" w:line="240" w:lineRule="auto"/>
        <w:ind w:left="1440" w:right="1441"/>
        <w:rPr>
          <w:rFonts w:ascii="Times New Roman" w:hAnsi="Times New Roman"/>
          <w:sz w:val="24"/>
          <w:szCs w:val="24"/>
        </w:rPr>
      </w:pPr>
    </w:p>
    <w:p w:rsidR="003435DE" w:rsidRPr="000D6397" w:rsidRDefault="003435DE" w:rsidP="001829EA">
      <w:pPr>
        <w:spacing w:after="0" w:line="240" w:lineRule="auto"/>
        <w:ind w:left="1440" w:right="1441"/>
        <w:rPr>
          <w:rFonts w:ascii="Times New Roman" w:hAnsi="Times New Roman"/>
          <w:sz w:val="24"/>
          <w:szCs w:val="24"/>
        </w:rPr>
      </w:pPr>
      <w:r w:rsidRPr="000D6397">
        <w:rPr>
          <w:rFonts w:ascii="Times New Roman" w:hAnsi="Times New Roman"/>
          <w:sz w:val="24"/>
          <w:szCs w:val="24"/>
        </w:rPr>
        <w:t xml:space="preserve">As correctly noted by the ALJ, </w:t>
      </w:r>
      <w:r w:rsidRPr="000D6397">
        <w:rPr>
          <w:rFonts w:ascii="Times New Roman" w:hAnsi="Times New Roman"/>
          <w:sz w:val="24"/>
          <w:szCs w:val="24"/>
          <w:u w:val="single"/>
        </w:rPr>
        <w:t>the Commission has no jurisdiction to rule on the validity of a private agreement of that type</w:t>
      </w:r>
      <w:r w:rsidRPr="000D6397">
        <w:rPr>
          <w:rFonts w:ascii="Times New Roman" w:hAnsi="Times New Roman"/>
          <w:sz w:val="24"/>
          <w:szCs w:val="24"/>
        </w:rPr>
        <w:t xml:space="preserve">.  </w:t>
      </w:r>
      <w:proofErr w:type="gramStart"/>
      <w:r w:rsidRPr="000D6397">
        <w:rPr>
          <w:rFonts w:ascii="Times New Roman" w:hAnsi="Times New Roman"/>
          <w:sz w:val="24"/>
          <w:szCs w:val="24"/>
          <w:u w:val="single"/>
        </w:rPr>
        <w:t>Feingold v. Bell of Pa.</w:t>
      </w:r>
      <w:r w:rsidRPr="000D6397">
        <w:rPr>
          <w:rFonts w:ascii="Times New Roman" w:hAnsi="Times New Roman"/>
          <w:sz w:val="24"/>
          <w:szCs w:val="24"/>
        </w:rPr>
        <w:t xml:space="preserve">, 383 A.2d 791 (Pa. 1977); </w:t>
      </w:r>
      <w:proofErr w:type="spellStart"/>
      <w:r w:rsidRPr="000D6397">
        <w:rPr>
          <w:rFonts w:ascii="Times New Roman" w:hAnsi="Times New Roman"/>
          <w:sz w:val="24"/>
          <w:szCs w:val="24"/>
          <w:u w:val="single"/>
        </w:rPr>
        <w:t>Allport</w:t>
      </w:r>
      <w:proofErr w:type="spellEnd"/>
      <w:r w:rsidRPr="000D6397">
        <w:rPr>
          <w:rFonts w:ascii="Times New Roman" w:hAnsi="Times New Roman"/>
          <w:sz w:val="24"/>
          <w:szCs w:val="24"/>
          <w:u w:val="single"/>
        </w:rPr>
        <w:t xml:space="preserve"> Water Auth. v. </w:t>
      </w:r>
      <w:proofErr w:type="spellStart"/>
      <w:r w:rsidRPr="000D6397">
        <w:rPr>
          <w:rFonts w:ascii="Times New Roman" w:hAnsi="Times New Roman"/>
          <w:sz w:val="24"/>
          <w:szCs w:val="24"/>
          <w:u w:val="single"/>
        </w:rPr>
        <w:t>Winburne</w:t>
      </w:r>
      <w:proofErr w:type="spellEnd"/>
      <w:r w:rsidRPr="000D6397">
        <w:rPr>
          <w:rFonts w:ascii="Times New Roman" w:hAnsi="Times New Roman"/>
          <w:sz w:val="24"/>
          <w:szCs w:val="24"/>
          <w:u w:val="single"/>
        </w:rPr>
        <w:t xml:space="preserve"> Water Co.</w:t>
      </w:r>
      <w:r w:rsidRPr="000D6397">
        <w:rPr>
          <w:rFonts w:ascii="Times New Roman" w:hAnsi="Times New Roman"/>
          <w:sz w:val="24"/>
          <w:szCs w:val="24"/>
        </w:rPr>
        <w:t>, 393 A.2d 673 (Pa. Super.</w:t>
      </w:r>
      <w:proofErr w:type="gramEnd"/>
      <w:r w:rsidRPr="000D6397">
        <w:rPr>
          <w:rFonts w:ascii="Times New Roman" w:hAnsi="Times New Roman"/>
          <w:sz w:val="24"/>
          <w:szCs w:val="24"/>
        </w:rPr>
        <w:t xml:space="preserve"> </w:t>
      </w:r>
      <w:proofErr w:type="gramStart"/>
      <w:r w:rsidRPr="000D6397">
        <w:rPr>
          <w:rFonts w:ascii="Times New Roman" w:hAnsi="Times New Roman"/>
          <w:sz w:val="24"/>
          <w:szCs w:val="24"/>
        </w:rPr>
        <w:t>Ct. 1978).</w:t>
      </w:r>
      <w:proofErr w:type="gramEnd"/>
      <w:r w:rsidRPr="000D6397">
        <w:rPr>
          <w:rFonts w:ascii="Times New Roman" w:hAnsi="Times New Roman"/>
          <w:sz w:val="24"/>
          <w:szCs w:val="24"/>
        </w:rPr>
        <w:t xml:space="preserve">   (Emphasis added).</w:t>
      </w:r>
    </w:p>
    <w:p w:rsidR="003435DE" w:rsidRPr="000D6397" w:rsidRDefault="003435DE" w:rsidP="000D6397">
      <w:pPr>
        <w:spacing w:after="0" w:line="360" w:lineRule="auto"/>
        <w:rPr>
          <w:rFonts w:ascii="Times New Roman" w:hAnsi="Times New Roman"/>
          <w:sz w:val="24"/>
          <w:szCs w:val="24"/>
        </w:rPr>
      </w:pPr>
    </w:p>
    <w:p w:rsidR="003435DE" w:rsidRPr="000D6397" w:rsidRDefault="003435DE" w:rsidP="000D6397">
      <w:pPr>
        <w:spacing w:after="0" w:line="360" w:lineRule="auto"/>
        <w:rPr>
          <w:rFonts w:ascii="Times New Roman" w:hAnsi="Times New Roman"/>
          <w:sz w:val="24"/>
          <w:szCs w:val="24"/>
        </w:rPr>
      </w:pPr>
      <w:r w:rsidRPr="000D6397">
        <w:rPr>
          <w:rFonts w:ascii="Times New Roman" w:hAnsi="Times New Roman"/>
          <w:sz w:val="24"/>
          <w:szCs w:val="24"/>
        </w:rPr>
        <w:tab/>
      </w:r>
      <w:r w:rsidRPr="000D6397">
        <w:rPr>
          <w:rFonts w:ascii="Times New Roman" w:hAnsi="Times New Roman"/>
          <w:sz w:val="24"/>
          <w:szCs w:val="24"/>
        </w:rPr>
        <w:tab/>
        <w:t xml:space="preserve">Similarly, in </w:t>
      </w:r>
      <w:proofErr w:type="spellStart"/>
      <w:r w:rsidRPr="000D6397">
        <w:rPr>
          <w:rFonts w:ascii="Times New Roman" w:hAnsi="Times New Roman"/>
          <w:sz w:val="24"/>
          <w:szCs w:val="24"/>
          <w:u w:val="single"/>
        </w:rPr>
        <w:t>Ottaviano</w:t>
      </w:r>
      <w:proofErr w:type="spellEnd"/>
      <w:r w:rsidRPr="000D6397">
        <w:rPr>
          <w:rFonts w:ascii="Times New Roman" w:hAnsi="Times New Roman"/>
          <w:sz w:val="24"/>
          <w:szCs w:val="24"/>
        </w:rPr>
        <w:t xml:space="preserve">, </w:t>
      </w:r>
      <w:r w:rsidRPr="000D6397">
        <w:rPr>
          <w:rFonts w:ascii="Times New Roman" w:hAnsi="Times New Roman"/>
          <w:i/>
          <w:sz w:val="24"/>
          <w:szCs w:val="24"/>
        </w:rPr>
        <w:t>supra</w:t>
      </w:r>
      <w:r w:rsidRPr="000D6397">
        <w:rPr>
          <w:rFonts w:ascii="Times New Roman" w:hAnsi="Times New Roman"/>
          <w:sz w:val="24"/>
          <w:szCs w:val="24"/>
        </w:rPr>
        <w:t xml:space="preserve">, the Complainant alleged that PGW wrongfully refused to repair her furnace and removed her from its PLP for gas appliance repairs.  For relief, the Complainant sought reimbursement for the cost of repairing her furnace and restoration to the PLP.  PGW responded to the complaint asserting that the Commission lacked jurisdiction to decide the matter.  The Commission, citing </w:t>
      </w:r>
      <w:r w:rsidRPr="000D6397">
        <w:rPr>
          <w:rFonts w:ascii="Times New Roman" w:hAnsi="Times New Roman"/>
          <w:sz w:val="24"/>
          <w:szCs w:val="24"/>
          <w:u w:val="single"/>
        </w:rPr>
        <w:t>Anderson</w:t>
      </w:r>
      <w:r w:rsidRPr="000D6397">
        <w:rPr>
          <w:rFonts w:ascii="Times New Roman" w:hAnsi="Times New Roman"/>
          <w:sz w:val="24"/>
          <w:szCs w:val="24"/>
        </w:rPr>
        <w:t xml:space="preserve"> and </w:t>
      </w:r>
      <w:r w:rsidRPr="000D6397">
        <w:rPr>
          <w:rFonts w:ascii="Times New Roman" w:hAnsi="Times New Roman"/>
          <w:sz w:val="24"/>
          <w:szCs w:val="24"/>
          <w:u w:val="single"/>
        </w:rPr>
        <w:t>Felix</w:t>
      </w:r>
      <w:r w:rsidRPr="000D6397">
        <w:rPr>
          <w:rFonts w:ascii="Times New Roman" w:hAnsi="Times New Roman"/>
          <w:sz w:val="24"/>
          <w:szCs w:val="24"/>
        </w:rPr>
        <w:t>, agreed with the Respondent.  In the Initial Decision that was subsequently rendered final pursuant to the provisions of the Public Utility Code, the Presiding Officer stated:</w:t>
      </w:r>
    </w:p>
    <w:p w:rsidR="003435DE" w:rsidRPr="000D6397" w:rsidRDefault="003435DE" w:rsidP="000D6397">
      <w:pPr>
        <w:spacing w:after="0" w:line="360" w:lineRule="auto"/>
        <w:rPr>
          <w:rFonts w:ascii="Times New Roman" w:hAnsi="Times New Roman"/>
          <w:sz w:val="24"/>
          <w:szCs w:val="24"/>
        </w:rPr>
      </w:pPr>
    </w:p>
    <w:p w:rsidR="003435DE" w:rsidRPr="000D6397" w:rsidRDefault="003435DE" w:rsidP="001829EA">
      <w:pPr>
        <w:spacing w:after="0" w:line="240" w:lineRule="auto"/>
        <w:ind w:left="1440" w:right="1441"/>
        <w:rPr>
          <w:rFonts w:ascii="Times New Roman" w:hAnsi="Times New Roman"/>
          <w:sz w:val="24"/>
          <w:szCs w:val="24"/>
        </w:rPr>
      </w:pPr>
      <w:r w:rsidRPr="000D6397">
        <w:rPr>
          <w:rFonts w:ascii="Times New Roman" w:hAnsi="Times New Roman"/>
          <w:sz w:val="24"/>
          <w:szCs w:val="24"/>
        </w:rPr>
        <w:t xml:space="preserve">Since the present case involves a purely private contractual dispute between a public utility and a customer relating to a parts and labor plan to repair a gas furnace, it involves merely a supplemental service incidental to the utility’s primary obligation to provide gas service to the public.  As in </w:t>
      </w:r>
      <w:proofErr w:type="spellStart"/>
      <w:r w:rsidRPr="000D6397">
        <w:rPr>
          <w:rFonts w:ascii="Times New Roman" w:hAnsi="Times New Roman"/>
          <w:sz w:val="24"/>
          <w:szCs w:val="24"/>
          <w:u w:val="single"/>
        </w:rPr>
        <w:t>Nicholla</w:t>
      </w:r>
      <w:proofErr w:type="spellEnd"/>
      <w:r w:rsidRPr="000D6397">
        <w:rPr>
          <w:rFonts w:ascii="Times New Roman" w:hAnsi="Times New Roman"/>
          <w:sz w:val="24"/>
          <w:szCs w:val="24"/>
          <w:u w:val="single"/>
        </w:rPr>
        <w:t xml:space="preserve"> Anderson</w:t>
      </w:r>
      <w:r w:rsidRPr="000D6397">
        <w:rPr>
          <w:rFonts w:ascii="Times New Roman" w:hAnsi="Times New Roman"/>
          <w:sz w:val="24"/>
          <w:szCs w:val="24"/>
        </w:rPr>
        <w:t xml:space="preserve">, PGW’s obligations to service the Complainant’s appliance are defined by the terms of the private agreement between PGW and the Complainant, not by the public rights embodied in the Public Utility Code.  Thus the </w:t>
      </w:r>
      <w:r w:rsidRPr="000D6397">
        <w:rPr>
          <w:rFonts w:ascii="Times New Roman" w:hAnsi="Times New Roman"/>
          <w:sz w:val="24"/>
          <w:szCs w:val="24"/>
        </w:rPr>
        <w:lastRenderedPageBreak/>
        <w:t>Commission has no jurisdiction to rule on the validity of this private agreement.</w:t>
      </w:r>
    </w:p>
    <w:p w:rsidR="003435DE" w:rsidRPr="000D6397" w:rsidRDefault="003435DE" w:rsidP="000D6397">
      <w:pPr>
        <w:spacing w:after="0" w:line="240" w:lineRule="auto"/>
        <w:rPr>
          <w:rFonts w:ascii="Times New Roman" w:hAnsi="Times New Roman"/>
          <w:sz w:val="24"/>
          <w:szCs w:val="24"/>
        </w:rPr>
      </w:pPr>
    </w:p>
    <w:p w:rsidR="003435DE" w:rsidRPr="000D6397" w:rsidRDefault="003435DE" w:rsidP="000D6397">
      <w:pPr>
        <w:spacing w:after="0" w:line="360" w:lineRule="auto"/>
        <w:rPr>
          <w:rFonts w:ascii="Times New Roman" w:hAnsi="Times New Roman"/>
          <w:sz w:val="24"/>
          <w:szCs w:val="24"/>
        </w:rPr>
      </w:pPr>
      <w:proofErr w:type="spellStart"/>
      <w:proofErr w:type="gramStart"/>
      <w:r w:rsidRPr="000D6397">
        <w:rPr>
          <w:rFonts w:ascii="Times New Roman" w:hAnsi="Times New Roman"/>
          <w:sz w:val="24"/>
          <w:szCs w:val="24"/>
          <w:u w:val="single"/>
        </w:rPr>
        <w:t>Ottaviano</w:t>
      </w:r>
      <w:proofErr w:type="spellEnd"/>
      <w:r w:rsidRPr="000D6397">
        <w:rPr>
          <w:rFonts w:ascii="Times New Roman" w:hAnsi="Times New Roman"/>
          <w:sz w:val="24"/>
          <w:szCs w:val="24"/>
        </w:rPr>
        <w:t xml:space="preserve"> at 4.</w:t>
      </w:r>
      <w:proofErr w:type="gramEnd"/>
    </w:p>
    <w:p w:rsidR="003435DE" w:rsidRPr="000D6397" w:rsidRDefault="003435DE" w:rsidP="000D6397">
      <w:pPr>
        <w:spacing w:after="0" w:line="360" w:lineRule="auto"/>
        <w:rPr>
          <w:rFonts w:ascii="Times New Roman" w:hAnsi="Times New Roman"/>
          <w:sz w:val="24"/>
          <w:szCs w:val="24"/>
        </w:rPr>
      </w:pPr>
    </w:p>
    <w:p w:rsidR="003435DE" w:rsidRPr="000D6397" w:rsidRDefault="003435DE" w:rsidP="000D6397">
      <w:pPr>
        <w:spacing w:after="0" w:line="360" w:lineRule="auto"/>
        <w:rPr>
          <w:rFonts w:ascii="Times New Roman" w:hAnsi="Times New Roman"/>
          <w:sz w:val="24"/>
          <w:szCs w:val="24"/>
        </w:rPr>
      </w:pPr>
      <w:r w:rsidRPr="000D6397">
        <w:rPr>
          <w:rFonts w:ascii="Times New Roman" w:hAnsi="Times New Roman"/>
          <w:sz w:val="24"/>
          <w:szCs w:val="24"/>
        </w:rPr>
        <w:tab/>
      </w:r>
      <w:r w:rsidRPr="000D6397">
        <w:rPr>
          <w:rFonts w:ascii="Times New Roman" w:hAnsi="Times New Roman"/>
          <w:sz w:val="24"/>
          <w:szCs w:val="24"/>
        </w:rPr>
        <w:tab/>
        <w:t xml:space="preserve">Since the present case involves a purely private contractual dispute between a public utility and a customer relating to a parts and labor plan to repair a gas furnace, it involves a supplemental service incidental to the utility’s primary obligation to provide gas service to the public.  As in </w:t>
      </w:r>
      <w:r w:rsidRPr="000D6397">
        <w:rPr>
          <w:rFonts w:ascii="Times New Roman" w:hAnsi="Times New Roman"/>
          <w:sz w:val="24"/>
          <w:szCs w:val="24"/>
          <w:u w:val="single"/>
        </w:rPr>
        <w:t>Anderson</w:t>
      </w:r>
      <w:r w:rsidRPr="000D6397">
        <w:rPr>
          <w:rFonts w:ascii="Times New Roman" w:hAnsi="Times New Roman"/>
          <w:sz w:val="24"/>
          <w:szCs w:val="24"/>
        </w:rPr>
        <w:t>, PGW’s obligations to service the Complainant’s appliance are defined by the terms of the private agreement between PGW and the Complainant, not by the public rights embodied in the Public Utility Code.  Thus, the Commission has no jurisdiction to rule on the validity of this private agreement.  The proper jurisdiction for this matter may be with the Court of Common Pleas.</w:t>
      </w:r>
    </w:p>
    <w:p w:rsidR="003435DE" w:rsidRPr="000D6397" w:rsidRDefault="003435DE" w:rsidP="000D6397">
      <w:pPr>
        <w:pStyle w:val="Style"/>
        <w:spacing w:line="360" w:lineRule="auto"/>
        <w:rPr>
          <w:color w:val="000000"/>
        </w:rPr>
      </w:pPr>
    </w:p>
    <w:p w:rsidR="003435DE" w:rsidRPr="000D6397" w:rsidRDefault="003435DE" w:rsidP="000D6397">
      <w:pPr>
        <w:pStyle w:val="Style"/>
        <w:spacing w:line="360" w:lineRule="auto"/>
        <w:rPr>
          <w:color w:val="000000"/>
        </w:rPr>
      </w:pPr>
      <w:r w:rsidRPr="000D6397">
        <w:rPr>
          <w:color w:val="000000"/>
        </w:rPr>
        <w:tab/>
      </w:r>
      <w:r w:rsidRPr="000D6397">
        <w:rPr>
          <w:color w:val="000000"/>
        </w:rPr>
        <w:tab/>
        <w:t>Respondent is correct that the Commission does not have jurisdiction over the subject matter of the Complaint.  Respondent’s Preliminary Objection is granted.  The Complaint is dismissed with prejudice.</w:t>
      </w:r>
    </w:p>
    <w:p w:rsidR="003435DE" w:rsidRPr="000D6397" w:rsidRDefault="003435DE" w:rsidP="000D6397">
      <w:pPr>
        <w:pStyle w:val="Style"/>
        <w:spacing w:line="360" w:lineRule="auto"/>
        <w:rPr>
          <w:color w:val="000000"/>
        </w:rPr>
      </w:pPr>
    </w:p>
    <w:p w:rsidR="004D1BB9" w:rsidRPr="000D6397" w:rsidRDefault="004D1BB9" w:rsidP="000D6397">
      <w:pPr>
        <w:pStyle w:val="Style"/>
        <w:spacing w:line="360" w:lineRule="auto"/>
        <w:jc w:val="center"/>
        <w:rPr>
          <w:color w:val="000000"/>
        </w:rPr>
      </w:pPr>
      <w:r w:rsidRPr="000D6397">
        <w:rPr>
          <w:color w:val="000000"/>
          <w:u w:val="single"/>
        </w:rPr>
        <w:t>CONCLUSIONS OF LAW</w:t>
      </w:r>
    </w:p>
    <w:p w:rsidR="004D1BB9" w:rsidRPr="000D6397" w:rsidRDefault="004D1BB9" w:rsidP="000D6397">
      <w:pPr>
        <w:pStyle w:val="Style"/>
        <w:spacing w:line="360" w:lineRule="auto"/>
        <w:jc w:val="center"/>
        <w:rPr>
          <w:color w:val="000000"/>
        </w:rPr>
      </w:pPr>
    </w:p>
    <w:p w:rsidR="003435DE" w:rsidRPr="000D6397" w:rsidRDefault="004D1BB9" w:rsidP="000D6397">
      <w:pPr>
        <w:pStyle w:val="Style"/>
        <w:spacing w:line="360" w:lineRule="auto"/>
        <w:rPr>
          <w:color w:val="000000"/>
        </w:rPr>
      </w:pPr>
      <w:r w:rsidRPr="000D6397">
        <w:rPr>
          <w:color w:val="000000"/>
        </w:rPr>
        <w:tab/>
      </w:r>
      <w:r w:rsidRPr="000D6397">
        <w:rPr>
          <w:color w:val="000000"/>
        </w:rPr>
        <w:tab/>
        <w:t>1.</w:t>
      </w:r>
      <w:r w:rsidRPr="000D6397">
        <w:rPr>
          <w:color w:val="000000"/>
        </w:rPr>
        <w:tab/>
      </w:r>
      <w:r w:rsidR="003435DE" w:rsidRPr="000D6397">
        <w:rPr>
          <w:color w:val="000000"/>
        </w:rPr>
        <w:t xml:space="preserve">Complainant’s answer to the Preliminary Objections was due no later than September 27, 2010.  52 </w:t>
      </w:r>
      <w:proofErr w:type="spellStart"/>
      <w:r w:rsidR="003435DE" w:rsidRPr="000D6397">
        <w:rPr>
          <w:color w:val="000000"/>
        </w:rPr>
        <w:t>Pa.Code</w:t>
      </w:r>
      <w:proofErr w:type="spellEnd"/>
      <w:r w:rsidR="003435DE" w:rsidRPr="000D6397">
        <w:rPr>
          <w:color w:val="000000"/>
        </w:rPr>
        <w:t xml:space="preserve"> §§ 5.101(f</w:t>
      </w:r>
      <w:proofErr w:type="gramStart"/>
      <w:r w:rsidR="003435DE" w:rsidRPr="000D6397">
        <w:rPr>
          <w:color w:val="000000"/>
        </w:rPr>
        <w:t>)(</w:t>
      </w:r>
      <w:proofErr w:type="gramEnd"/>
      <w:r w:rsidR="003435DE" w:rsidRPr="000D6397">
        <w:rPr>
          <w:color w:val="000000"/>
        </w:rPr>
        <w:t xml:space="preserve">1), 1.12(a), 1.56(a)(1) and (b).  </w:t>
      </w:r>
    </w:p>
    <w:p w:rsidR="003435DE" w:rsidRPr="000D6397" w:rsidRDefault="003435DE" w:rsidP="000D6397">
      <w:pPr>
        <w:pStyle w:val="Style"/>
        <w:spacing w:line="360" w:lineRule="auto"/>
        <w:rPr>
          <w:color w:val="000000"/>
        </w:rPr>
      </w:pPr>
    </w:p>
    <w:p w:rsidR="003435DE" w:rsidRPr="000D6397" w:rsidRDefault="004D1BB9" w:rsidP="000D6397">
      <w:pPr>
        <w:pStyle w:val="Style"/>
        <w:spacing w:line="360" w:lineRule="auto"/>
        <w:ind w:firstLine="1440"/>
        <w:rPr>
          <w:color w:val="000000"/>
        </w:rPr>
      </w:pPr>
      <w:r w:rsidRPr="000D6397">
        <w:rPr>
          <w:color w:val="000000"/>
        </w:rPr>
        <w:t>2.</w:t>
      </w:r>
      <w:r w:rsidRPr="000D6397">
        <w:rPr>
          <w:color w:val="000000"/>
        </w:rPr>
        <w:tab/>
      </w:r>
      <w:r w:rsidR="003435DE" w:rsidRPr="000D6397">
        <w:rPr>
          <w:color w:val="000000"/>
        </w:rPr>
        <w:t xml:space="preserve">The Commission’s Rules of Administrative Practice and Procedure (Rules), 52 </w:t>
      </w:r>
      <w:proofErr w:type="spellStart"/>
      <w:r w:rsidR="003435DE" w:rsidRPr="000D6397">
        <w:rPr>
          <w:color w:val="000000"/>
        </w:rPr>
        <w:t>Pa.Code</w:t>
      </w:r>
      <w:proofErr w:type="spellEnd"/>
      <w:r w:rsidR="003435DE" w:rsidRPr="000D6397">
        <w:rPr>
          <w:color w:val="000000"/>
        </w:rPr>
        <w:t xml:space="preserve"> Chapters 1, 3 and 5, provide for the filing of preliminary objections.  </w:t>
      </w:r>
      <w:proofErr w:type="gramStart"/>
      <w:r w:rsidR="003435DE" w:rsidRPr="000D6397">
        <w:rPr>
          <w:color w:val="000000"/>
        </w:rPr>
        <w:t xml:space="preserve">52 </w:t>
      </w:r>
      <w:proofErr w:type="spellStart"/>
      <w:r w:rsidR="003435DE" w:rsidRPr="000D6397">
        <w:rPr>
          <w:color w:val="000000"/>
        </w:rPr>
        <w:t>Pa.Code</w:t>
      </w:r>
      <w:proofErr w:type="spellEnd"/>
      <w:r w:rsidR="003435DE" w:rsidRPr="000D6397">
        <w:rPr>
          <w:color w:val="000000"/>
        </w:rPr>
        <w:t xml:space="preserve"> </w:t>
      </w:r>
      <w:r w:rsidR="003435DE" w:rsidRPr="000D6397">
        <w:rPr>
          <w:color w:val="000000"/>
          <w:w w:val="86"/>
        </w:rPr>
        <w:t xml:space="preserve">§ </w:t>
      </w:r>
      <w:r w:rsidR="003435DE" w:rsidRPr="000D6397">
        <w:rPr>
          <w:color w:val="000000"/>
        </w:rPr>
        <w:t>5.101.</w:t>
      </w:r>
      <w:proofErr w:type="gramEnd"/>
      <w:r w:rsidR="003435DE" w:rsidRPr="000D6397">
        <w:rPr>
          <w:color w:val="000000"/>
        </w:rPr>
        <w:t xml:space="preserve">  </w:t>
      </w:r>
    </w:p>
    <w:p w:rsidR="004D1BB9" w:rsidRPr="000D6397" w:rsidRDefault="004D1BB9" w:rsidP="000D6397">
      <w:pPr>
        <w:pStyle w:val="Style"/>
        <w:spacing w:line="360" w:lineRule="auto"/>
        <w:ind w:firstLine="1440"/>
        <w:rPr>
          <w:color w:val="000000"/>
        </w:rPr>
      </w:pPr>
    </w:p>
    <w:p w:rsidR="003435DE" w:rsidRPr="000D6397" w:rsidRDefault="004D1BB9" w:rsidP="000D6397">
      <w:pPr>
        <w:pStyle w:val="Style"/>
        <w:spacing w:line="360" w:lineRule="auto"/>
        <w:ind w:firstLine="1440"/>
        <w:rPr>
          <w:color w:val="000000"/>
        </w:rPr>
      </w:pPr>
      <w:r w:rsidRPr="000D6397">
        <w:rPr>
          <w:color w:val="000000"/>
        </w:rPr>
        <w:t>3.</w:t>
      </w:r>
      <w:r w:rsidRPr="000D6397">
        <w:rPr>
          <w:color w:val="000000"/>
        </w:rPr>
        <w:tab/>
      </w:r>
      <w:r w:rsidR="003435DE" w:rsidRPr="000D6397">
        <w:rPr>
          <w:color w:val="000000"/>
        </w:rPr>
        <w:t xml:space="preserve">Commission preliminary objection practice is comparable to Pennsylvania civil practice respecting the filing of preliminary objections.  </w:t>
      </w:r>
      <w:r w:rsidR="003435DE" w:rsidRPr="000D6397">
        <w:rPr>
          <w:iCs/>
          <w:color w:val="000000"/>
          <w:u w:val="single"/>
        </w:rPr>
        <w:t xml:space="preserve">Equitable Small Transportation </w:t>
      </w:r>
      <w:proofErr w:type="spellStart"/>
      <w:r w:rsidR="003435DE" w:rsidRPr="000D6397">
        <w:rPr>
          <w:iCs/>
          <w:color w:val="000000"/>
          <w:u w:val="single"/>
        </w:rPr>
        <w:t>Intervenors</w:t>
      </w:r>
      <w:proofErr w:type="spellEnd"/>
      <w:r w:rsidR="003435DE" w:rsidRPr="000D6397">
        <w:rPr>
          <w:iCs/>
          <w:color w:val="000000"/>
          <w:u w:val="single"/>
        </w:rPr>
        <w:t xml:space="preserve"> v. Equitable Gas Company</w:t>
      </w:r>
      <w:r w:rsidR="003435DE" w:rsidRPr="000D6397">
        <w:rPr>
          <w:i/>
          <w:iCs/>
          <w:color w:val="000000"/>
        </w:rPr>
        <w:t xml:space="preserve">, </w:t>
      </w:r>
      <w:r w:rsidR="003435DE" w:rsidRPr="000D6397">
        <w:rPr>
          <w:color w:val="000000"/>
        </w:rPr>
        <w:t xml:space="preserve">1994 Pa PUC LEXIS </w:t>
      </w:r>
      <w:r w:rsidR="001829EA">
        <w:rPr>
          <w:color w:val="000000"/>
        </w:rPr>
        <w:t xml:space="preserve">69, Docket No. </w:t>
      </w:r>
      <w:proofErr w:type="gramStart"/>
      <w:r w:rsidR="001829EA">
        <w:rPr>
          <w:color w:val="000000"/>
        </w:rPr>
        <w:t>C-00935435 (July </w:t>
      </w:r>
      <w:r w:rsidR="003435DE" w:rsidRPr="000D6397">
        <w:rPr>
          <w:color w:val="000000"/>
        </w:rPr>
        <w:t>18, 1994).</w:t>
      </w:r>
      <w:proofErr w:type="gramEnd"/>
    </w:p>
    <w:p w:rsidR="004D1BB9" w:rsidRPr="000D6397" w:rsidRDefault="004D1BB9" w:rsidP="000D6397">
      <w:pPr>
        <w:pStyle w:val="Style"/>
        <w:spacing w:line="360" w:lineRule="auto"/>
        <w:ind w:firstLine="1440"/>
        <w:rPr>
          <w:color w:val="000000"/>
        </w:rPr>
      </w:pPr>
    </w:p>
    <w:p w:rsidR="003435DE" w:rsidRPr="000D6397" w:rsidRDefault="004D1BB9" w:rsidP="000D6397">
      <w:pPr>
        <w:pStyle w:val="Style"/>
        <w:spacing w:line="360" w:lineRule="auto"/>
        <w:ind w:firstLine="1440"/>
        <w:rPr>
          <w:color w:val="000000"/>
        </w:rPr>
      </w:pPr>
      <w:r w:rsidRPr="000D6397">
        <w:rPr>
          <w:color w:val="000000"/>
        </w:rPr>
        <w:lastRenderedPageBreak/>
        <w:t>4.</w:t>
      </w:r>
      <w:r w:rsidRPr="000D6397">
        <w:rPr>
          <w:color w:val="000000"/>
        </w:rPr>
        <w:tab/>
      </w:r>
      <w:r w:rsidR="003435DE" w:rsidRPr="000D6397">
        <w:rPr>
          <w:color w:val="000000"/>
        </w:rPr>
        <w:t>The Commission’s Rules provide, in relevant part:</w:t>
      </w:r>
    </w:p>
    <w:p w:rsidR="003435DE" w:rsidRPr="000D6397" w:rsidRDefault="003435DE" w:rsidP="000D6397">
      <w:pPr>
        <w:pStyle w:val="Style"/>
        <w:spacing w:line="360" w:lineRule="auto"/>
        <w:rPr>
          <w:color w:val="000000"/>
        </w:rPr>
      </w:pPr>
    </w:p>
    <w:p w:rsidR="003435DE" w:rsidRPr="000D6397" w:rsidRDefault="00992449" w:rsidP="001829EA">
      <w:pPr>
        <w:pStyle w:val="Style"/>
        <w:tabs>
          <w:tab w:val="left" w:pos="1469"/>
          <w:tab w:val="left" w:pos="2196"/>
        </w:tabs>
        <w:ind w:left="1440" w:right="1441"/>
        <w:rPr>
          <w:color w:val="000000"/>
        </w:rPr>
      </w:pPr>
      <w:r>
        <w:rPr>
          <w:color w:val="000000"/>
        </w:rPr>
        <w:t>(a)</w:t>
      </w:r>
      <w:r w:rsidR="003435DE" w:rsidRPr="000D6397">
        <w:rPr>
          <w:color w:val="000000"/>
        </w:rPr>
        <w:tab/>
      </w:r>
      <w:r w:rsidR="003435DE" w:rsidRPr="000D6397">
        <w:rPr>
          <w:i/>
          <w:iCs/>
          <w:color w:val="000000"/>
        </w:rPr>
        <w:t xml:space="preserve">Grounds. </w:t>
      </w:r>
      <w:r w:rsidR="003435DE" w:rsidRPr="000D6397">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435DE" w:rsidRPr="000D6397" w:rsidRDefault="003435DE" w:rsidP="001829EA">
      <w:pPr>
        <w:pStyle w:val="Style"/>
        <w:tabs>
          <w:tab w:val="left" w:pos="1469"/>
          <w:tab w:val="left" w:pos="2160"/>
        </w:tabs>
        <w:ind w:left="1440" w:right="1441"/>
        <w:rPr>
          <w:color w:val="000000"/>
        </w:rPr>
      </w:pPr>
    </w:p>
    <w:p w:rsidR="003435DE" w:rsidRPr="000D6397" w:rsidRDefault="003435DE" w:rsidP="001829EA">
      <w:pPr>
        <w:pStyle w:val="Style"/>
        <w:tabs>
          <w:tab w:val="left" w:pos="2196"/>
          <w:tab w:val="left" w:pos="2909"/>
        </w:tabs>
        <w:ind w:left="1440" w:right="1441"/>
        <w:rPr>
          <w:color w:val="000000"/>
        </w:rPr>
      </w:pPr>
      <w:r w:rsidRPr="000D6397">
        <w:tab/>
      </w:r>
      <w:r w:rsidRPr="000D6397">
        <w:rPr>
          <w:color w:val="000000"/>
        </w:rPr>
        <w:t>(1)</w:t>
      </w:r>
      <w:r w:rsidRPr="000D6397">
        <w:rPr>
          <w:color w:val="000000"/>
        </w:rPr>
        <w:tab/>
        <w:t xml:space="preserve">Lack of Commission jurisdiction or improper </w:t>
      </w:r>
    </w:p>
    <w:p w:rsidR="003435DE" w:rsidRPr="000D6397" w:rsidRDefault="003435DE" w:rsidP="001829EA">
      <w:pPr>
        <w:pStyle w:val="Style"/>
        <w:ind w:left="1440" w:right="1441"/>
        <w:rPr>
          <w:color w:val="000000"/>
        </w:rPr>
      </w:pPr>
      <w:proofErr w:type="gramStart"/>
      <w:r w:rsidRPr="000D6397">
        <w:rPr>
          <w:color w:val="000000"/>
        </w:rPr>
        <w:t>service</w:t>
      </w:r>
      <w:proofErr w:type="gramEnd"/>
      <w:r w:rsidRPr="000D6397">
        <w:rPr>
          <w:color w:val="000000"/>
        </w:rPr>
        <w:t xml:space="preserve"> of the pleading initiating the proceeding.</w:t>
      </w:r>
    </w:p>
    <w:p w:rsidR="003435DE" w:rsidRPr="000D6397" w:rsidRDefault="003435DE" w:rsidP="000D6397">
      <w:pPr>
        <w:pStyle w:val="Style"/>
        <w:rPr>
          <w:color w:val="000000"/>
        </w:rPr>
      </w:pPr>
    </w:p>
    <w:p w:rsidR="003B00B7" w:rsidRPr="000D6397" w:rsidRDefault="003B00B7" w:rsidP="000D6397">
      <w:pPr>
        <w:pStyle w:val="Style"/>
        <w:rPr>
          <w:color w:val="000000"/>
        </w:rPr>
      </w:pPr>
      <w:r w:rsidRPr="000D6397">
        <w:rPr>
          <w:color w:val="000000"/>
        </w:rPr>
        <w:t xml:space="preserve">52 </w:t>
      </w:r>
      <w:proofErr w:type="spellStart"/>
      <w:r w:rsidR="003435DE" w:rsidRPr="000D6397">
        <w:rPr>
          <w:color w:val="000000"/>
        </w:rPr>
        <w:t>Pa.Code</w:t>
      </w:r>
      <w:proofErr w:type="spellEnd"/>
      <w:r w:rsidR="003435DE" w:rsidRPr="000D6397">
        <w:rPr>
          <w:color w:val="000000"/>
        </w:rPr>
        <w:t xml:space="preserve"> § 5.101(a</w:t>
      </w:r>
      <w:proofErr w:type="gramStart"/>
      <w:r w:rsidR="003435DE" w:rsidRPr="000D6397">
        <w:rPr>
          <w:color w:val="000000"/>
        </w:rPr>
        <w:t>)(</w:t>
      </w:r>
      <w:proofErr w:type="gramEnd"/>
      <w:r w:rsidR="003435DE" w:rsidRPr="000D6397">
        <w:rPr>
          <w:color w:val="000000"/>
        </w:rPr>
        <w:t>1).</w:t>
      </w:r>
    </w:p>
    <w:p w:rsidR="003B00B7" w:rsidRPr="000D6397" w:rsidRDefault="003B00B7" w:rsidP="00992449">
      <w:pPr>
        <w:pStyle w:val="Style"/>
        <w:spacing w:line="360" w:lineRule="auto"/>
        <w:rPr>
          <w:color w:val="000000"/>
        </w:rPr>
      </w:pPr>
    </w:p>
    <w:p w:rsidR="003B00B7" w:rsidRPr="000D6397" w:rsidRDefault="003B00B7" w:rsidP="000D6397">
      <w:pPr>
        <w:pStyle w:val="Style"/>
        <w:spacing w:line="360" w:lineRule="auto"/>
      </w:pPr>
      <w:r w:rsidRPr="000D6397">
        <w:rPr>
          <w:color w:val="000000"/>
        </w:rPr>
        <w:tab/>
      </w:r>
      <w:r w:rsidRPr="000D6397">
        <w:rPr>
          <w:color w:val="000000"/>
        </w:rPr>
        <w:tab/>
        <w:t>5.</w:t>
      </w:r>
      <w:r w:rsidRPr="000D6397">
        <w:rPr>
          <w:color w:val="000000"/>
        </w:rPr>
        <w:tab/>
      </w:r>
      <w:r w:rsidRPr="000D6397">
        <w:t>T</w:t>
      </w:r>
      <w:r w:rsidR="003435DE" w:rsidRPr="000D6397">
        <w:t>he Commission, as a creation o</w:t>
      </w:r>
      <w:r w:rsidRPr="000D6397">
        <w:t xml:space="preserve">f the General Assembly, has only the </w:t>
      </w:r>
      <w:r w:rsidR="003435DE" w:rsidRPr="000D6397">
        <w:t xml:space="preserve">powers and authority granted to it by the General Assembly contained in the Public Utility Code.  </w:t>
      </w:r>
      <w:proofErr w:type="gramStart"/>
      <w:r w:rsidR="003435DE" w:rsidRPr="000D6397">
        <w:rPr>
          <w:u w:val="single"/>
        </w:rPr>
        <w:t>Feingold v. Bell Tel. Co. of Pa.</w:t>
      </w:r>
      <w:r w:rsidR="003435DE" w:rsidRPr="000D6397">
        <w:t>, 383 A.2d 791 (Pa. 1977).</w:t>
      </w:r>
      <w:proofErr w:type="gramEnd"/>
      <w:r w:rsidR="003435DE" w:rsidRPr="000D6397">
        <w:t xml:space="preserve">  </w:t>
      </w:r>
    </w:p>
    <w:p w:rsidR="003B00B7" w:rsidRPr="000D6397" w:rsidRDefault="003B00B7" w:rsidP="000D6397">
      <w:pPr>
        <w:pStyle w:val="Style"/>
        <w:spacing w:line="360" w:lineRule="auto"/>
      </w:pPr>
    </w:p>
    <w:p w:rsidR="003B00B7" w:rsidRPr="000D6397" w:rsidRDefault="003B00B7" w:rsidP="000D6397">
      <w:pPr>
        <w:pStyle w:val="Style"/>
        <w:spacing w:line="360" w:lineRule="auto"/>
      </w:pPr>
      <w:r w:rsidRPr="000D6397">
        <w:tab/>
      </w:r>
      <w:r w:rsidRPr="000D6397">
        <w:tab/>
        <w:t>6.</w:t>
      </w:r>
      <w:r w:rsidRPr="000D6397">
        <w:tab/>
      </w:r>
      <w:r w:rsidR="003435DE" w:rsidRPr="000D6397">
        <w:t xml:space="preserve">The Commission must act within, and cannot exceed, its jurisdiction.  </w:t>
      </w:r>
      <w:proofErr w:type="gramStart"/>
      <w:r w:rsidR="003435DE" w:rsidRPr="000D6397">
        <w:rPr>
          <w:u w:val="single"/>
        </w:rPr>
        <w:t>City of Pittsburgh v. Pennsylvania Pub.</w:t>
      </w:r>
      <w:proofErr w:type="gramEnd"/>
      <w:r w:rsidR="003435DE" w:rsidRPr="000D6397">
        <w:rPr>
          <w:u w:val="single"/>
        </w:rPr>
        <w:t xml:space="preserve"> </w:t>
      </w:r>
      <w:proofErr w:type="gramStart"/>
      <w:r w:rsidR="003435DE" w:rsidRPr="000D6397">
        <w:rPr>
          <w:u w:val="single"/>
        </w:rPr>
        <w:t xml:space="preserve">Util. </w:t>
      </w:r>
      <w:proofErr w:type="spellStart"/>
      <w:r w:rsidR="003435DE" w:rsidRPr="000D6397">
        <w:rPr>
          <w:u w:val="single"/>
        </w:rPr>
        <w:t>Comm’n</w:t>
      </w:r>
      <w:proofErr w:type="spellEnd"/>
      <w:r w:rsidR="003435DE" w:rsidRPr="000D6397">
        <w:rPr>
          <w:u w:val="single"/>
        </w:rPr>
        <w:t>.,</w:t>
      </w:r>
      <w:r w:rsidR="003435DE" w:rsidRPr="000D6397">
        <w:t xml:space="preserve"> 43 A.2d 348 (Pa. Super. 1945).</w:t>
      </w:r>
      <w:proofErr w:type="gramEnd"/>
      <w:r w:rsidR="003435DE" w:rsidRPr="000D6397">
        <w:t xml:space="preserve">  </w:t>
      </w:r>
    </w:p>
    <w:p w:rsidR="003B00B7" w:rsidRPr="000D6397" w:rsidRDefault="003B00B7" w:rsidP="000D6397">
      <w:pPr>
        <w:pStyle w:val="Style"/>
        <w:spacing w:line="360" w:lineRule="auto"/>
      </w:pPr>
    </w:p>
    <w:p w:rsidR="003B00B7" w:rsidRPr="000D6397" w:rsidRDefault="003B00B7" w:rsidP="000D6397">
      <w:pPr>
        <w:pStyle w:val="Style"/>
        <w:spacing w:line="360" w:lineRule="auto"/>
      </w:pPr>
      <w:r w:rsidRPr="000D6397">
        <w:tab/>
      </w:r>
      <w:r w:rsidRPr="000D6397">
        <w:tab/>
        <w:t>7.</w:t>
      </w:r>
      <w:r w:rsidRPr="000D6397">
        <w:tab/>
      </w:r>
      <w:r w:rsidR="003435DE" w:rsidRPr="000D6397">
        <w:t xml:space="preserve">Jurisdiction may not be conferred by the parties where none exists.  </w:t>
      </w:r>
      <w:proofErr w:type="gramStart"/>
      <w:r w:rsidR="003435DE" w:rsidRPr="000D6397">
        <w:rPr>
          <w:u w:val="single"/>
        </w:rPr>
        <w:t xml:space="preserve">Roberts v. </w:t>
      </w:r>
      <w:proofErr w:type="spellStart"/>
      <w:r w:rsidR="003435DE" w:rsidRPr="000D6397">
        <w:rPr>
          <w:u w:val="single"/>
        </w:rPr>
        <w:t>Martorano</w:t>
      </w:r>
      <w:proofErr w:type="spellEnd"/>
      <w:r w:rsidR="003435DE" w:rsidRPr="000D6397">
        <w:t>, 235 A.2d 602 (Pa. 1967).</w:t>
      </w:r>
      <w:proofErr w:type="gramEnd"/>
      <w:r w:rsidR="003435DE" w:rsidRPr="000D6397">
        <w:t xml:space="preserve">  </w:t>
      </w:r>
    </w:p>
    <w:p w:rsidR="003B00B7" w:rsidRPr="000D6397" w:rsidRDefault="003B00B7" w:rsidP="000D6397">
      <w:pPr>
        <w:pStyle w:val="Style"/>
        <w:spacing w:line="360" w:lineRule="auto"/>
      </w:pPr>
    </w:p>
    <w:p w:rsidR="003B00B7" w:rsidRPr="000D6397" w:rsidRDefault="003B00B7" w:rsidP="000D6397">
      <w:pPr>
        <w:pStyle w:val="Style"/>
        <w:spacing w:line="360" w:lineRule="auto"/>
        <w:rPr>
          <w:color w:val="000000"/>
        </w:rPr>
      </w:pPr>
      <w:r w:rsidRPr="000D6397">
        <w:tab/>
      </w:r>
      <w:r w:rsidRPr="000D6397">
        <w:tab/>
        <w:t>8.</w:t>
      </w:r>
      <w:r w:rsidRPr="000D6397">
        <w:tab/>
      </w:r>
      <w:r w:rsidR="003435DE" w:rsidRPr="000D6397">
        <w:t xml:space="preserve">Subject matter jurisdiction is a prerequisite to the exercise of power to decide a controversy.  </w:t>
      </w:r>
      <w:proofErr w:type="gramStart"/>
      <w:r w:rsidR="003435DE" w:rsidRPr="000D6397">
        <w:rPr>
          <w:u w:val="single"/>
        </w:rPr>
        <w:t>Hughes v. Pennsylvania State Police</w:t>
      </w:r>
      <w:r w:rsidR="003435DE" w:rsidRPr="000D6397">
        <w:t xml:space="preserve">, 619 A.2d 390 (Pa. </w:t>
      </w:r>
      <w:proofErr w:type="spellStart"/>
      <w:r w:rsidR="003435DE" w:rsidRPr="000D6397">
        <w:t>Cmwlth</w:t>
      </w:r>
      <w:proofErr w:type="spellEnd"/>
      <w:r w:rsidR="003435DE" w:rsidRPr="000D6397">
        <w:t xml:space="preserve">. 1992), </w:t>
      </w:r>
      <w:proofErr w:type="spellStart"/>
      <w:r w:rsidR="003435DE" w:rsidRPr="000D6397">
        <w:rPr>
          <w:u w:val="single"/>
        </w:rPr>
        <w:t>alloc</w:t>
      </w:r>
      <w:proofErr w:type="spellEnd"/>
      <w:r w:rsidR="003435DE" w:rsidRPr="000D6397">
        <w:rPr>
          <w:u w:val="single"/>
        </w:rPr>
        <w:t>.</w:t>
      </w:r>
      <w:proofErr w:type="gramEnd"/>
      <w:r w:rsidR="003435DE" w:rsidRPr="000D6397">
        <w:rPr>
          <w:u w:val="single"/>
        </w:rPr>
        <w:t xml:space="preserve"> </w:t>
      </w:r>
      <w:proofErr w:type="gramStart"/>
      <w:r w:rsidR="003435DE" w:rsidRPr="000D6397">
        <w:rPr>
          <w:u w:val="single"/>
        </w:rPr>
        <w:t>denied</w:t>
      </w:r>
      <w:proofErr w:type="gramEnd"/>
      <w:r w:rsidR="003435DE" w:rsidRPr="000D6397">
        <w:t>, 637 A.2d 293 (Pa. 1993).</w:t>
      </w:r>
    </w:p>
    <w:p w:rsidR="003B00B7" w:rsidRPr="000D6397" w:rsidRDefault="003B00B7" w:rsidP="000D6397">
      <w:pPr>
        <w:pStyle w:val="Style"/>
        <w:spacing w:line="360" w:lineRule="auto"/>
        <w:rPr>
          <w:color w:val="000000"/>
        </w:rPr>
      </w:pPr>
    </w:p>
    <w:p w:rsidR="003B00B7" w:rsidRPr="000D6397" w:rsidRDefault="003B00B7" w:rsidP="000D6397">
      <w:pPr>
        <w:pStyle w:val="Style"/>
        <w:spacing w:line="360" w:lineRule="auto"/>
      </w:pPr>
      <w:r w:rsidRPr="000D6397">
        <w:rPr>
          <w:color w:val="000000"/>
        </w:rPr>
        <w:tab/>
      </w:r>
      <w:r w:rsidRPr="000D6397">
        <w:rPr>
          <w:color w:val="000000"/>
        </w:rPr>
        <w:tab/>
        <w:t>9.</w:t>
      </w:r>
      <w:r w:rsidRPr="000D6397">
        <w:rPr>
          <w:color w:val="000000"/>
        </w:rPr>
        <w:tab/>
      </w:r>
      <w:r w:rsidR="003435DE" w:rsidRPr="000D6397">
        <w:t xml:space="preserve">A repair contract/warranty dispute did not involve a law, regulation or order that the Commission has jurisdiction to administer. </w:t>
      </w:r>
      <w:r w:rsidR="003435DE" w:rsidRPr="000D6397">
        <w:rPr>
          <w:color w:val="000000"/>
        </w:rPr>
        <w:t xml:space="preserve"> </w:t>
      </w:r>
      <w:proofErr w:type="spellStart"/>
      <w:r w:rsidR="003435DE" w:rsidRPr="000D6397">
        <w:rPr>
          <w:u w:val="single"/>
        </w:rPr>
        <w:t>Nicholla</w:t>
      </w:r>
      <w:proofErr w:type="spellEnd"/>
      <w:r w:rsidR="003435DE" w:rsidRPr="000D6397">
        <w:rPr>
          <w:u w:val="single"/>
        </w:rPr>
        <w:t xml:space="preserve"> Anderson v. Philadelphia Gas Works</w:t>
      </w:r>
      <w:r w:rsidR="003435DE" w:rsidRPr="000D6397">
        <w:t xml:space="preserve">, Docket No. </w:t>
      </w:r>
      <w:proofErr w:type="gramStart"/>
      <w:r w:rsidR="003435DE" w:rsidRPr="000D6397">
        <w:t xml:space="preserve">F-00825712 (Order entered August 29, 2002); </w:t>
      </w:r>
      <w:r w:rsidR="003435DE" w:rsidRPr="000D6397">
        <w:rPr>
          <w:i/>
        </w:rPr>
        <w:t>see also</w:t>
      </w:r>
      <w:r w:rsidR="003435DE" w:rsidRPr="000D6397">
        <w:t xml:space="preserve">, </w:t>
      </w:r>
      <w:r w:rsidR="003435DE" w:rsidRPr="000D6397">
        <w:rPr>
          <w:u w:val="single"/>
        </w:rPr>
        <w:t xml:space="preserve">Sophia </w:t>
      </w:r>
      <w:proofErr w:type="spellStart"/>
      <w:r w:rsidR="003435DE" w:rsidRPr="000D6397">
        <w:rPr>
          <w:u w:val="single"/>
        </w:rPr>
        <w:t>Ottaviano</w:t>
      </w:r>
      <w:proofErr w:type="spellEnd"/>
      <w:r w:rsidR="003435DE" w:rsidRPr="000D6397">
        <w:rPr>
          <w:u w:val="single"/>
        </w:rPr>
        <w:t xml:space="preserve"> v. Philadelphia Gas Works</w:t>
      </w:r>
      <w:r w:rsidR="003435DE" w:rsidRPr="000D6397">
        <w:t>, Docket No.</w:t>
      </w:r>
      <w:proofErr w:type="gramEnd"/>
      <w:r w:rsidR="003435DE" w:rsidRPr="000D6397">
        <w:t xml:space="preserve"> C</w:t>
      </w:r>
      <w:r w:rsidR="003435DE" w:rsidRPr="000D6397">
        <w:noBreakHyphen/>
        <w:t xml:space="preserve">20066357 (Order entered September 22, 2006).  </w:t>
      </w:r>
    </w:p>
    <w:p w:rsidR="001829EA" w:rsidRDefault="001829EA">
      <w:pPr>
        <w:rPr>
          <w:rFonts w:ascii="Times New Roman" w:hAnsi="Times New Roman"/>
          <w:sz w:val="24"/>
          <w:szCs w:val="24"/>
        </w:rPr>
      </w:pPr>
      <w:r>
        <w:br w:type="page"/>
      </w:r>
    </w:p>
    <w:p w:rsidR="003B00B7" w:rsidRPr="000D6397" w:rsidRDefault="003B00B7" w:rsidP="000D6397">
      <w:pPr>
        <w:pStyle w:val="Style"/>
        <w:spacing w:line="360" w:lineRule="auto"/>
      </w:pPr>
    </w:p>
    <w:p w:rsidR="003B00B7" w:rsidRPr="000D6397" w:rsidRDefault="003B00B7" w:rsidP="000D6397">
      <w:pPr>
        <w:pStyle w:val="Style"/>
        <w:spacing w:line="360" w:lineRule="auto"/>
      </w:pPr>
      <w:r w:rsidRPr="000D6397">
        <w:tab/>
      </w:r>
      <w:r w:rsidRPr="000D6397">
        <w:tab/>
        <w:t>10.</w:t>
      </w:r>
      <w:r w:rsidRPr="000D6397">
        <w:tab/>
      </w:r>
      <w:r w:rsidR="003435DE" w:rsidRPr="000D6397">
        <w:t xml:space="preserve">Private services that merely supplement the public services provided by a utility do not fall within the Commission’s jurisdiction.  </w:t>
      </w:r>
      <w:proofErr w:type="gramStart"/>
      <w:r w:rsidR="003435DE" w:rsidRPr="000D6397">
        <w:rPr>
          <w:u w:val="single"/>
        </w:rPr>
        <w:t>Felix v. Pa. P.U.C.</w:t>
      </w:r>
      <w:r w:rsidR="003435DE" w:rsidRPr="000D6397">
        <w:t>, 146 A.2d 347 (Pa. Super.</w:t>
      </w:r>
      <w:proofErr w:type="gramEnd"/>
      <w:r w:rsidR="003435DE" w:rsidRPr="000D6397">
        <w:t xml:space="preserve"> </w:t>
      </w:r>
      <w:proofErr w:type="gramStart"/>
      <w:r w:rsidR="003435DE" w:rsidRPr="000D6397">
        <w:t>Ct. 1958).</w:t>
      </w:r>
      <w:proofErr w:type="gramEnd"/>
    </w:p>
    <w:p w:rsidR="003B00B7" w:rsidRPr="000D6397" w:rsidRDefault="003B00B7" w:rsidP="000D6397">
      <w:pPr>
        <w:pStyle w:val="Style"/>
        <w:spacing w:line="360" w:lineRule="auto"/>
      </w:pPr>
    </w:p>
    <w:p w:rsidR="003435DE" w:rsidRPr="000D6397" w:rsidRDefault="003B00B7" w:rsidP="000D6397">
      <w:pPr>
        <w:pStyle w:val="Style"/>
        <w:spacing w:line="360" w:lineRule="auto"/>
        <w:rPr>
          <w:color w:val="000000"/>
        </w:rPr>
      </w:pPr>
      <w:r w:rsidRPr="000D6397">
        <w:tab/>
      </w:r>
      <w:r w:rsidRPr="000D6397">
        <w:tab/>
        <w:t>11.</w:t>
      </w:r>
      <w:r w:rsidRPr="000D6397">
        <w:tab/>
      </w:r>
      <w:r w:rsidR="003435DE" w:rsidRPr="000D6397">
        <w:t xml:space="preserve">It is just, reasonable and in the public interest that the complaint filed at Docket Number </w:t>
      </w:r>
      <w:r w:rsidR="003435DE" w:rsidRPr="000D6397">
        <w:rPr>
          <w:bCs/>
          <w:color w:val="000000"/>
        </w:rPr>
        <w:t xml:space="preserve">F-2010-2195246 </w:t>
      </w:r>
      <w:r w:rsidR="003435DE" w:rsidRPr="000D6397">
        <w:t>is dismissed with prejudice.</w:t>
      </w:r>
    </w:p>
    <w:p w:rsidR="003435DE" w:rsidRPr="000D6397" w:rsidRDefault="003435DE" w:rsidP="000D6397">
      <w:pPr>
        <w:pStyle w:val="Style"/>
        <w:spacing w:line="360" w:lineRule="auto"/>
        <w:rPr>
          <w:color w:val="000000"/>
        </w:rPr>
      </w:pPr>
    </w:p>
    <w:p w:rsidR="003435DE" w:rsidRPr="000D6397" w:rsidRDefault="003435DE" w:rsidP="000D6397">
      <w:pPr>
        <w:pStyle w:val="Style"/>
        <w:spacing w:line="360" w:lineRule="auto"/>
        <w:jc w:val="center"/>
        <w:rPr>
          <w:color w:val="000000"/>
          <w:u w:val="single"/>
        </w:rPr>
      </w:pPr>
      <w:r w:rsidRPr="000D6397">
        <w:rPr>
          <w:color w:val="000000"/>
          <w:u w:val="single"/>
        </w:rPr>
        <w:t>ORDER</w:t>
      </w:r>
    </w:p>
    <w:p w:rsidR="003435DE" w:rsidRPr="000D6397" w:rsidRDefault="003435DE" w:rsidP="000D6397">
      <w:pPr>
        <w:pStyle w:val="Style"/>
        <w:spacing w:line="360" w:lineRule="auto"/>
        <w:ind w:firstLine="1440"/>
        <w:rPr>
          <w:color w:val="000000"/>
        </w:rPr>
      </w:pPr>
    </w:p>
    <w:p w:rsidR="003435DE" w:rsidRPr="000D6397" w:rsidRDefault="003435DE" w:rsidP="000D6397">
      <w:pPr>
        <w:pStyle w:val="Style"/>
        <w:spacing w:line="360" w:lineRule="auto"/>
        <w:ind w:firstLine="1440"/>
        <w:rPr>
          <w:color w:val="000000"/>
        </w:rPr>
      </w:pPr>
    </w:p>
    <w:p w:rsidR="003435DE" w:rsidRPr="000D6397" w:rsidRDefault="003435DE" w:rsidP="000D6397">
      <w:pPr>
        <w:pStyle w:val="Style"/>
        <w:spacing w:line="360" w:lineRule="auto"/>
        <w:ind w:firstLine="1440"/>
        <w:rPr>
          <w:color w:val="000000"/>
        </w:rPr>
      </w:pPr>
      <w:r w:rsidRPr="000D6397">
        <w:rPr>
          <w:color w:val="000000"/>
        </w:rPr>
        <w:t>THEREFORE,</w:t>
      </w:r>
    </w:p>
    <w:p w:rsidR="003435DE" w:rsidRPr="000D6397" w:rsidRDefault="003435DE" w:rsidP="000D6397">
      <w:pPr>
        <w:pStyle w:val="Style"/>
        <w:spacing w:line="360" w:lineRule="auto"/>
        <w:ind w:firstLine="1440"/>
        <w:rPr>
          <w:color w:val="000000"/>
        </w:rPr>
      </w:pPr>
    </w:p>
    <w:p w:rsidR="003435DE" w:rsidRPr="000D6397" w:rsidRDefault="003435DE" w:rsidP="000D6397">
      <w:pPr>
        <w:pStyle w:val="Style"/>
        <w:spacing w:line="360" w:lineRule="auto"/>
        <w:ind w:firstLine="1440"/>
        <w:rPr>
          <w:color w:val="000000"/>
        </w:rPr>
      </w:pPr>
      <w:r w:rsidRPr="000D6397">
        <w:rPr>
          <w:color w:val="000000"/>
        </w:rPr>
        <w:t>IT IS ORDERED:</w:t>
      </w:r>
    </w:p>
    <w:p w:rsidR="003435DE" w:rsidRPr="000D6397" w:rsidRDefault="003435DE" w:rsidP="000D6397">
      <w:pPr>
        <w:pStyle w:val="Style"/>
        <w:spacing w:line="360" w:lineRule="auto"/>
        <w:ind w:firstLine="1440"/>
        <w:rPr>
          <w:color w:val="000000"/>
        </w:rPr>
      </w:pPr>
    </w:p>
    <w:p w:rsidR="003435DE" w:rsidRPr="000D6397" w:rsidRDefault="003435DE" w:rsidP="000D6397">
      <w:pPr>
        <w:pStyle w:val="Style"/>
        <w:tabs>
          <w:tab w:val="left" w:pos="1505"/>
          <w:tab w:val="left" w:pos="2203"/>
        </w:tabs>
        <w:spacing w:line="360" w:lineRule="auto"/>
        <w:ind w:firstLine="1440"/>
        <w:rPr>
          <w:color w:val="000000"/>
        </w:rPr>
      </w:pPr>
      <w:r w:rsidRPr="000D6397">
        <w:rPr>
          <w:color w:val="000000"/>
        </w:rPr>
        <w:t>1.</w:t>
      </w:r>
      <w:r w:rsidRPr="000D6397">
        <w:rPr>
          <w:color w:val="000000"/>
        </w:rPr>
        <w:tab/>
        <w:t xml:space="preserve">That the Preliminary Objections filed by Philadelphia Gas Works on September 13, 2010 </w:t>
      </w:r>
      <w:r w:rsidR="003B00B7" w:rsidRPr="000D6397">
        <w:rPr>
          <w:color w:val="000000"/>
        </w:rPr>
        <w:t xml:space="preserve">at Docket No. F-2010-2195246 </w:t>
      </w:r>
      <w:proofErr w:type="gramStart"/>
      <w:r w:rsidR="003B00B7" w:rsidRPr="000D6397">
        <w:rPr>
          <w:color w:val="000000"/>
        </w:rPr>
        <w:t>are</w:t>
      </w:r>
      <w:proofErr w:type="gramEnd"/>
      <w:r w:rsidR="003B00B7" w:rsidRPr="000D6397">
        <w:rPr>
          <w:color w:val="000000"/>
        </w:rPr>
        <w:t xml:space="preserve"> sustained</w:t>
      </w:r>
      <w:r w:rsidRPr="000D6397">
        <w:rPr>
          <w:color w:val="000000"/>
        </w:rPr>
        <w:t>.</w:t>
      </w:r>
    </w:p>
    <w:p w:rsidR="003435DE" w:rsidRPr="000D6397" w:rsidRDefault="003435DE" w:rsidP="000D6397">
      <w:pPr>
        <w:pStyle w:val="Style"/>
        <w:tabs>
          <w:tab w:val="left" w:pos="1505"/>
          <w:tab w:val="left" w:pos="2203"/>
        </w:tabs>
        <w:spacing w:line="360" w:lineRule="auto"/>
        <w:ind w:firstLine="1440"/>
        <w:rPr>
          <w:color w:val="000000"/>
        </w:rPr>
      </w:pPr>
    </w:p>
    <w:p w:rsidR="003435DE" w:rsidRPr="000D6397" w:rsidRDefault="003435DE" w:rsidP="000D6397">
      <w:pPr>
        <w:pStyle w:val="Style"/>
        <w:tabs>
          <w:tab w:val="left" w:pos="1505"/>
          <w:tab w:val="left" w:pos="2225"/>
        </w:tabs>
        <w:spacing w:line="360" w:lineRule="auto"/>
        <w:ind w:firstLine="1440"/>
        <w:rPr>
          <w:color w:val="000000"/>
        </w:rPr>
      </w:pPr>
      <w:r w:rsidRPr="000D6397">
        <w:rPr>
          <w:color w:val="000000"/>
        </w:rPr>
        <w:t>2.</w:t>
      </w:r>
      <w:r w:rsidRPr="000D6397">
        <w:rPr>
          <w:color w:val="000000"/>
        </w:rPr>
        <w:tab/>
        <w:t xml:space="preserve">That the Complaint filed on </w:t>
      </w:r>
      <w:r w:rsidRPr="000D6397">
        <w:rPr>
          <w:bCs/>
          <w:color w:val="000000"/>
        </w:rPr>
        <w:t xml:space="preserve">August 15, 2010 </w:t>
      </w:r>
      <w:r w:rsidRPr="000D6397">
        <w:rPr>
          <w:color w:val="000000"/>
        </w:rPr>
        <w:t xml:space="preserve">by </w:t>
      </w:r>
      <w:proofErr w:type="spellStart"/>
      <w:r w:rsidRPr="000D6397">
        <w:rPr>
          <w:color w:val="000000"/>
        </w:rPr>
        <w:t>Nitin</w:t>
      </w:r>
      <w:proofErr w:type="spellEnd"/>
      <w:r w:rsidRPr="000D6397">
        <w:rPr>
          <w:color w:val="000000"/>
        </w:rPr>
        <w:t xml:space="preserve"> Desai </w:t>
      </w:r>
      <w:r w:rsidR="00A44095" w:rsidRPr="000D6397">
        <w:rPr>
          <w:color w:val="000000"/>
        </w:rPr>
        <w:t xml:space="preserve">against Philadelphia Gas Works at </w:t>
      </w:r>
      <w:r w:rsidRPr="000D6397">
        <w:rPr>
          <w:color w:val="000000"/>
        </w:rPr>
        <w:t xml:space="preserve">Docket </w:t>
      </w:r>
      <w:r w:rsidR="00A44095" w:rsidRPr="000D6397">
        <w:rPr>
          <w:color w:val="000000"/>
        </w:rPr>
        <w:t xml:space="preserve">No. </w:t>
      </w:r>
      <w:r w:rsidRPr="000D6397">
        <w:rPr>
          <w:bCs/>
          <w:color w:val="000000"/>
        </w:rPr>
        <w:t>F-2010-2195246 is dismissed</w:t>
      </w:r>
      <w:r w:rsidRPr="000D6397">
        <w:rPr>
          <w:color w:val="000000"/>
        </w:rPr>
        <w:t>.</w:t>
      </w:r>
    </w:p>
    <w:p w:rsidR="003435DE" w:rsidRPr="000D6397" w:rsidRDefault="003435DE" w:rsidP="000D6397">
      <w:pPr>
        <w:pStyle w:val="Style"/>
        <w:tabs>
          <w:tab w:val="left" w:pos="1505"/>
          <w:tab w:val="left" w:pos="2225"/>
        </w:tabs>
        <w:spacing w:line="360" w:lineRule="auto"/>
        <w:ind w:firstLine="1440"/>
        <w:rPr>
          <w:color w:val="000000"/>
        </w:rPr>
      </w:pPr>
    </w:p>
    <w:p w:rsidR="003435DE" w:rsidRPr="000D6397" w:rsidRDefault="003435DE" w:rsidP="000D6397">
      <w:pPr>
        <w:pStyle w:val="Style"/>
        <w:tabs>
          <w:tab w:val="left" w:pos="1541"/>
          <w:tab w:val="left" w:pos="2261"/>
        </w:tabs>
        <w:spacing w:line="360" w:lineRule="auto"/>
        <w:ind w:firstLine="1440"/>
        <w:rPr>
          <w:color w:val="000000"/>
        </w:rPr>
      </w:pPr>
      <w:r w:rsidRPr="000D6397">
        <w:rPr>
          <w:color w:val="000000"/>
        </w:rPr>
        <w:t>3.</w:t>
      </w:r>
      <w:r w:rsidRPr="000D6397">
        <w:rPr>
          <w:color w:val="000000"/>
        </w:rPr>
        <w:tab/>
        <w:t xml:space="preserve">That the record at Docket Number </w:t>
      </w:r>
      <w:r w:rsidRPr="000D6397">
        <w:rPr>
          <w:bCs/>
          <w:color w:val="000000"/>
        </w:rPr>
        <w:t>F-2010-2195246 be marked closed.</w:t>
      </w:r>
    </w:p>
    <w:p w:rsidR="003435DE" w:rsidRPr="000D6397" w:rsidRDefault="003435DE" w:rsidP="000D6397">
      <w:pPr>
        <w:pStyle w:val="Style"/>
        <w:tabs>
          <w:tab w:val="left" w:pos="1570"/>
          <w:tab w:val="left" w:pos="2290"/>
        </w:tabs>
        <w:spacing w:line="360" w:lineRule="auto"/>
        <w:ind w:firstLine="1440"/>
        <w:rPr>
          <w:color w:val="000000"/>
        </w:rPr>
      </w:pPr>
    </w:p>
    <w:p w:rsidR="003435DE" w:rsidRPr="000D6397" w:rsidRDefault="003435DE" w:rsidP="000D6397">
      <w:pPr>
        <w:pStyle w:val="Style"/>
        <w:tabs>
          <w:tab w:val="left" w:pos="1570"/>
          <w:tab w:val="left" w:pos="2290"/>
        </w:tabs>
        <w:spacing w:line="360" w:lineRule="auto"/>
        <w:ind w:firstLine="1440"/>
        <w:rPr>
          <w:color w:val="000000"/>
        </w:rPr>
      </w:pPr>
    </w:p>
    <w:p w:rsidR="003435DE" w:rsidRPr="000D6397" w:rsidRDefault="003435DE" w:rsidP="000D6397">
      <w:pPr>
        <w:pStyle w:val="Style"/>
        <w:tabs>
          <w:tab w:val="left" w:pos="1570"/>
          <w:tab w:val="left" w:pos="2290"/>
        </w:tabs>
        <w:rPr>
          <w:color w:val="000000"/>
          <w:u w:val="single"/>
        </w:rPr>
      </w:pPr>
      <w:r w:rsidRPr="000D6397">
        <w:rPr>
          <w:color w:val="000000"/>
        </w:rPr>
        <w:t xml:space="preserve">Date: </w:t>
      </w:r>
      <w:r w:rsidRPr="000D6397">
        <w:rPr>
          <w:color w:val="000000"/>
          <w:u w:val="single"/>
        </w:rPr>
        <w:t>September 15, 2011</w:t>
      </w:r>
      <w:r w:rsidRPr="000D6397">
        <w:rPr>
          <w:color w:val="000000"/>
        </w:rPr>
        <w:tab/>
      </w:r>
      <w:r w:rsidRPr="000D6397">
        <w:rPr>
          <w:color w:val="000000"/>
        </w:rPr>
        <w:tab/>
      </w:r>
      <w:r w:rsidR="00A44095" w:rsidRPr="000D6397">
        <w:rPr>
          <w:color w:val="000000"/>
        </w:rPr>
        <w:tab/>
      </w:r>
      <w:r w:rsidR="00A44095" w:rsidRPr="000D6397">
        <w:rPr>
          <w:color w:val="000000"/>
        </w:rPr>
        <w:tab/>
      </w:r>
      <w:r w:rsidRPr="000D6397">
        <w:rPr>
          <w:color w:val="000000"/>
          <w:u w:val="single"/>
        </w:rPr>
        <w:tab/>
      </w:r>
      <w:r w:rsidRPr="000D6397">
        <w:rPr>
          <w:color w:val="000000"/>
          <w:u w:val="single"/>
        </w:rPr>
        <w:tab/>
      </w:r>
      <w:r w:rsidRPr="000D6397">
        <w:rPr>
          <w:color w:val="000000"/>
          <w:u w:val="single"/>
        </w:rPr>
        <w:tab/>
      </w:r>
      <w:r w:rsidRPr="000D6397">
        <w:rPr>
          <w:color w:val="000000"/>
          <w:u w:val="single"/>
        </w:rPr>
        <w:tab/>
      </w:r>
      <w:r w:rsidRPr="000D6397">
        <w:rPr>
          <w:color w:val="000000"/>
          <w:u w:val="single"/>
        </w:rPr>
        <w:tab/>
      </w:r>
    </w:p>
    <w:p w:rsidR="003435DE" w:rsidRPr="000D6397" w:rsidRDefault="003435DE" w:rsidP="000D6397">
      <w:pPr>
        <w:pStyle w:val="Style"/>
        <w:tabs>
          <w:tab w:val="left" w:pos="1570"/>
          <w:tab w:val="left" w:pos="2290"/>
        </w:tabs>
        <w:rPr>
          <w:color w:val="000000"/>
        </w:rPr>
      </w:pPr>
      <w:r w:rsidRPr="000D6397">
        <w:rPr>
          <w:color w:val="000000"/>
        </w:rPr>
        <w:tab/>
      </w:r>
      <w:r w:rsidRPr="000D6397">
        <w:rPr>
          <w:color w:val="000000"/>
        </w:rPr>
        <w:tab/>
      </w:r>
      <w:r w:rsidRPr="000D6397">
        <w:rPr>
          <w:color w:val="000000"/>
        </w:rPr>
        <w:tab/>
      </w:r>
      <w:r w:rsidRPr="000D6397">
        <w:rPr>
          <w:color w:val="000000"/>
        </w:rPr>
        <w:tab/>
      </w:r>
      <w:r w:rsidR="00A44095" w:rsidRPr="000D6397">
        <w:rPr>
          <w:color w:val="000000"/>
        </w:rPr>
        <w:tab/>
      </w:r>
      <w:r w:rsidR="00A44095" w:rsidRPr="000D6397">
        <w:rPr>
          <w:color w:val="000000"/>
        </w:rPr>
        <w:tab/>
      </w:r>
      <w:r w:rsidRPr="000D6397">
        <w:rPr>
          <w:color w:val="000000"/>
        </w:rPr>
        <w:t>Joel H. Cheskis</w:t>
      </w:r>
    </w:p>
    <w:p w:rsidR="003435DE" w:rsidRPr="000D6397" w:rsidRDefault="003435DE" w:rsidP="000D6397">
      <w:pPr>
        <w:pStyle w:val="Style"/>
        <w:tabs>
          <w:tab w:val="left" w:pos="1570"/>
          <w:tab w:val="left" w:pos="2290"/>
        </w:tabs>
      </w:pPr>
      <w:r w:rsidRPr="000D6397">
        <w:rPr>
          <w:color w:val="000000"/>
        </w:rPr>
        <w:tab/>
      </w:r>
      <w:r w:rsidRPr="000D6397">
        <w:rPr>
          <w:color w:val="000000"/>
        </w:rPr>
        <w:tab/>
      </w:r>
      <w:r w:rsidRPr="000D6397">
        <w:rPr>
          <w:color w:val="000000"/>
        </w:rPr>
        <w:tab/>
      </w:r>
      <w:r w:rsidRPr="000D6397">
        <w:rPr>
          <w:color w:val="000000"/>
        </w:rPr>
        <w:tab/>
      </w:r>
      <w:r w:rsidR="00A44095" w:rsidRPr="000D6397">
        <w:rPr>
          <w:color w:val="000000"/>
        </w:rPr>
        <w:tab/>
      </w:r>
      <w:r w:rsidR="00A44095" w:rsidRPr="000D6397">
        <w:rPr>
          <w:color w:val="000000"/>
        </w:rPr>
        <w:tab/>
      </w:r>
      <w:r w:rsidRPr="000D6397">
        <w:rPr>
          <w:color w:val="000000"/>
        </w:rPr>
        <w:t>Administrative Law Judge</w:t>
      </w:r>
    </w:p>
    <w:p w:rsidR="003435DE" w:rsidRPr="000D6397" w:rsidRDefault="003435DE" w:rsidP="000D6397">
      <w:pPr>
        <w:spacing w:after="0"/>
        <w:rPr>
          <w:rFonts w:ascii="Times New Roman" w:hAnsi="Times New Roman"/>
          <w:sz w:val="24"/>
          <w:szCs w:val="24"/>
        </w:rPr>
      </w:pPr>
    </w:p>
    <w:p w:rsidR="005167F4" w:rsidRPr="000D6397" w:rsidRDefault="005167F4" w:rsidP="000D6397">
      <w:pPr>
        <w:spacing w:after="0"/>
        <w:rPr>
          <w:rFonts w:ascii="Times New Roman" w:hAnsi="Times New Roman"/>
          <w:sz w:val="24"/>
          <w:szCs w:val="24"/>
        </w:rPr>
      </w:pPr>
    </w:p>
    <w:sectPr w:rsidR="005167F4" w:rsidRPr="000D6397" w:rsidSect="000D6397">
      <w:footerReference w:type="default" r:id="rId8"/>
      <w:pgSz w:w="12241" w:h="15842"/>
      <w:pgMar w:top="1440" w:right="1440" w:bottom="1440" w:left="1440"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96B" w:rsidRDefault="00C3596B" w:rsidP="00A32660">
      <w:pPr>
        <w:spacing w:after="0" w:line="240" w:lineRule="auto"/>
      </w:pPr>
      <w:r>
        <w:separator/>
      </w:r>
    </w:p>
  </w:endnote>
  <w:endnote w:type="continuationSeparator" w:id="0">
    <w:p w:rsidR="00C3596B" w:rsidRDefault="00C3596B" w:rsidP="00A326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341" w:rsidRPr="000D6397" w:rsidRDefault="00DF76DE">
    <w:pPr>
      <w:pStyle w:val="Footer"/>
      <w:jc w:val="center"/>
      <w:rPr>
        <w:rFonts w:ascii="Times New Roman" w:hAnsi="Times New Roman"/>
        <w:sz w:val="20"/>
        <w:szCs w:val="20"/>
      </w:rPr>
    </w:pPr>
    <w:r w:rsidRPr="000D6397">
      <w:rPr>
        <w:rFonts w:ascii="Times New Roman" w:hAnsi="Times New Roman"/>
        <w:sz w:val="20"/>
        <w:szCs w:val="20"/>
      </w:rPr>
      <w:fldChar w:fldCharType="begin"/>
    </w:r>
    <w:r w:rsidR="00E8291F" w:rsidRPr="000D6397">
      <w:rPr>
        <w:rFonts w:ascii="Times New Roman" w:hAnsi="Times New Roman"/>
        <w:sz w:val="20"/>
        <w:szCs w:val="20"/>
      </w:rPr>
      <w:instrText xml:space="preserve"> PAGE   \* MERGEFORMAT </w:instrText>
    </w:r>
    <w:r w:rsidRPr="000D6397">
      <w:rPr>
        <w:rFonts w:ascii="Times New Roman" w:hAnsi="Times New Roman"/>
        <w:sz w:val="20"/>
        <w:szCs w:val="20"/>
      </w:rPr>
      <w:fldChar w:fldCharType="separate"/>
    </w:r>
    <w:r w:rsidR="00992449">
      <w:rPr>
        <w:rFonts w:ascii="Times New Roman" w:hAnsi="Times New Roman"/>
        <w:noProof/>
        <w:sz w:val="20"/>
        <w:szCs w:val="20"/>
      </w:rPr>
      <w:t>2</w:t>
    </w:r>
    <w:r w:rsidRPr="000D6397">
      <w:rPr>
        <w:rFonts w:ascii="Times New Roman" w:hAnsi="Times New Roman"/>
        <w:sz w:val="20"/>
        <w:szCs w:val="20"/>
      </w:rPr>
      <w:fldChar w:fldCharType="end"/>
    </w:r>
  </w:p>
  <w:p w:rsidR="00081341" w:rsidRDefault="00C35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96B" w:rsidRDefault="00C3596B" w:rsidP="00A32660">
      <w:pPr>
        <w:spacing w:after="0" w:line="240" w:lineRule="auto"/>
      </w:pPr>
      <w:r>
        <w:separator/>
      </w:r>
    </w:p>
  </w:footnote>
  <w:footnote w:type="continuationSeparator" w:id="0">
    <w:p w:rsidR="00C3596B" w:rsidRDefault="00C3596B" w:rsidP="00A32660">
      <w:pPr>
        <w:spacing w:after="0" w:line="240" w:lineRule="auto"/>
      </w:pPr>
      <w:r>
        <w:continuationSeparator/>
      </w:r>
    </w:p>
  </w:footnote>
  <w:footnote w:id="1">
    <w:p w:rsidR="003435DE" w:rsidRPr="00E804C9" w:rsidRDefault="003435DE" w:rsidP="003435DE">
      <w:pPr>
        <w:pStyle w:val="FootnoteText"/>
        <w:rPr>
          <w:rFonts w:ascii="Times New Roman" w:hAnsi="Times New Roman"/>
        </w:rPr>
      </w:pPr>
      <w:r w:rsidRPr="00D749A9">
        <w:rPr>
          <w:rStyle w:val="FootnoteReference"/>
        </w:rPr>
        <w:footnoteRef/>
      </w:r>
      <w:r w:rsidRPr="00D749A9">
        <w:t xml:space="preserve"> </w:t>
      </w:r>
      <w:r w:rsidRPr="00D749A9">
        <w:tab/>
      </w:r>
      <w:r w:rsidRPr="00E804C9">
        <w:rPr>
          <w:rFonts w:ascii="Times New Roman" w:hAnsi="Times New Roman"/>
        </w:rPr>
        <w:t>Although captioned as “Preliminary Objections and Motion to Strike Impertinent Matter,” the text of the pleading appears to be a Preliminary Objection and Motion to Dismiss.  The pleading makes no argument regarding impertinent matter.  Rather, the pleading concludes with a request for relief that includes dismissing the Complaint.  As such, the pleading will be treated as a Preliminary Objection and Motion to Dismiss.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C76D7"/>
    <w:multiLevelType w:val="hybridMultilevel"/>
    <w:tmpl w:val="DDD83DB4"/>
    <w:lvl w:ilvl="0" w:tplc="2DDA84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6136EC"/>
    <w:multiLevelType w:val="hybridMultilevel"/>
    <w:tmpl w:val="5BC86E3A"/>
    <w:lvl w:ilvl="0" w:tplc="E4F87D32">
      <w:start w:val="5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C29171F"/>
    <w:multiLevelType w:val="hybridMultilevel"/>
    <w:tmpl w:val="766C8798"/>
    <w:lvl w:ilvl="0" w:tplc="74CAE5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3023738"/>
    <w:multiLevelType w:val="hybridMultilevel"/>
    <w:tmpl w:val="160419FA"/>
    <w:lvl w:ilvl="0" w:tplc="ED242D58">
      <w:start w:val="1"/>
      <w:numFmt w:val="decimal"/>
      <w:lvlText w:val="%1."/>
      <w:lvlJc w:val="left"/>
      <w:pPr>
        <w:ind w:left="3960" w:hanging="360"/>
      </w:pPr>
      <w:rPr>
        <w:rFonts w:ascii="Times New Roman" w:eastAsia="Times New Roman" w:hAnsi="Times New Roman" w:cs="Times New Roman"/>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691C18B2"/>
    <w:multiLevelType w:val="hybridMultilevel"/>
    <w:tmpl w:val="9A44CCBA"/>
    <w:lvl w:ilvl="0" w:tplc="84DC663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A32660"/>
    <w:rsid w:val="00016544"/>
    <w:rsid w:val="000205B7"/>
    <w:rsid w:val="00020D5B"/>
    <w:rsid w:val="00037E74"/>
    <w:rsid w:val="000502F5"/>
    <w:rsid w:val="00051130"/>
    <w:rsid w:val="00051F34"/>
    <w:rsid w:val="00072FA2"/>
    <w:rsid w:val="000B03AA"/>
    <w:rsid w:val="000B5848"/>
    <w:rsid w:val="000C2D13"/>
    <w:rsid w:val="000D6397"/>
    <w:rsid w:val="000E309F"/>
    <w:rsid w:val="001120A2"/>
    <w:rsid w:val="00155562"/>
    <w:rsid w:val="0017577B"/>
    <w:rsid w:val="00176BA1"/>
    <w:rsid w:val="001829EA"/>
    <w:rsid w:val="001836FC"/>
    <w:rsid w:val="00186942"/>
    <w:rsid w:val="001A1FFA"/>
    <w:rsid w:val="001B1C0E"/>
    <w:rsid w:val="001D6F87"/>
    <w:rsid w:val="001D7ED5"/>
    <w:rsid w:val="002113AF"/>
    <w:rsid w:val="00244E52"/>
    <w:rsid w:val="002822E3"/>
    <w:rsid w:val="002D1116"/>
    <w:rsid w:val="00342599"/>
    <w:rsid w:val="003435DE"/>
    <w:rsid w:val="00345934"/>
    <w:rsid w:val="00377629"/>
    <w:rsid w:val="003A6D41"/>
    <w:rsid w:val="003B00B7"/>
    <w:rsid w:val="003D768C"/>
    <w:rsid w:val="00404B6B"/>
    <w:rsid w:val="00413188"/>
    <w:rsid w:val="00421332"/>
    <w:rsid w:val="00426A17"/>
    <w:rsid w:val="00432AC8"/>
    <w:rsid w:val="00437B9B"/>
    <w:rsid w:val="0044076B"/>
    <w:rsid w:val="00443342"/>
    <w:rsid w:val="00475028"/>
    <w:rsid w:val="004845FC"/>
    <w:rsid w:val="004B66EC"/>
    <w:rsid w:val="004C3BE4"/>
    <w:rsid w:val="004D1BB9"/>
    <w:rsid w:val="004F371D"/>
    <w:rsid w:val="005117E8"/>
    <w:rsid w:val="005167F4"/>
    <w:rsid w:val="005326E0"/>
    <w:rsid w:val="00535850"/>
    <w:rsid w:val="005445C7"/>
    <w:rsid w:val="00565389"/>
    <w:rsid w:val="005722D3"/>
    <w:rsid w:val="005A2D36"/>
    <w:rsid w:val="005D282D"/>
    <w:rsid w:val="005E1364"/>
    <w:rsid w:val="00604CDE"/>
    <w:rsid w:val="00630B23"/>
    <w:rsid w:val="0063160F"/>
    <w:rsid w:val="00631DD4"/>
    <w:rsid w:val="00664DC3"/>
    <w:rsid w:val="006724F9"/>
    <w:rsid w:val="0067361B"/>
    <w:rsid w:val="006B1348"/>
    <w:rsid w:val="006D4FCC"/>
    <w:rsid w:val="006D5255"/>
    <w:rsid w:val="006D6F98"/>
    <w:rsid w:val="006E2F5A"/>
    <w:rsid w:val="006E5B75"/>
    <w:rsid w:val="00702081"/>
    <w:rsid w:val="00720543"/>
    <w:rsid w:val="007477AB"/>
    <w:rsid w:val="00751549"/>
    <w:rsid w:val="007676AF"/>
    <w:rsid w:val="007B35B6"/>
    <w:rsid w:val="007B4B4D"/>
    <w:rsid w:val="007F6D0E"/>
    <w:rsid w:val="008228C3"/>
    <w:rsid w:val="00850E0C"/>
    <w:rsid w:val="00863907"/>
    <w:rsid w:val="00873F65"/>
    <w:rsid w:val="00892BB4"/>
    <w:rsid w:val="00896C2D"/>
    <w:rsid w:val="008D3264"/>
    <w:rsid w:val="008D616C"/>
    <w:rsid w:val="008E2E61"/>
    <w:rsid w:val="009007A1"/>
    <w:rsid w:val="00905F3C"/>
    <w:rsid w:val="00951E1D"/>
    <w:rsid w:val="009655B1"/>
    <w:rsid w:val="009728FF"/>
    <w:rsid w:val="0097669F"/>
    <w:rsid w:val="00992449"/>
    <w:rsid w:val="009B356B"/>
    <w:rsid w:val="009B7C2D"/>
    <w:rsid w:val="009D3876"/>
    <w:rsid w:val="009D508C"/>
    <w:rsid w:val="009D52CB"/>
    <w:rsid w:val="009E13FF"/>
    <w:rsid w:val="00A12343"/>
    <w:rsid w:val="00A1392E"/>
    <w:rsid w:val="00A27CB8"/>
    <w:rsid w:val="00A32660"/>
    <w:rsid w:val="00A44095"/>
    <w:rsid w:val="00A47197"/>
    <w:rsid w:val="00A92E7F"/>
    <w:rsid w:val="00AA73F2"/>
    <w:rsid w:val="00AB5AC0"/>
    <w:rsid w:val="00AC0B47"/>
    <w:rsid w:val="00AD73E4"/>
    <w:rsid w:val="00B07307"/>
    <w:rsid w:val="00B310D4"/>
    <w:rsid w:val="00B51DB5"/>
    <w:rsid w:val="00B56297"/>
    <w:rsid w:val="00B56D3B"/>
    <w:rsid w:val="00B8243A"/>
    <w:rsid w:val="00BA3189"/>
    <w:rsid w:val="00BA6F35"/>
    <w:rsid w:val="00BC1A84"/>
    <w:rsid w:val="00BD5A9B"/>
    <w:rsid w:val="00BE5AEE"/>
    <w:rsid w:val="00C27CF8"/>
    <w:rsid w:val="00C3596B"/>
    <w:rsid w:val="00C540AD"/>
    <w:rsid w:val="00C551A3"/>
    <w:rsid w:val="00C73937"/>
    <w:rsid w:val="00C73B0D"/>
    <w:rsid w:val="00C7566A"/>
    <w:rsid w:val="00C97A5A"/>
    <w:rsid w:val="00CD7909"/>
    <w:rsid w:val="00CF0C4C"/>
    <w:rsid w:val="00D67743"/>
    <w:rsid w:val="00D95826"/>
    <w:rsid w:val="00D96A48"/>
    <w:rsid w:val="00DC7D86"/>
    <w:rsid w:val="00DD1D2E"/>
    <w:rsid w:val="00DF76DE"/>
    <w:rsid w:val="00E26E99"/>
    <w:rsid w:val="00E3782D"/>
    <w:rsid w:val="00E47BCE"/>
    <w:rsid w:val="00E65F2B"/>
    <w:rsid w:val="00E8291F"/>
    <w:rsid w:val="00E83716"/>
    <w:rsid w:val="00E83F23"/>
    <w:rsid w:val="00E87244"/>
    <w:rsid w:val="00EA644E"/>
    <w:rsid w:val="00EA7967"/>
    <w:rsid w:val="00F029DE"/>
    <w:rsid w:val="00F16B27"/>
    <w:rsid w:val="00F1775F"/>
    <w:rsid w:val="00F21ACA"/>
    <w:rsid w:val="00F34385"/>
    <w:rsid w:val="00F364C3"/>
    <w:rsid w:val="00F46B0F"/>
    <w:rsid w:val="00F50A06"/>
    <w:rsid w:val="00F606B5"/>
    <w:rsid w:val="00F618BE"/>
    <w:rsid w:val="00F70FBE"/>
    <w:rsid w:val="00F75F62"/>
    <w:rsid w:val="00FA6DFC"/>
    <w:rsid w:val="00FD777B"/>
    <w:rsid w:val="00FE01E0"/>
    <w:rsid w:val="00FF2078"/>
    <w:rsid w:val="00FF6426"/>
    <w:rsid w:val="00FF7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6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32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2660"/>
    <w:rPr>
      <w:sz w:val="20"/>
      <w:szCs w:val="20"/>
    </w:rPr>
  </w:style>
  <w:style w:type="character" w:customStyle="1" w:styleId="FootnoteTextChar">
    <w:name w:val="Footnote Text Char"/>
    <w:basedOn w:val="DefaultParagraphFont"/>
    <w:link w:val="FootnoteText"/>
    <w:uiPriority w:val="99"/>
    <w:semiHidden/>
    <w:rsid w:val="00A3266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32660"/>
    <w:rPr>
      <w:vertAlign w:val="superscript"/>
    </w:rPr>
  </w:style>
  <w:style w:type="paragraph" w:styleId="Footer">
    <w:name w:val="footer"/>
    <w:basedOn w:val="Normal"/>
    <w:link w:val="FooterChar"/>
    <w:uiPriority w:val="99"/>
    <w:unhideWhenUsed/>
    <w:rsid w:val="00A32660"/>
    <w:pPr>
      <w:tabs>
        <w:tab w:val="center" w:pos="4680"/>
        <w:tab w:val="right" w:pos="9360"/>
      </w:tabs>
    </w:pPr>
  </w:style>
  <w:style w:type="character" w:customStyle="1" w:styleId="FooterChar">
    <w:name w:val="Footer Char"/>
    <w:basedOn w:val="DefaultParagraphFont"/>
    <w:link w:val="Footer"/>
    <w:uiPriority w:val="99"/>
    <w:rsid w:val="00A32660"/>
    <w:rPr>
      <w:rFonts w:ascii="Calibri" w:eastAsia="Times New Roman" w:hAnsi="Calibri" w:cs="Times New Roman"/>
    </w:rPr>
  </w:style>
  <w:style w:type="paragraph" w:styleId="ListParagraph">
    <w:name w:val="List Paragraph"/>
    <w:basedOn w:val="Normal"/>
    <w:uiPriority w:val="34"/>
    <w:qFormat/>
    <w:rsid w:val="00037E74"/>
    <w:pPr>
      <w:ind w:left="720"/>
      <w:contextualSpacing/>
    </w:pPr>
  </w:style>
  <w:style w:type="paragraph" w:customStyle="1" w:styleId="ParaTab1">
    <w:name w:val="ParaTab 1"/>
    <w:rsid w:val="00B51D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0D63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6397"/>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36C4-2DBB-4320-AA66-F5B0A983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2</cp:revision>
  <cp:lastPrinted>2011-09-01T19:59:00Z</cp:lastPrinted>
  <dcterms:created xsi:type="dcterms:W3CDTF">2011-09-21T13:22:00Z</dcterms:created>
  <dcterms:modified xsi:type="dcterms:W3CDTF">2011-09-21T13:22:00Z</dcterms:modified>
</cp:coreProperties>
</file>