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03B" w:rsidRDefault="005D703B" w:rsidP="00FF50F4">
      <w:pPr>
        <w:pStyle w:val="Title"/>
        <w:tabs>
          <w:tab w:val="clear" w:pos="360"/>
          <w:tab w:val="left" w:pos="0"/>
        </w:tabs>
      </w:pPr>
    </w:p>
    <w:p w:rsidR="00FF50F4" w:rsidRDefault="00FF50F4" w:rsidP="00FF50F4">
      <w:pPr>
        <w:pStyle w:val="Title"/>
        <w:tabs>
          <w:tab w:val="clear" w:pos="360"/>
          <w:tab w:val="left" w:pos="0"/>
        </w:tabs>
      </w:pPr>
      <w:r>
        <w:t>BEFORE THE</w:t>
      </w:r>
    </w:p>
    <w:p w:rsidR="00FF50F4" w:rsidRDefault="00FF50F4" w:rsidP="00FF50F4">
      <w:pPr>
        <w:tabs>
          <w:tab w:val="left" w:pos="0"/>
        </w:tabs>
        <w:spacing w:line="233" w:lineRule="auto"/>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FF50F4" w:rsidRDefault="00FF50F4" w:rsidP="00FF50F4">
      <w:pPr>
        <w:tabs>
          <w:tab w:val="left" w:pos="0"/>
        </w:tabs>
        <w:spacing w:line="233" w:lineRule="auto"/>
        <w:jc w:val="both"/>
        <w:rPr>
          <w:b/>
        </w:rPr>
      </w:pPr>
    </w:p>
    <w:p w:rsidR="00FF50F4" w:rsidRDefault="00FF50F4" w:rsidP="00FF50F4">
      <w:pPr>
        <w:tabs>
          <w:tab w:val="left" w:pos="0"/>
        </w:tabs>
        <w:spacing w:line="233" w:lineRule="auto"/>
        <w:jc w:val="both"/>
        <w:rPr>
          <w:b/>
        </w:rPr>
      </w:pPr>
    </w:p>
    <w:p w:rsidR="00FF50F4" w:rsidRDefault="00FF50F4" w:rsidP="00FF50F4">
      <w:pPr>
        <w:tabs>
          <w:tab w:val="left" w:pos="0"/>
        </w:tabs>
        <w:spacing w:line="233" w:lineRule="auto"/>
        <w:jc w:val="both"/>
        <w:rPr>
          <w:b/>
        </w:rPr>
      </w:pPr>
    </w:p>
    <w:p w:rsidR="00DE3E05" w:rsidRDefault="00DE3E05" w:rsidP="00DE3E05">
      <w:pPr>
        <w:tabs>
          <w:tab w:val="left" w:pos="-720"/>
        </w:tabs>
        <w:suppressAutoHyphens/>
        <w:spacing w:line="240" w:lineRule="auto"/>
        <w:rPr>
          <w:spacing w:val="-3"/>
        </w:rPr>
      </w:pPr>
      <w:r w:rsidRPr="00697854">
        <w:rPr>
          <w:spacing w:val="-3"/>
        </w:rPr>
        <w:t>Pennsylvania Public Utility Commission</w:t>
      </w:r>
      <w:r w:rsidRPr="00697854">
        <w:rPr>
          <w:spacing w:val="-3"/>
        </w:rPr>
        <w:tab/>
        <w:t>:</w:t>
      </w:r>
      <w:r w:rsidRPr="00697854">
        <w:rPr>
          <w:spacing w:val="-3"/>
        </w:rPr>
        <w:tab/>
      </w:r>
      <w:r w:rsidRPr="00697854">
        <w:rPr>
          <w:spacing w:val="-3"/>
        </w:rPr>
        <w:tab/>
        <w:t>R-20</w:t>
      </w:r>
      <w:r>
        <w:rPr>
          <w:spacing w:val="-3"/>
        </w:rPr>
        <w:t>11-2232985</w:t>
      </w:r>
    </w:p>
    <w:p w:rsidR="00DE3E05" w:rsidRDefault="00DE3E05" w:rsidP="00DE3E05">
      <w:pPr>
        <w:tabs>
          <w:tab w:val="left" w:pos="-720"/>
        </w:tabs>
        <w:suppressAutoHyphens/>
        <w:spacing w:line="240" w:lineRule="auto"/>
        <w:rPr>
          <w:spacing w:val="-3"/>
        </w:rPr>
      </w:pPr>
      <w:r>
        <w:rPr>
          <w:spacing w:val="-3"/>
        </w:rPr>
        <w:tab/>
      </w:r>
      <w:r>
        <w:rPr>
          <w:spacing w:val="-3"/>
        </w:rPr>
        <w:tab/>
      </w:r>
      <w:r>
        <w:rPr>
          <w:spacing w:val="-3"/>
        </w:rPr>
        <w:tab/>
      </w:r>
      <w:r>
        <w:rPr>
          <w:spacing w:val="-3"/>
        </w:rPr>
        <w:tab/>
      </w:r>
      <w:r>
        <w:rPr>
          <w:spacing w:val="-3"/>
        </w:rPr>
        <w:tab/>
      </w:r>
      <w:r>
        <w:rPr>
          <w:spacing w:val="-3"/>
        </w:rPr>
        <w:tab/>
        <w:t>:</w:t>
      </w:r>
    </w:p>
    <w:p w:rsidR="00DE3E05" w:rsidRPr="00697854" w:rsidRDefault="00DE3E05" w:rsidP="00DE3E05">
      <w:pPr>
        <w:tabs>
          <w:tab w:val="left" w:pos="-720"/>
        </w:tabs>
        <w:suppressAutoHyphens/>
        <w:spacing w:line="240" w:lineRule="auto"/>
        <w:rPr>
          <w:spacing w:val="-3"/>
        </w:rPr>
      </w:pPr>
      <w:r w:rsidRPr="00697854">
        <w:rPr>
          <w:spacing w:val="-3"/>
        </w:rPr>
        <w:t>Office of Small Business Advocate</w:t>
      </w:r>
      <w:r w:rsidRPr="00697854">
        <w:rPr>
          <w:spacing w:val="-3"/>
        </w:rPr>
        <w:tab/>
      </w:r>
      <w:r w:rsidRPr="00697854">
        <w:rPr>
          <w:spacing w:val="-3"/>
        </w:rPr>
        <w:tab/>
        <w:t>:</w:t>
      </w:r>
      <w:r w:rsidRPr="00697854">
        <w:rPr>
          <w:spacing w:val="-3"/>
        </w:rPr>
        <w:tab/>
      </w:r>
      <w:r w:rsidRPr="00697854">
        <w:rPr>
          <w:spacing w:val="-3"/>
        </w:rPr>
        <w:tab/>
        <w:t>C-20</w:t>
      </w:r>
      <w:r>
        <w:rPr>
          <w:spacing w:val="-3"/>
        </w:rPr>
        <w:t>11</w:t>
      </w:r>
      <w:r w:rsidRPr="00697854">
        <w:rPr>
          <w:spacing w:val="-3"/>
        </w:rPr>
        <w:t>-</w:t>
      </w:r>
      <w:r>
        <w:rPr>
          <w:spacing w:val="-3"/>
        </w:rPr>
        <w:t>2243146</w:t>
      </w:r>
    </w:p>
    <w:p w:rsidR="00DE3E05" w:rsidRPr="00697854" w:rsidRDefault="00DE3E05" w:rsidP="00DE3E05">
      <w:pPr>
        <w:tabs>
          <w:tab w:val="left" w:pos="-720"/>
        </w:tabs>
        <w:suppressAutoHyphens/>
        <w:spacing w:line="240" w:lineRule="auto"/>
        <w:rPr>
          <w:spacing w:val="-3"/>
        </w:rPr>
      </w:pPr>
      <w:r w:rsidRPr="00697854">
        <w:rPr>
          <w:spacing w:val="-3"/>
        </w:rPr>
        <w:tab/>
      </w:r>
      <w:r w:rsidRPr="00697854">
        <w:rPr>
          <w:spacing w:val="-3"/>
        </w:rPr>
        <w:tab/>
      </w:r>
      <w:r w:rsidRPr="00697854">
        <w:rPr>
          <w:spacing w:val="-3"/>
        </w:rPr>
        <w:tab/>
      </w:r>
      <w:r w:rsidRPr="00697854">
        <w:rPr>
          <w:spacing w:val="-3"/>
        </w:rPr>
        <w:tab/>
      </w:r>
      <w:r w:rsidRPr="00697854">
        <w:rPr>
          <w:spacing w:val="-3"/>
        </w:rPr>
        <w:tab/>
      </w:r>
      <w:r w:rsidRPr="00697854">
        <w:rPr>
          <w:spacing w:val="-3"/>
        </w:rPr>
        <w:tab/>
        <w:t>:</w:t>
      </w:r>
    </w:p>
    <w:p w:rsidR="00DE3E05" w:rsidRPr="00697854" w:rsidRDefault="00DE3E05" w:rsidP="00DE3E05">
      <w:pPr>
        <w:tabs>
          <w:tab w:val="left" w:pos="-720"/>
        </w:tabs>
        <w:suppressAutoHyphens/>
        <w:spacing w:line="240" w:lineRule="auto"/>
        <w:rPr>
          <w:spacing w:val="-3"/>
        </w:rPr>
      </w:pPr>
      <w:r w:rsidRPr="00697854">
        <w:rPr>
          <w:spacing w:val="-3"/>
        </w:rPr>
        <w:t>Office of Consumer Advocate</w:t>
      </w:r>
      <w:r w:rsidRPr="00697854">
        <w:rPr>
          <w:spacing w:val="-3"/>
        </w:rPr>
        <w:tab/>
      </w:r>
      <w:r w:rsidRPr="00697854">
        <w:rPr>
          <w:spacing w:val="-3"/>
        </w:rPr>
        <w:tab/>
      </w:r>
      <w:r w:rsidRPr="00697854">
        <w:rPr>
          <w:spacing w:val="-3"/>
        </w:rPr>
        <w:tab/>
        <w:t>:</w:t>
      </w:r>
      <w:r w:rsidRPr="00697854">
        <w:rPr>
          <w:spacing w:val="-3"/>
        </w:rPr>
        <w:tab/>
      </w:r>
      <w:r w:rsidRPr="00697854">
        <w:rPr>
          <w:spacing w:val="-3"/>
        </w:rPr>
        <w:tab/>
        <w:t>C-20</w:t>
      </w:r>
      <w:r>
        <w:rPr>
          <w:spacing w:val="-3"/>
        </w:rPr>
        <w:t>11-2243242</w:t>
      </w:r>
    </w:p>
    <w:p w:rsidR="00DE3E05" w:rsidRPr="00697854" w:rsidRDefault="00DE3E05" w:rsidP="00DE3E05">
      <w:pPr>
        <w:tabs>
          <w:tab w:val="left" w:pos="-720"/>
        </w:tabs>
        <w:suppressAutoHyphens/>
        <w:spacing w:line="240" w:lineRule="auto"/>
        <w:rPr>
          <w:spacing w:val="-3"/>
        </w:rPr>
      </w:pPr>
      <w:r w:rsidRPr="00697854">
        <w:rPr>
          <w:spacing w:val="-3"/>
        </w:rPr>
        <w:tab/>
      </w:r>
      <w:r w:rsidRPr="00697854">
        <w:rPr>
          <w:spacing w:val="-3"/>
        </w:rPr>
        <w:tab/>
      </w:r>
      <w:r w:rsidRPr="00697854">
        <w:rPr>
          <w:spacing w:val="-3"/>
        </w:rPr>
        <w:tab/>
      </w:r>
      <w:r w:rsidRPr="00697854">
        <w:rPr>
          <w:spacing w:val="-3"/>
        </w:rPr>
        <w:tab/>
      </w:r>
      <w:r w:rsidRPr="00697854">
        <w:rPr>
          <w:spacing w:val="-3"/>
        </w:rPr>
        <w:tab/>
      </w:r>
      <w:r w:rsidRPr="00697854">
        <w:rPr>
          <w:spacing w:val="-3"/>
        </w:rPr>
        <w:tab/>
        <w:t>:</w:t>
      </w:r>
    </w:p>
    <w:p w:rsidR="00DE3E05" w:rsidRPr="00697854" w:rsidRDefault="00DE3E05" w:rsidP="00DE3E05">
      <w:pPr>
        <w:tabs>
          <w:tab w:val="left" w:pos="-720"/>
        </w:tabs>
        <w:suppressAutoHyphens/>
        <w:spacing w:line="240" w:lineRule="auto"/>
        <w:rPr>
          <w:spacing w:val="-3"/>
        </w:rPr>
      </w:pPr>
      <w:r w:rsidRPr="00697854">
        <w:rPr>
          <w:spacing w:val="-3"/>
        </w:rPr>
        <w:tab/>
        <w:t>v.</w:t>
      </w:r>
      <w:r w:rsidRPr="00697854">
        <w:rPr>
          <w:spacing w:val="-3"/>
        </w:rPr>
        <w:tab/>
      </w:r>
      <w:r w:rsidRPr="00697854">
        <w:rPr>
          <w:spacing w:val="-3"/>
        </w:rPr>
        <w:tab/>
      </w:r>
      <w:r w:rsidRPr="00697854">
        <w:rPr>
          <w:spacing w:val="-3"/>
        </w:rPr>
        <w:tab/>
      </w:r>
      <w:r w:rsidRPr="00697854">
        <w:rPr>
          <w:spacing w:val="-3"/>
        </w:rPr>
        <w:tab/>
      </w:r>
      <w:r w:rsidRPr="00697854">
        <w:rPr>
          <w:spacing w:val="-3"/>
        </w:rPr>
        <w:tab/>
        <w:t>:</w:t>
      </w:r>
      <w:r w:rsidRPr="00697854">
        <w:rPr>
          <w:spacing w:val="-3"/>
        </w:rPr>
        <w:tab/>
      </w:r>
      <w:r w:rsidRPr="00697854">
        <w:rPr>
          <w:spacing w:val="-3"/>
        </w:rPr>
        <w:tab/>
      </w:r>
    </w:p>
    <w:p w:rsidR="00DE3E05" w:rsidRPr="00697854" w:rsidRDefault="00DE3E05" w:rsidP="00DE3E05">
      <w:pPr>
        <w:tabs>
          <w:tab w:val="left" w:pos="-720"/>
        </w:tabs>
        <w:suppressAutoHyphens/>
        <w:spacing w:line="240" w:lineRule="auto"/>
        <w:rPr>
          <w:spacing w:val="-3"/>
        </w:rPr>
      </w:pPr>
      <w:r w:rsidRPr="00697854">
        <w:rPr>
          <w:spacing w:val="-3"/>
        </w:rPr>
        <w:tab/>
      </w:r>
      <w:r w:rsidRPr="00697854">
        <w:rPr>
          <w:spacing w:val="-3"/>
        </w:rPr>
        <w:tab/>
      </w:r>
      <w:r w:rsidRPr="00697854">
        <w:rPr>
          <w:spacing w:val="-3"/>
        </w:rPr>
        <w:tab/>
      </w:r>
      <w:r w:rsidRPr="00697854">
        <w:rPr>
          <w:spacing w:val="-3"/>
        </w:rPr>
        <w:tab/>
      </w:r>
      <w:r w:rsidRPr="00697854">
        <w:rPr>
          <w:spacing w:val="-3"/>
        </w:rPr>
        <w:tab/>
      </w:r>
      <w:r w:rsidRPr="00697854">
        <w:rPr>
          <w:spacing w:val="-3"/>
        </w:rPr>
        <w:tab/>
        <w:t>:</w:t>
      </w:r>
    </w:p>
    <w:p w:rsidR="00DE3E05" w:rsidRPr="00697854" w:rsidRDefault="00DE3E05" w:rsidP="00DE3E05">
      <w:pPr>
        <w:tabs>
          <w:tab w:val="left" w:pos="-720"/>
        </w:tabs>
        <w:suppressAutoHyphens/>
        <w:spacing w:line="240" w:lineRule="auto"/>
        <w:rPr>
          <w:spacing w:val="-3"/>
        </w:rPr>
      </w:pPr>
      <w:r w:rsidRPr="00697854">
        <w:rPr>
          <w:spacing w:val="-3"/>
        </w:rPr>
        <w:t>United Water Pennsylvania, Inc.</w:t>
      </w:r>
      <w:r w:rsidRPr="00697854">
        <w:rPr>
          <w:spacing w:val="-3"/>
        </w:rPr>
        <w:tab/>
      </w:r>
      <w:r w:rsidRPr="00697854">
        <w:rPr>
          <w:spacing w:val="-3"/>
        </w:rPr>
        <w:tab/>
        <w:t>:</w:t>
      </w:r>
    </w:p>
    <w:p w:rsidR="000A15DB" w:rsidRDefault="000A15DB" w:rsidP="00FF50F4">
      <w:pPr>
        <w:tabs>
          <w:tab w:val="left" w:pos="0"/>
        </w:tabs>
        <w:spacing w:line="233" w:lineRule="auto"/>
        <w:jc w:val="both"/>
      </w:pPr>
    </w:p>
    <w:p w:rsidR="00A566DD" w:rsidRDefault="00A566DD" w:rsidP="00FF50F4">
      <w:pPr>
        <w:tabs>
          <w:tab w:val="left" w:pos="0"/>
        </w:tabs>
        <w:spacing w:line="233" w:lineRule="auto"/>
        <w:jc w:val="both"/>
      </w:pPr>
    </w:p>
    <w:p w:rsidR="00E85D64" w:rsidRDefault="00E85D64"/>
    <w:p w:rsidR="005D703B" w:rsidRDefault="005D703B" w:rsidP="00540E48">
      <w:pPr>
        <w:spacing w:line="240" w:lineRule="auto"/>
        <w:jc w:val="center"/>
        <w:rPr>
          <w:b/>
          <w:u w:val="single"/>
        </w:rPr>
      </w:pPr>
    </w:p>
    <w:p w:rsidR="00927ED9" w:rsidRDefault="00622E30" w:rsidP="00540E48">
      <w:pPr>
        <w:spacing w:line="240" w:lineRule="auto"/>
        <w:jc w:val="center"/>
        <w:rPr>
          <w:b/>
          <w:u w:val="single"/>
        </w:rPr>
      </w:pPr>
      <w:r>
        <w:rPr>
          <w:b/>
          <w:u w:val="single"/>
        </w:rPr>
        <w:t>RECOMMENDED</w:t>
      </w:r>
      <w:r w:rsidR="003763E0">
        <w:rPr>
          <w:b/>
          <w:u w:val="single"/>
        </w:rPr>
        <w:t xml:space="preserve"> DECISION</w:t>
      </w:r>
    </w:p>
    <w:p w:rsidR="00540E48" w:rsidRPr="003F3C6F" w:rsidRDefault="00540E48" w:rsidP="00540E48">
      <w:pPr>
        <w:spacing w:line="240" w:lineRule="auto"/>
        <w:jc w:val="center"/>
        <w:rPr>
          <w:b/>
          <w:u w:val="single"/>
        </w:rPr>
      </w:pPr>
    </w:p>
    <w:p w:rsidR="000A15DB" w:rsidRDefault="000A15DB" w:rsidP="003763E0">
      <w:pPr>
        <w:spacing w:line="240" w:lineRule="auto"/>
        <w:jc w:val="center"/>
      </w:pPr>
    </w:p>
    <w:p w:rsidR="000A15DB" w:rsidRDefault="000A15DB" w:rsidP="003763E0">
      <w:pPr>
        <w:spacing w:line="240" w:lineRule="auto"/>
        <w:jc w:val="center"/>
      </w:pPr>
    </w:p>
    <w:p w:rsidR="005D703B" w:rsidRDefault="005D703B" w:rsidP="003763E0">
      <w:pPr>
        <w:spacing w:line="240" w:lineRule="auto"/>
        <w:jc w:val="center"/>
      </w:pPr>
    </w:p>
    <w:p w:rsidR="00E85D64" w:rsidRPr="003763E0" w:rsidRDefault="003763E0" w:rsidP="003763E0">
      <w:pPr>
        <w:spacing w:line="240" w:lineRule="auto"/>
        <w:jc w:val="center"/>
      </w:pPr>
      <w:r w:rsidRPr="003763E0">
        <w:t>Before</w:t>
      </w:r>
    </w:p>
    <w:p w:rsidR="003763E0" w:rsidRPr="003763E0" w:rsidRDefault="0014082B" w:rsidP="003763E0">
      <w:pPr>
        <w:spacing w:line="240" w:lineRule="auto"/>
        <w:jc w:val="center"/>
      </w:pPr>
      <w:r>
        <w:t>David A. Salapa</w:t>
      </w:r>
    </w:p>
    <w:p w:rsidR="00DF68B2" w:rsidRDefault="00DF68B2" w:rsidP="00DF68B2">
      <w:pPr>
        <w:spacing w:line="240" w:lineRule="auto"/>
        <w:contextualSpacing/>
        <w:jc w:val="center"/>
      </w:pPr>
      <w:r w:rsidRPr="0063357B">
        <w:t>Administrative Law Judge</w:t>
      </w:r>
    </w:p>
    <w:p w:rsidR="0014082B" w:rsidRDefault="0014082B" w:rsidP="00DF68B2">
      <w:pPr>
        <w:spacing w:line="240" w:lineRule="auto"/>
        <w:contextualSpacing/>
        <w:jc w:val="center"/>
      </w:pPr>
    </w:p>
    <w:p w:rsidR="0014082B" w:rsidRPr="003763E0" w:rsidRDefault="0014082B" w:rsidP="0014082B">
      <w:pPr>
        <w:spacing w:line="240" w:lineRule="auto"/>
        <w:jc w:val="center"/>
      </w:pPr>
      <w:r w:rsidRPr="003763E0">
        <w:t>Mary D. Long</w:t>
      </w:r>
    </w:p>
    <w:p w:rsidR="0014082B" w:rsidRDefault="0014082B" w:rsidP="0014082B">
      <w:pPr>
        <w:spacing w:line="240" w:lineRule="auto"/>
        <w:contextualSpacing/>
        <w:jc w:val="center"/>
      </w:pPr>
      <w:r w:rsidRPr="0063357B">
        <w:t>Administrative Law Judge</w:t>
      </w:r>
    </w:p>
    <w:p w:rsidR="0014082B" w:rsidRDefault="0014082B" w:rsidP="00DF68B2">
      <w:pPr>
        <w:spacing w:line="240" w:lineRule="auto"/>
        <w:contextualSpacing/>
        <w:jc w:val="center"/>
      </w:pPr>
    </w:p>
    <w:p w:rsidR="00DF68B2" w:rsidRDefault="00DF68B2" w:rsidP="00DF68B2">
      <w:pPr>
        <w:spacing w:line="240" w:lineRule="auto"/>
        <w:contextualSpacing/>
        <w:jc w:val="center"/>
        <w:sectPr w:rsidR="00DF68B2" w:rsidSect="00D7482E">
          <w:footerReference w:type="default" r:id="rId8"/>
          <w:pgSz w:w="12240" w:h="15840"/>
          <w:pgMar w:top="1440" w:right="1440" w:bottom="1440" w:left="1440" w:header="720" w:footer="720" w:gutter="0"/>
          <w:cols w:space="720"/>
          <w:titlePg/>
          <w:docGrid w:linePitch="360"/>
        </w:sectPr>
      </w:pPr>
    </w:p>
    <w:p w:rsidR="00DF68B2" w:rsidRPr="009C0B03" w:rsidRDefault="00DF68B2" w:rsidP="00DF68B2">
      <w:pPr>
        <w:tabs>
          <w:tab w:val="left" w:pos="720"/>
          <w:tab w:val="left" w:pos="1440"/>
          <w:tab w:val="left" w:pos="2160"/>
          <w:tab w:val="center" w:pos="4680"/>
        </w:tabs>
        <w:jc w:val="center"/>
        <w:rPr>
          <w:b/>
          <w:szCs w:val="24"/>
          <w:u w:val="single"/>
        </w:rPr>
      </w:pPr>
      <w:r w:rsidRPr="009C0B03">
        <w:rPr>
          <w:b/>
          <w:szCs w:val="24"/>
          <w:u w:val="single"/>
        </w:rPr>
        <w:lastRenderedPageBreak/>
        <w:t>TABLE OF CONTENTS</w:t>
      </w:r>
    </w:p>
    <w:p w:rsidR="00DF68B2" w:rsidRPr="009C0B03" w:rsidRDefault="00DF68B2" w:rsidP="00DF68B2">
      <w:pPr>
        <w:tabs>
          <w:tab w:val="left" w:pos="720"/>
          <w:tab w:val="left" w:pos="1440"/>
          <w:tab w:val="left" w:pos="2160"/>
        </w:tabs>
        <w:rPr>
          <w:szCs w:val="24"/>
        </w:rPr>
      </w:pPr>
    </w:p>
    <w:p w:rsidR="00DF68B2" w:rsidRPr="009C0B03" w:rsidRDefault="00DF68B2" w:rsidP="00DF68B2">
      <w:pPr>
        <w:tabs>
          <w:tab w:val="left" w:pos="720"/>
          <w:tab w:val="left" w:pos="1440"/>
          <w:tab w:val="left" w:pos="2160"/>
          <w:tab w:val="right" w:leader="dot" w:pos="9360"/>
        </w:tabs>
        <w:rPr>
          <w:szCs w:val="24"/>
        </w:rPr>
      </w:pPr>
      <w:r>
        <w:rPr>
          <w:szCs w:val="24"/>
        </w:rPr>
        <w:t>I.</w:t>
      </w:r>
      <w:r w:rsidRPr="009C0B03">
        <w:rPr>
          <w:szCs w:val="24"/>
        </w:rPr>
        <w:tab/>
      </w:r>
      <w:r w:rsidRPr="003607F2">
        <w:rPr>
          <w:caps/>
          <w:szCs w:val="24"/>
        </w:rPr>
        <w:t>History of the Proceeding</w:t>
      </w:r>
      <w:r w:rsidRPr="009C0B03">
        <w:rPr>
          <w:szCs w:val="24"/>
        </w:rPr>
        <w:tab/>
        <w:t>1</w:t>
      </w:r>
    </w:p>
    <w:p w:rsidR="00DF68B2" w:rsidRPr="009C0B03" w:rsidRDefault="00DF68B2" w:rsidP="00DF68B2">
      <w:pPr>
        <w:tabs>
          <w:tab w:val="left" w:pos="720"/>
          <w:tab w:val="left" w:pos="1440"/>
          <w:tab w:val="left" w:pos="2160"/>
          <w:tab w:val="right" w:leader="dot" w:pos="9360"/>
        </w:tabs>
        <w:rPr>
          <w:szCs w:val="24"/>
        </w:rPr>
      </w:pPr>
      <w:r w:rsidRPr="009C0B03">
        <w:rPr>
          <w:szCs w:val="24"/>
        </w:rPr>
        <w:t>I</w:t>
      </w:r>
      <w:r>
        <w:rPr>
          <w:szCs w:val="24"/>
        </w:rPr>
        <w:t>I</w:t>
      </w:r>
      <w:r w:rsidRPr="009C0B03">
        <w:rPr>
          <w:szCs w:val="24"/>
        </w:rPr>
        <w:t>.</w:t>
      </w:r>
      <w:r w:rsidRPr="009C0B03">
        <w:rPr>
          <w:szCs w:val="24"/>
        </w:rPr>
        <w:tab/>
      </w:r>
      <w:r w:rsidR="009F0EC0">
        <w:rPr>
          <w:szCs w:val="24"/>
        </w:rPr>
        <w:t>DISCUSSION</w:t>
      </w:r>
      <w:r w:rsidR="009F0EC0">
        <w:rPr>
          <w:szCs w:val="24"/>
        </w:rPr>
        <w:tab/>
      </w:r>
      <w:r>
        <w:rPr>
          <w:szCs w:val="24"/>
        </w:rPr>
        <w:tab/>
      </w:r>
      <w:r w:rsidR="00AD1F42">
        <w:rPr>
          <w:szCs w:val="24"/>
        </w:rPr>
        <w:t>2</w:t>
      </w:r>
    </w:p>
    <w:p w:rsidR="00DF68B2" w:rsidRDefault="00DF68B2" w:rsidP="00DF68B2">
      <w:pPr>
        <w:tabs>
          <w:tab w:val="left" w:pos="720"/>
          <w:tab w:val="left" w:pos="1440"/>
          <w:tab w:val="right" w:leader="dot" w:pos="9360"/>
        </w:tabs>
        <w:rPr>
          <w:szCs w:val="24"/>
        </w:rPr>
      </w:pPr>
      <w:r w:rsidRPr="009C0B03">
        <w:rPr>
          <w:szCs w:val="24"/>
        </w:rPr>
        <w:tab/>
        <w:t>A.</w:t>
      </w:r>
      <w:r w:rsidRPr="009C0B03">
        <w:rPr>
          <w:szCs w:val="24"/>
        </w:rPr>
        <w:tab/>
      </w:r>
      <w:r w:rsidR="00705F68">
        <w:rPr>
          <w:szCs w:val="24"/>
        </w:rPr>
        <w:t>Legal Standards</w:t>
      </w:r>
      <w:r w:rsidR="000A15DB">
        <w:rPr>
          <w:szCs w:val="24"/>
        </w:rPr>
        <w:t xml:space="preserve"> </w:t>
      </w:r>
      <w:r w:rsidRPr="009C0B03">
        <w:rPr>
          <w:szCs w:val="24"/>
        </w:rPr>
        <w:tab/>
      </w:r>
      <w:r w:rsidR="00AD1F42">
        <w:rPr>
          <w:szCs w:val="24"/>
        </w:rPr>
        <w:t>2</w:t>
      </w:r>
    </w:p>
    <w:p w:rsidR="00DF68B2" w:rsidRDefault="00DF68B2" w:rsidP="00DF68B2">
      <w:pPr>
        <w:tabs>
          <w:tab w:val="left" w:pos="720"/>
          <w:tab w:val="left" w:pos="1440"/>
          <w:tab w:val="left" w:pos="2160"/>
          <w:tab w:val="right" w:leader="dot" w:pos="9360"/>
        </w:tabs>
        <w:rPr>
          <w:szCs w:val="24"/>
        </w:rPr>
      </w:pPr>
      <w:r>
        <w:rPr>
          <w:szCs w:val="24"/>
        </w:rPr>
        <w:tab/>
      </w:r>
      <w:r w:rsidRPr="009C0B03">
        <w:rPr>
          <w:szCs w:val="24"/>
        </w:rPr>
        <w:t>B.</w:t>
      </w:r>
      <w:r w:rsidRPr="009C0B03">
        <w:rPr>
          <w:szCs w:val="24"/>
        </w:rPr>
        <w:tab/>
      </w:r>
      <w:r w:rsidR="00705F68">
        <w:rPr>
          <w:szCs w:val="24"/>
        </w:rPr>
        <w:t>Terms of the Settlement</w:t>
      </w:r>
      <w:r w:rsidRPr="009C0B03">
        <w:rPr>
          <w:szCs w:val="24"/>
        </w:rPr>
        <w:tab/>
      </w:r>
      <w:r w:rsidR="00AD1F42">
        <w:rPr>
          <w:szCs w:val="24"/>
        </w:rPr>
        <w:t>5</w:t>
      </w:r>
    </w:p>
    <w:p w:rsidR="00DF68B2" w:rsidRDefault="00DF68B2" w:rsidP="00DF68B2">
      <w:pPr>
        <w:tabs>
          <w:tab w:val="left" w:pos="720"/>
          <w:tab w:val="left" w:pos="1440"/>
          <w:tab w:val="left" w:pos="2160"/>
          <w:tab w:val="right" w:leader="dot" w:pos="9360"/>
        </w:tabs>
        <w:rPr>
          <w:szCs w:val="24"/>
        </w:rPr>
      </w:pPr>
      <w:r>
        <w:rPr>
          <w:szCs w:val="24"/>
        </w:rPr>
        <w:tab/>
        <w:t>C.</w:t>
      </w:r>
      <w:r>
        <w:rPr>
          <w:szCs w:val="24"/>
        </w:rPr>
        <w:tab/>
      </w:r>
      <w:r w:rsidR="00705F68">
        <w:rPr>
          <w:szCs w:val="24"/>
        </w:rPr>
        <w:t>Position</w:t>
      </w:r>
      <w:r w:rsidR="009F0EC0">
        <w:rPr>
          <w:szCs w:val="24"/>
        </w:rPr>
        <w:t>s</w:t>
      </w:r>
      <w:r w:rsidR="00705F68">
        <w:rPr>
          <w:szCs w:val="24"/>
        </w:rPr>
        <w:t xml:space="preserve"> of the Parties</w:t>
      </w:r>
      <w:r>
        <w:rPr>
          <w:szCs w:val="24"/>
        </w:rPr>
        <w:tab/>
      </w:r>
      <w:r w:rsidR="00AD1F42">
        <w:rPr>
          <w:szCs w:val="24"/>
        </w:rPr>
        <w:t>8</w:t>
      </w:r>
    </w:p>
    <w:p w:rsidR="00DF68B2" w:rsidRDefault="00376808" w:rsidP="00DF68B2">
      <w:pPr>
        <w:tabs>
          <w:tab w:val="left" w:pos="720"/>
          <w:tab w:val="left" w:pos="1440"/>
          <w:tab w:val="left" w:pos="2160"/>
          <w:tab w:val="right" w:leader="dot" w:pos="9360"/>
        </w:tabs>
        <w:rPr>
          <w:szCs w:val="24"/>
        </w:rPr>
      </w:pPr>
      <w:r>
        <w:rPr>
          <w:szCs w:val="24"/>
        </w:rPr>
        <w:tab/>
      </w:r>
      <w:r w:rsidR="00DF68B2">
        <w:rPr>
          <w:szCs w:val="24"/>
        </w:rPr>
        <w:tab/>
        <w:t>1.</w:t>
      </w:r>
      <w:r w:rsidR="00DF68B2">
        <w:rPr>
          <w:szCs w:val="24"/>
        </w:rPr>
        <w:tab/>
      </w:r>
      <w:r w:rsidR="00705F68">
        <w:rPr>
          <w:szCs w:val="24"/>
        </w:rPr>
        <w:t>United’s Position</w:t>
      </w:r>
      <w:r w:rsidR="00DF68B2">
        <w:rPr>
          <w:szCs w:val="24"/>
        </w:rPr>
        <w:tab/>
      </w:r>
      <w:r w:rsidR="00AD1F42">
        <w:rPr>
          <w:szCs w:val="24"/>
        </w:rPr>
        <w:t>8</w:t>
      </w:r>
    </w:p>
    <w:p w:rsidR="009D5393" w:rsidRDefault="009D5393" w:rsidP="009D5393">
      <w:pPr>
        <w:tabs>
          <w:tab w:val="left" w:pos="720"/>
          <w:tab w:val="left" w:pos="1440"/>
          <w:tab w:val="left" w:pos="2160"/>
          <w:tab w:val="left" w:pos="2880"/>
          <w:tab w:val="right" w:leader="dot" w:pos="9360"/>
        </w:tabs>
        <w:rPr>
          <w:szCs w:val="24"/>
        </w:rPr>
      </w:pPr>
      <w:r>
        <w:rPr>
          <w:szCs w:val="24"/>
        </w:rPr>
        <w:tab/>
      </w:r>
      <w:r>
        <w:rPr>
          <w:szCs w:val="24"/>
        </w:rPr>
        <w:tab/>
      </w:r>
      <w:r>
        <w:rPr>
          <w:szCs w:val="24"/>
        </w:rPr>
        <w:tab/>
        <w:t>a.</w:t>
      </w:r>
      <w:r>
        <w:rPr>
          <w:szCs w:val="24"/>
        </w:rPr>
        <w:tab/>
        <w:t>Revenue Requirement</w:t>
      </w:r>
      <w:r>
        <w:rPr>
          <w:szCs w:val="24"/>
        </w:rPr>
        <w:tab/>
      </w:r>
      <w:r w:rsidR="00AD1F42">
        <w:rPr>
          <w:szCs w:val="24"/>
        </w:rPr>
        <w:t>8</w:t>
      </w:r>
    </w:p>
    <w:p w:rsidR="009D5393" w:rsidRDefault="009D5393" w:rsidP="009D5393">
      <w:pPr>
        <w:tabs>
          <w:tab w:val="left" w:pos="720"/>
          <w:tab w:val="left" w:pos="1440"/>
          <w:tab w:val="left" w:pos="2160"/>
          <w:tab w:val="left" w:pos="2880"/>
          <w:tab w:val="right" w:leader="dot" w:pos="9360"/>
        </w:tabs>
        <w:rPr>
          <w:szCs w:val="24"/>
        </w:rPr>
      </w:pPr>
      <w:r>
        <w:rPr>
          <w:szCs w:val="24"/>
        </w:rPr>
        <w:tab/>
      </w:r>
      <w:r>
        <w:rPr>
          <w:szCs w:val="24"/>
        </w:rPr>
        <w:tab/>
      </w:r>
      <w:r>
        <w:rPr>
          <w:szCs w:val="24"/>
        </w:rPr>
        <w:tab/>
        <w:t>b.</w:t>
      </w:r>
      <w:r>
        <w:rPr>
          <w:szCs w:val="24"/>
        </w:rPr>
        <w:tab/>
        <w:t>Class Revenue Requirements and Rate Design</w:t>
      </w:r>
      <w:r>
        <w:rPr>
          <w:szCs w:val="24"/>
        </w:rPr>
        <w:tab/>
      </w:r>
      <w:r w:rsidR="00AD1F42">
        <w:rPr>
          <w:szCs w:val="24"/>
        </w:rPr>
        <w:t>10</w:t>
      </w:r>
    </w:p>
    <w:p w:rsidR="009D5393" w:rsidRDefault="009D5393" w:rsidP="009D5393">
      <w:pPr>
        <w:tabs>
          <w:tab w:val="left" w:pos="720"/>
          <w:tab w:val="left" w:pos="1440"/>
          <w:tab w:val="left" w:pos="2160"/>
          <w:tab w:val="left" w:pos="2880"/>
          <w:tab w:val="right" w:leader="dot" w:pos="9360"/>
        </w:tabs>
        <w:rPr>
          <w:szCs w:val="24"/>
        </w:rPr>
      </w:pPr>
      <w:r>
        <w:rPr>
          <w:szCs w:val="24"/>
        </w:rPr>
        <w:tab/>
      </w:r>
      <w:r>
        <w:rPr>
          <w:szCs w:val="24"/>
        </w:rPr>
        <w:tab/>
      </w:r>
      <w:r>
        <w:rPr>
          <w:szCs w:val="24"/>
        </w:rPr>
        <w:tab/>
        <w:t>c.</w:t>
      </w:r>
      <w:r>
        <w:rPr>
          <w:szCs w:val="24"/>
        </w:rPr>
        <w:tab/>
        <w:t>Amortization and Depreciation</w:t>
      </w:r>
      <w:r>
        <w:rPr>
          <w:szCs w:val="24"/>
        </w:rPr>
        <w:tab/>
      </w:r>
      <w:r w:rsidR="00AD1F42">
        <w:rPr>
          <w:szCs w:val="24"/>
        </w:rPr>
        <w:t>12</w:t>
      </w:r>
    </w:p>
    <w:p w:rsidR="009D5393" w:rsidRDefault="009D5393" w:rsidP="009D5393">
      <w:pPr>
        <w:tabs>
          <w:tab w:val="left" w:pos="720"/>
          <w:tab w:val="left" w:pos="1440"/>
          <w:tab w:val="left" w:pos="2160"/>
          <w:tab w:val="left" w:pos="2880"/>
          <w:tab w:val="right" w:leader="dot" w:pos="9360"/>
        </w:tabs>
        <w:rPr>
          <w:szCs w:val="24"/>
        </w:rPr>
      </w:pPr>
      <w:r>
        <w:rPr>
          <w:szCs w:val="24"/>
        </w:rPr>
        <w:tab/>
      </w:r>
      <w:r>
        <w:rPr>
          <w:szCs w:val="24"/>
        </w:rPr>
        <w:tab/>
      </w:r>
      <w:r>
        <w:rPr>
          <w:szCs w:val="24"/>
        </w:rPr>
        <w:tab/>
        <w:t>d.</w:t>
      </w:r>
      <w:r>
        <w:rPr>
          <w:szCs w:val="24"/>
        </w:rPr>
        <w:tab/>
        <w:t>Unaccounted for Water</w:t>
      </w:r>
      <w:r>
        <w:rPr>
          <w:szCs w:val="24"/>
        </w:rPr>
        <w:tab/>
      </w:r>
      <w:r w:rsidR="00AD1F42">
        <w:rPr>
          <w:szCs w:val="24"/>
        </w:rPr>
        <w:t>12</w:t>
      </w:r>
    </w:p>
    <w:p w:rsidR="009D5393" w:rsidRDefault="009D5393" w:rsidP="009D5393">
      <w:pPr>
        <w:tabs>
          <w:tab w:val="left" w:pos="720"/>
          <w:tab w:val="left" w:pos="1440"/>
          <w:tab w:val="left" w:pos="2160"/>
          <w:tab w:val="left" w:pos="2880"/>
          <w:tab w:val="right" w:leader="dot" w:pos="9360"/>
        </w:tabs>
        <w:rPr>
          <w:szCs w:val="24"/>
        </w:rPr>
      </w:pPr>
      <w:r>
        <w:rPr>
          <w:szCs w:val="24"/>
        </w:rPr>
        <w:tab/>
      </w:r>
      <w:r>
        <w:rPr>
          <w:szCs w:val="24"/>
        </w:rPr>
        <w:tab/>
        <w:t>2.</w:t>
      </w:r>
      <w:r>
        <w:rPr>
          <w:szCs w:val="24"/>
        </w:rPr>
        <w:tab/>
        <w:t>BI&amp;E’s Position</w:t>
      </w:r>
      <w:r>
        <w:rPr>
          <w:szCs w:val="24"/>
        </w:rPr>
        <w:tab/>
      </w:r>
      <w:r w:rsidR="00AD1F42">
        <w:rPr>
          <w:szCs w:val="24"/>
        </w:rPr>
        <w:t>14</w:t>
      </w:r>
    </w:p>
    <w:p w:rsidR="009D5393" w:rsidRDefault="009D5393" w:rsidP="009D5393">
      <w:pPr>
        <w:tabs>
          <w:tab w:val="left" w:pos="720"/>
          <w:tab w:val="left" w:pos="1440"/>
          <w:tab w:val="left" w:pos="2160"/>
          <w:tab w:val="left" w:pos="2880"/>
          <w:tab w:val="right" w:leader="dot" w:pos="9360"/>
        </w:tabs>
        <w:rPr>
          <w:szCs w:val="24"/>
        </w:rPr>
      </w:pPr>
      <w:r>
        <w:rPr>
          <w:szCs w:val="24"/>
        </w:rPr>
        <w:tab/>
      </w:r>
      <w:r>
        <w:rPr>
          <w:szCs w:val="24"/>
        </w:rPr>
        <w:tab/>
        <w:t>3.</w:t>
      </w:r>
      <w:r>
        <w:rPr>
          <w:szCs w:val="24"/>
        </w:rPr>
        <w:tab/>
        <w:t>OCA’s Position</w:t>
      </w:r>
      <w:r>
        <w:rPr>
          <w:szCs w:val="24"/>
        </w:rPr>
        <w:tab/>
      </w:r>
      <w:r w:rsidR="00AD1F42">
        <w:rPr>
          <w:szCs w:val="24"/>
        </w:rPr>
        <w:t>15</w:t>
      </w:r>
    </w:p>
    <w:p w:rsidR="009D5393" w:rsidRDefault="009D5393" w:rsidP="009D5393">
      <w:pPr>
        <w:tabs>
          <w:tab w:val="left" w:pos="720"/>
          <w:tab w:val="left" w:pos="1440"/>
          <w:tab w:val="left" w:pos="2160"/>
          <w:tab w:val="left" w:pos="2880"/>
          <w:tab w:val="right" w:leader="dot" w:pos="9360"/>
        </w:tabs>
        <w:rPr>
          <w:szCs w:val="24"/>
        </w:rPr>
      </w:pPr>
      <w:r>
        <w:rPr>
          <w:szCs w:val="24"/>
        </w:rPr>
        <w:tab/>
      </w:r>
      <w:r>
        <w:rPr>
          <w:szCs w:val="24"/>
        </w:rPr>
        <w:tab/>
      </w:r>
      <w:r>
        <w:rPr>
          <w:szCs w:val="24"/>
        </w:rPr>
        <w:tab/>
        <w:t>a.</w:t>
      </w:r>
      <w:r>
        <w:rPr>
          <w:szCs w:val="24"/>
        </w:rPr>
        <w:tab/>
        <w:t>Revenues</w:t>
      </w:r>
      <w:r>
        <w:rPr>
          <w:szCs w:val="24"/>
        </w:rPr>
        <w:tab/>
      </w:r>
      <w:r w:rsidR="00AD1F42">
        <w:rPr>
          <w:szCs w:val="24"/>
        </w:rPr>
        <w:t>16</w:t>
      </w:r>
    </w:p>
    <w:p w:rsidR="009D5393" w:rsidRDefault="009D5393" w:rsidP="009D5393">
      <w:pPr>
        <w:tabs>
          <w:tab w:val="left" w:pos="720"/>
          <w:tab w:val="left" w:pos="1440"/>
          <w:tab w:val="left" w:pos="2160"/>
          <w:tab w:val="left" w:pos="2880"/>
          <w:tab w:val="right" w:leader="dot" w:pos="9360"/>
        </w:tabs>
        <w:rPr>
          <w:szCs w:val="24"/>
        </w:rPr>
      </w:pPr>
      <w:r>
        <w:rPr>
          <w:szCs w:val="24"/>
        </w:rPr>
        <w:tab/>
      </w:r>
      <w:r>
        <w:rPr>
          <w:szCs w:val="24"/>
        </w:rPr>
        <w:tab/>
      </w:r>
      <w:r>
        <w:rPr>
          <w:szCs w:val="24"/>
        </w:rPr>
        <w:tab/>
        <w:t>b.</w:t>
      </w:r>
      <w:r>
        <w:rPr>
          <w:szCs w:val="24"/>
        </w:rPr>
        <w:tab/>
        <w:t>Rate Impact, Structure and Design</w:t>
      </w:r>
      <w:r>
        <w:rPr>
          <w:szCs w:val="24"/>
        </w:rPr>
        <w:tab/>
      </w:r>
      <w:r w:rsidR="00AD1F42">
        <w:rPr>
          <w:szCs w:val="24"/>
        </w:rPr>
        <w:t>16</w:t>
      </w:r>
    </w:p>
    <w:p w:rsidR="009D5393" w:rsidRDefault="009D5393" w:rsidP="009D5393">
      <w:pPr>
        <w:tabs>
          <w:tab w:val="left" w:pos="720"/>
          <w:tab w:val="left" w:pos="1440"/>
          <w:tab w:val="left" w:pos="2160"/>
          <w:tab w:val="left" w:pos="2880"/>
          <w:tab w:val="right" w:leader="dot" w:pos="9360"/>
        </w:tabs>
        <w:rPr>
          <w:szCs w:val="24"/>
        </w:rPr>
      </w:pPr>
      <w:r>
        <w:rPr>
          <w:szCs w:val="24"/>
        </w:rPr>
        <w:tab/>
      </w:r>
      <w:r>
        <w:rPr>
          <w:szCs w:val="24"/>
        </w:rPr>
        <w:tab/>
      </w:r>
      <w:r>
        <w:rPr>
          <w:szCs w:val="24"/>
        </w:rPr>
        <w:tab/>
        <w:t>c.</w:t>
      </w:r>
      <w:r>
        <w:rPr>
          <w:szCs w:val="24"/>
        </w:rPr>
        <w:tab/>
        <w:t>Stay-Out Provision</w:t>
      </w:r>
      <w:r>
        <w:rPr>
          <w:szCs w:val="24"/>
        </w:rPr>
        <w:tab/>
      </w:r>
      <w:r w:rsidR="00AD1F42">
        <w:rPr>
          <w:szCs w:val="24"/>
        </w:rPr>
        <w:t>16</w:t>
      </w:r>
    </w:p>
    <w:p w:rsidR="009D5393" w:rsidRDefault="009D5393" w:rsidP="009D5393">
      <w:pPr>
        <w:tabs>
          <w:tab w:val="left" w:pos="720"/>
          <w:tab w:val="left" w:pos="1440"/>
          <w:tab w:val="left" w:pos="2160"/>
          <w:tab w:val="left" w:pos="2880"/>
          <w:tab w:val="right" w:leader="dot" w:pos="9360"/>
        </w:tabs>
        <w:rPr>
          <w:szCs w:val="24"/>
        </w:rPr>
      </w:pPr>
      <w:r>
        <w:rPr>
          <w:szCs w:val="24"/>
        </w:rPr>
        <w:tab/>
      </w:r>
      <w:r>
        <w:rPr>
          <w:szCs w:val="24"/>
        </w:rPr>
        <w:tab/>
        <w:t>4.</w:t>
      </w:r>
      <w:r>
        <w:rPr>
          <w:szCs w:val="24"/>
        </w:rPr>
        <w:tab/>
        <w:t>OSBA’s Position</w:t>
      </w:r>
      <w:r>
        <w:rPr>
          <w:szCs w:val="24"/>
        </w:rPr>
        <w:tab/>
      </w:r>
      <w:r w:rsidR="00AD1F42">
        <w:rPr>
          <w:szCs w:val="24"/>
        </w:rPr>
        <w:t>17</w:t>
      </w:r>
    </w:p>
    <w:p w:rsidR="009D5393" w:rsidRDefault="009D5393" w:rsidP="00AD1F42">
      <w:pPr>
        <w:tabs>
          <w:tab w:val="left" w:pos="720"/>
          <w:tab w:val="left" w:pos="1440"/>
          <w:tab w:val="left" w:pos="2160"/>
          <w:tab w:val="right" w:leader="dot" w:pos="9360"/>
        </w:tabs>
        <w:rPr>
          <w:szCs w:val="24"/>
        </w:rPr>
      </w:pPr>
      <w:r>
        <w:rPr>
          <w:szCs w:val="24"/>
        </w:rPr>
        <w:tab/>
        <w:t>D.</w:t>
      </w:r>
      <w:r>
        <w:rPr>
          <w:szCs w:val="24"/>
        </w:rPr>
        <w:tab/>
        <w:t>Conclusion</w:t>
      </w:r>
      <w:r w:rsidR="00AD1F42">
        <w:rPr>
          <w:szCs w:val="24"/>
        </w:rPr>
        <w:tab/>
        <w:t>18</w:t>
      </w:r>
    </w:p>
    <w:p w:rsidR="00DF68B2" w:rsidRDefault="009D5393" w:rsidP="00DF68B2">
      <w:pPr>
        <w:tabs>
          <w:tab w:val="left" w:pos="720"/>
          <w:tab w:val="left" w:pos="1440"/>
          <w:tab w:val="left" w:pos="2160"/>
          <w:tab w:val="right" w:leader="dot" w:pos="9360"/>
        </w:tabs>
        <w:rPr>
          <w:szCs w:val="24"/>
        </w:rPr>
      </w:pPr>
      <w:r>
        <w:rPr>
          <w:szCs w:val="24"/>
        </w:rPr>
        <w:t>III</w:t>
      </w:r>
      <w:r w:rsidR="00DF68B2">
        <w:rPr>
          <w:szCs w:val="24"/>
        </w:rPr>
        <w:t>.</w:t>
      </w:r>
      <w:r w:rsidR="00DF68B2">
        <w:rPr>
          <w:szCs w:val="24"/>
        </w:rPr>
        <w:tab/>
        <w:t>CONCLUSIONS OF LAW</w:t>
      </w:r>
      <w:r w:rsidR="00DF68B2">
        <w:rPr>
          <w:szCs w:val="24"/>
        </w:rPr>
        <w:tab/>
      </w:r>
      <w:r w:rsidR="00AD1F42">
        <w:rPr>
          <w:szCs w:val="24"/>
        </w:rPr>
        <w:t>19</w:t>
      </w:r>
    </w:p>
    <w:p w:rsidR="00541D97" w:rsidRDefault="009D5393" w:rsidP="00541D97">
      <w:pPr>
        <w:tabs>
          <w:tab w:val="left" w:pos="720"/>
          <w:tab w:val="left" w:pos="1440"/>
          <w:tab w:val="left" w:pos="2160"/>
          <w:tab w:val="right" w:leader="dot" w:pos="9360"/>
        </w:tabs>
        <w:rPr>
          <w:szCs w:val="24"/>
        </w:rPr>
      </w:pPr>
      <w:r>
        <w:rPr>
          <w:szCs w:val="24"/>
        </w:rPr>
        <w:t>IV</w:t>
      </w:r>
      <w:r w:rsidR="00DF68B2">
        <w:rPr>
          <w:szCs w:val="24"/>
        </w:rPr>
        <w:t>.</w:t>
      </w:r>
      <w:r w:rsidR="00DF68B2">
        <w:rPr>
          <w:szCs w:val="24"/>
        </w:rPr>
        <w:tab/>
      </w:r>
      <w:r w:rsidR="00541D97">
        <w:rPr>
          <w:szCs w:val="24"/>
        </w:rPr>
        <w:t>RECOMMENDED ORDER</w:t>
      </w:r>
      <w:r w:rsidR="00541D97">
        <w:rPr>
          <w:szCs w:val="24"/>
        </w:rPr>
        <w:tab/>
      </w:r>
      <w:r w:rsidR="00AD1F42">
        <w:rPr>
          <w:szCs w:val="24"/>
        </w:rPr>
        <w:t>19</w:t>
      </w:r>
    </w:p>
    <w:p w:rsidR="005D703B" w:rsidRDefault="005D703B" w:rsidP="00541D97">
      <w:pPr>
        <w:tabs>
          <w:tab w:val="left" w:pos="720"/>
          <w:tab w:val="left" w:pos="1440"/>
          <w:tab w:val="left" w:pos="2160"/>
          <w:tab w:val="right" w:leader="dot" w:pos="9360"/>
        </w:tabs>
        <w:rPr>
          <w:szCs w:val="24"/>
        </w:rPr>
      </w:pPr>
    </w:p>
    <w:p w:rsidR="005D703B" w:rsidRDefault="005D703B" w:rsidP="00541D97">
      <w:pPr>
        <w:tabs>
          <w:tab w:val="left" w:pos="720"/>
          <w:tab w:val="left" w:pos="1440"/>
          <w:tab w:val="left" w:pos="2160"/>
          <w:tab w:val="right" w:leader="dot" w:pos="9360"/>
        </w:tabs>
        <w:rPr>
          <w:szCs w:val="24"/>
        </w:rPr>
        <w:sectPr w:rsidR="005D703B" w:rsidSect="00541D97">
          <w:footerReference w:type="default" r:id="rId9"/>
          <w:footerReference w:type="first" r:id="rId10"/>
          <w:pgSz w:w="12240" w:h="15840"/>
          <w:pgMar w:top="1440" w:right="1440" w:bottom="1440" w:left="1440" w:header="720" w:footer="720" w:gutter="0"/>
          <w:pgNumType w:fmt="lowerRoman" w:start="1"/>
          <w:cols w:space="720"/>
          <w:titlePg/>
          <w:docGrid w:linePitch="360"/>
        </w:sectPr>
      </w:pPr>
    </w:p>
    <w:p w:rsidR="00B03564" w:rsidRDefault="00B03564" w:rsidP="00B03564">
      <w:pPr>
        <w:jc w:val="center"/>
        <w:rPr>
          <w:szCs w:val="24"/>
          <w:u w:val="single"/>
        </w:rPr>
      </w:pPr>
      <w:r>
        <w:rPr>
          <w:szCs w:val="24"/>
        </w:rPr>
        <w:lastRenderedPageBreak/>
        <w:t>I.</w:t>
      </w:r>
      <w:r>
        <w:rPr>
          <w:szCs w:val="24"/>
        </w:rPr>
        <w:tab/>
      </w:r>
      <w:r w:rsidR="00BA1EFE">
        <w:rPr>
          <w:szCs w:val="24"/>
          <w:u w:val="single"/>
        </w:rPr>
        <w:t>HISTORY OF THE PROCEEDING</w:t>
      </w:r>
    </w:p>
    <w:p w:rsidR="00B03564" w:rsidRDefault="00B03564" w:rsidP="00B03564">
      <w:pPr>
        <w:jc w:val="center"/>
        <w:rPr>
          <w:szCs w:val="24"/>
        </w:rPr>
      </w:pPr>
    </w:p>
    <w:p w:rsidR="0014082B" w:rsidRDefault="0014082B" w:rsidP="0014082B">
      <w:pPr>
        <w:ind w:firstLine="1440"/>
      </w:pPr>
      <w:r w:rsidRPr="00AC1019">
        <w:t xml:space="preserve">On </w:t>
      </w:r>
      <w:r>
        <w:t>May 9, 2011</w:t>
      </w:r>
      <w:r w:rsidRPr="00AC1019">
        <w:t xml:space="preserve">, </w:t>
      </w:r>
      <w:r>
        <w:t>United Water Pennsylvania, Inc.</w:t>
      </w:r>
      <w:r w:rsidRPr="00AC1019">
        <w:rPr>
          <w:kern w:val="2"/>
        </w:rPr>
        <w:t xml:space="preserve"> </w:t>
      </w:r>
      <w:r w:rsidRPr="00AC1019">
        <w:t>(</w:t>
      </w:r>
      <w:r>
        <w:t>United</w:t>
      </w:r>
      <w:r w:rsidRPr="00AC1019">
        <w:t xml:space="preserve">) filed </w:t>
      </w:r>
      <w:r>
        <w:t xml:space="preserve">Supplement No. 23 to </w:t>
      </w:r>
      <w:r w:rsidRPr="00AC1019">
        <w:t xml:space="preserve">Tariff </w:t>
      </w:r>
      <w:r>
        <w:t>Water</w:t>
      </w:r>
      <w:r w:rsidRPr="00AC1019">
        <w:t xml:space="preserve">-Pa. P.U.C. No. </w:t>
      </w:r>
      <w:r>
        <w:t>7</w:t>
      </w:r>
      <w:r w:rsidRPr="00AC1019">
        <w:t xml:space="preserve"> to become effective </w:t>
      </w:r>
      <w:r>
        <w:t>July 8, 2011</w:t>
      </w:r>
      <w:r w:rsidRPr="00AC1019">
        <w:t>, containing proposed changes in rates, rules</w:t>
      </w:r>
      <w:r>
        <w:t>,</w:t>
      </w:r>
      <w:r w:rsidRPr="00AC1019">
        <w:t xml:space="preserve"> and regulations calculated to produce $</w:t>
      </w:r>
      <w:r>
        <w:t>2,823,179</w:t>
      </w:r>
      <w:r w:rsidRPr="00AC1019">
        <w:t xml:space="preserve"> (</w:t>
      </w:r>
      <w:r>
        <w:t>8.6</w:t>
      </w:r>
      <w:r w:rsidRPr="00AC1019">
        <w:t>%) in additional annual</w:t>
      </w:r>
      <w:r w:rsidRPr="00AC1019">
        <w:rPr>
          <w:i/>
        </w:rPr>
        <w:t xml:space="preserve"> </w:t>
      </w:r>
      <w:r w:rsidRPr="00AC1019">
        <w:t xml:space="preserve">revenues based on a </w:t>
      </w:r>
      <w:r>
        <w:t xml:space="preserve">future </w:t>
      </w:r>
      <w:r w:rsidRPr="00AC1019">
        <w:t>test year end</w:t>
      </w:r>
      <w:r>
        <w:t>ing</w:t>
      </w:r>
      <w:r w:rsidRPr="00AC1019">
        <w:t xml:space="preserve"> </w:t>
      </w:r>
      <w:r>
        <w:t xml:space="preserve">December 31, 2011.  </w:t>
      </w:r>
    </w:p>
    <w:p w:rsidR="0014082B" w:rsidRDefault="0014082B" w:rsidP="0014082B">
      <w:pPr>
        <w:ind w:firstLine="1440"/>
      </w:pPr>
    </w:p>
    <w:p w:rsidR="0014082B" w:rsidRPr="004D575F" w:rsidRDefault="0014082B" w:rsidP="0014082B">
      <w:pPr>
        <w:ind w:firstLine="1440"/>
      </w:pPr>
      <w:r>
        <w:t xml:space="preserve">On May 13, 2011, the Office of Small Business Advocate (OSBA) filed a complaint that the Commission docketed at C-2011-2243146.  </w:t>
      </w:r>
      <w:r w:rsidRPr="004D575F">
        <w:rPr>
          <w:szCs w:val="26"/>
        </w:rPr>
        <w:t xml:space="preserve">On </w:t>
      </w:r>
      <w:r>
        <w:rPr>
          <w:szCs w:val="26"/>
        </w:rPr>
        <w:t>May 24, 2011</w:t>
      </w:r>
      <w:r w:rsidRPr="004D575F">
        <w:rPr>
          <w:szCs w:val="26"/>
        </w:rPr>
        <w:t xml:space="preserve">, the Office of Consumer Advocate (OCA) filed </w:t>
      </w:r>
      <w:r w:rsidRPr="004D575F">
        <w:t>a formal complaint that the Commission docketed at C-20</w:t>
      </w:r>
      <w:r>
        <w:t>11-2243242</w:t>
      </w:r>
      <w:r w:rsidRPr="004D575F">
        <w:t xml:space="preserve">.  </w:t>
      </w:r>
      <w:r>
        <w:t xml:space="preserve"> </w:t>
      </w:r>
      <w:r w:rsidRPr="004D575F">
        <w:t xml:space="preserve">The Commission’s </w:t>
      </w:r>
      <w:r>
        <w:t>Bureau of Investigation and Enforcement (BI&amp;E)</w:t>
      </w:r>
      <w:r w:rsidRPr="004D575F">
        <w:t xml:space="preserve"> filed a notice of appearance on </w:t>
      </w:r>
      <w:r>
        <w:t>June 7, 2011</w:t>
      </w:r>
      <w:r w:rsidRPr="004D575F">
        <w:t>.</w:t>
      </w:r>
    </w:p>
    <w:p w:rsidR="0014082B" w:rsidRPr="004D575F" w:rsidRDefault="0014082B" w:rsidP="0014082B">
      <w:r w:rsidRPr="004D575F">
        <w:t xml:space="preserve"> </w:t>
      </w:r>
    </w:p>
    <w:p w:rsidR="0014082B" w:rsidRDefault="0014082B" w:rsidP="0014082B">
      <w:r w:rsidRPr="004D575F">
        <w:tab/>
      </w:r>
      <w:r w:rsidRPr="004D575F">
        <w:tab/>
        <w:t xml:space="preserve">By order entered </w:t>
      </w:r>
      <w:r>
        <w:t>June 30, 2011</w:t>
      </w:r>
      <w:r w:rsidRPr="004D575F">
        <w:t xml:space="preserve">, the Commission suspended the proposed </w:t>
      </w:r>
      <w:r>
        <w:t xml:space="preserve">Supplement No. 23 to </w:t>
      </w:r>
      <w:r w:rsidRPr="00AC1019">
        <w:t xml:space="preserve">Tariff </w:t>
      </w:r>
      <w:r>
        <w:t>Water</w:t>
      </w:r>
      <w:r w:rsidRPr="00AC1019">
        <w:t xml:space="preserve">-Pa. P.U.C. No. </w:t>
      </w:r>
      <w:r>
        <w:t>7</w:t>
      </w:r>
      <w:r w:rsidRPr="004D575F">
        <w:t xml:space="preserve"> until </w:t>
      </w:r>
      <w:r>
        <w:t>February 8, 2012</w:t>
      </w:r>
      <w:r w:rsidRPr="004D575F">
        <w:t xml:space="preserve"> and instituted an investigation into the reasonableness of the proposed rates.</w:t>
      </w:r>
      <w:r>
        <w:t xml:space="preserve">  </w:t>
      </w:r>
      <w:r w:rsidRPr="004D575F">
        <w:t xml:space="preserve">By notice dated </w:t>
      </w:r>
      <w:r>
        <w:t>June 30, 2011</w:t>
      </w:r>
      <w:r w:rsidRPr="004D575F">
        <w:t xml:space="preserve">, the Commission scheduled a prehearing conference for this matter on </w:t>
      </w:r>
      <w:r>
        <w:t>July 14, 2011</w:t>
      </w:r>
      <w:r w:rsidRPr="004D575F">
        <w:t xml:space="preserve"> at </w:t>
      </w:r>
      <w:r>
        <w:t>10:00</w:t>
      </w:r>
      <w:r w:rsidRPr="004D575F">
        <w:t xml:space="preserve"> </w:t>
      </w:r>
      <w:r>
        <w:t>a</w:t>
      </w:r>
      <w:r w:rsidRPr="004D575F">
        <w:t xml:space="preserve">.m. in Hearing Room 3, Commonwealth Keystone Building in Harrisburg and assigned </w:t>
      </w:r>
      <w:r>
        <w:t xml:space="preserve">Administrative Law Judges (ALJs) David A. Salapa and Mary D. Long </w:t>
      </w:r>
      <w:r w:rsidRPr="004D575F">
        <w:t>to preside.</w:t>
      </w:r>
      <w:r>
        <w:t xml:space="preserve">  A</w:t>
      </w:r>
      <w:r w:rsidRPr="004D575F">
        <w:t xml:space="preserve"> prehearing conference order </w:t>
      </w:r>
      <w:r>
        <w:t xml:space="preserve">was issued </w:t>
      </w:r>
      <w:r w:rsidRPr="004D575F">
        <w:t xml:space="preserve">on </w:t>
      </w:r>
      <w:r>
        <w:t>July 5, 2011,</w:t>
      </w:r>
      <w:r w:rsidRPr="004D575F">
        <w:t xml:space="preserve"> setting forth the procedural matters to be addressed at the prehearing conference.  </w:t>
      </w:r>
    </w:p>
    <w:p w:rsidR="0014082B" w:rsidRDefault="0014082B" w:rsidP="0014082B"/>
    <w:p w:rsidR="0014082B" w:rsidRDefault="0014082B" w:rsidP="0014082B">
      <w:pPr>
        <w:ind w:firstLine="1440"/>
      </w:pPr>
      <w:r>
        <w:t xml:space="preserve">A </w:t>
      </w:r>
      <w:r w:rsidRPr="004D575F">
        <w:t xml:space="preserve">prehearing conference in this case </w:t>
      </w:r>
      <w:r>
        <w:t xml:space="preserve">was conducted </w:t>
      </w:r>
      <w:r w:rsidRPr="004D575F">
        <w:t xml:space="preserve">as scheduled on </w:t>
      </w:r>
      <w:r>
        <w:t>July 14, 2011</w:t>
      </w:r>
      <w:r w:rsidRPr="004D575F">
        <w:t xml:space="preserve"> at </w:t>
      </w:r>
      <w:r>
        <w:t>10</w:t>
      </w:r>
      <w:r w:rsidRPr="004D575F">
        <w:t xml:space="preserve">:00 </w:t>
      </w:r>
      <w:r>
        <w:t>a</w:t>
      </w:r>
      <w:r w:rsidRPr="004D575F">
        <w:t xml:space="preserve">.m. in Harrisburg.  Present were counsel for </w:t>
      </w:r>
      <w:r>
        <w:t>BI&amp;E</w:t>
      </w:r>
      <w:r w:rsidRPr="004D575F">
        <w:t xml:space="preserve">, OCA, </w:t>
      </w:r>
      <w:r>
        <w:t xml:space="preserve">OSBA </w:t>
      </w:r>
      <w:r w:rsidRPr="004D575F">
        <w:t xml:space="preserve">and </w:t>
      </w:r>
      <w:r>
        <w:t>United</w:t>
      </w:r>
      <w:r w:rsidRPr="004D575F">
        <w:t xml:space="preserve">.  </w:t>
      </w:r>
      <w:r>
        <w:t xml:space="preserve">  </w:t>
      </w:r>
    </w:p>
    <w:p w:rsidR="0014082B" w:rsidRDefault="0014082B" w:rsidP="0014082B">
      <w:pPr>
        <w:ind w:firstLine="1440"/>
      </w:pPr>
    </w:p>
    <w:p w:rsidR="0014082B" w:rsidRDefault="0014082B" w:rsidP="0014082B">
      <w:pPr>
        <w:ind w:firstLine="1440"/>
      </w:pPr>
      <w:r w:rsidRPr="004D575F">
        <w:t xml:space="preserve">As a result of the prehearing conference, </w:t>
      </w:r>
      <w:r>
        <w:t xml:space="preserve">we </w:t>
      </w:r>
      <w:r w:rsidRPr="004D575F">
        <w:t xml:space="preserve">issued </w:t>
      </w:r>
      <w:r>
        <w:t xml:space="preserve">a </w:t>
      </w:r>
      <w:r w:rsidRPr="004D575F">
        <w:t xml:space="preserve">Prehearing Order on </w:t>
      </w:r>
      <w:r>
        <w:t>July 14, 2011</w:t>
      </w:r>
      <w:r w:rsidRPr="004D575F">
        <w:t xml:space="preserve">.  </w:t>
      </w:r>
      <w:r>
        <w:t xml:space="preserve">The </w:t>
      </w:r>
      <w:r w:rsidRPr="004D575F">
        <w:t xml:space="preserve">Prehearing Order established a litigation and briefing schedule.  By notice dated </w:t>
      </w:r>
      <w:r>
        <w:t>August 15, 2011</w:t>
      </w:r>
      <w:r w:rsidRPr="004D575F">
        <w:t xml:space="preserve">, the Commission scheduled this matter for hearings on </w:t>
      </w:r>
      <w:r>
        <w:t>September 1</w:t>
      </w:r>
      <w:r w:rsidR="00BA1EFE">
        <w:t>5</w:t>
      </w:r>
      <w:r>
        <w:t xml:space="preserve">, 16 and 19, 2011 </w:t>
      </w:r>
      <w:r w:rsidRPr="004D575F">
        <w:t xml:space="preserve">at 10:00 a.m. in Hearing Room </w:t>
      </w:r>
      <w:r>
        <w:t>5</w:t>
      </w:r>
      <w:r w:rsidRPr="004D575F">
        <w:t xml:space="preserve">, Commonwealth Keystone Building in Harrisburg.  </w:t>
      </w:r>
    </w:p>
    <w:p w:rsidR="0014082B" w:rsidRDefault="0014082B" w:rsidP="0014082B">
      <w:pPr>
        <w:ind w:firstLine="1440"/>
      </w:pPr>
    </w:p>
    <w:p w:rsidR="0014082B" w:rsidRPr="002E4392" w:rsidRDefault="0014082B" w:rsidP="0014082B">
      <w:pPr>
        <w:ind w:firstLine="1440"/>
      </w:pPr>
      <w:r w:rsidRPr="006B29AF">
        <w:lastRenderedPageBreak/>
        <w:t xml:space="preserve">On </w:t>
      </w:r>
      <w:r>
        <w:t>September 13, 2011</w:t>
      </w:r>
      <w:r w:rsidRPr="006B29AF">
        <w:t>, the active parties to this proceeding represent</w:t>
      </w:r>
      <w:r>
        <w:t xml:space="preserve">ed by email </w:t>
      </w:r>
      <w:r w:rsidRPr="006B29AF">
        <w:t xml:space="preserve">that those parties </w:t>
      </w:r>
      <w:r w:rsidRPr="006B29AF">
        <w:rPr>
          <w:rFonts w:cs="Arial"/>
          <w:color w:val="000000"/>
        </w:rPr>
        <w:t>ha</w:t>
      </w:r>
      <w:r>
        <w:rPr>
          <w:rFonts w:cs="Arial"/>
          <w:color w:val="000000"/>
        </w:rPr>
        <w:t>d</w:t>
      </w:r>
      <w:r w:rsidRPr="006B29AF">
        <w:rPr>
          <w:rFonts w:cs="Arial"/>
          <w:color w:val="000000"/>
        </w:rPr>
        <w:t xml:space="preserve"> reached an agreement in principle settling all the issues in this proceeding and request</w:t>
      </w:r>
      <w:r>
        <w:rPr>
          <w:rFonts w:cs="Arial"/>
          <w:color w:val="000000"/>
        </w:rPr>
        <w:t>ed</w:t>
      </w:r>
      <w:r w:rsidRPr="006B29AF">
        <w:rPr>
          <w:rFonts w:cs="Arial"/>
          <w:color w:val="000000"/>
        </w:rPr>
        <w:t xml:space="preserve"> that the litigation schedule</w:t>
      </w:r>
      <w:r>
        <w:rPr>
          <w:rFonts w:cs="Arial"/>
          <w:color w:val="000000"/>
        </w:rPr>
        <w:t xml:space="preserve"> be suspended</w:t>
      </w:r>
      <w:r w:rsidRPr="006B29AF">
        <w:rPr>
          <w:rFonts w:cs="Arial"/>
          <w:color w:val="000000"/>
        </w:rPr>
        <w:t>.  The active parties represent</w:t>
      </w:r>
      <w:r>
        <w:rPr>
          <w:rFonts w:cs="Arial"/>
          <w:color w:val="000000"/>
        </w:rPr>
        <w:t>ed</w:t>
      </w:r>
      <w:r w:rsidRPr="006B29AF">
        <w:rPr>
          <w:rFonts w:cs="Arial"/>
          <w:color w:val="000000"/>
        </w:rPr>
        <w:t xml:space="preserve"> that they w</w:t>
      </w:r>
      <w:r>
        <w:rPr>
          <w:rFonts w:cs="Arial"/>
          <w:color w:val="000000"/>
        </w:rPr>
        <w:t>ould</w:t>
      </w:r>
      <w:r w:rsidRPr="006B29AF">
        <w:rPr>
          <w:rFonts w:cs="Arial"/>
          <w:color w:val="000000"/>
        </w:rPr>
        <w:t xml:space="preserve"> file a signed written settlement agreement </w:t>
      </w:r>
      <w:r>
        <w:rPr>
          <w:rFonts w:cs="Arial"/>
          <w:color w:val="000000"/>
        </w:rPr>
        <w:t>shortly</w:t>
      </w:r>
      <w:r w:rsidRPr="006B29AF">
        <w:rPr>
          <w:rFonts w:cs="Arial"/>
          <w:color w:val="000000"/>
        </w:rPr>
        <w:t>.</w:t>
      </w:r>
      <w:r>
        <w:rPr>
          <w:rFonts w:cs="Arial"/>
          <w:color w:val="000000"/>
        </w:rPr>
        <w:t xml:space="preserve">  </w:t>
      </w:r>
      <w:r w:rsidRPr="002E4392">
        <w:t xml:space="preserve">On </w:t>
      </w:r>
      <w:r>
        <w:t>September 14, 2011</w:t>
      </w:r>
      <w:r w:rsidRPr="002E4392">
        <w:t xml:space="preserve">, </w:t>
      </w:r>
      <w:r>
        <w:t xml:space="preserve">we </w:t>
      </w:r>
      <w:r w:rsidRPr="002E4392">
        <w:t xml:space="preserve">issued an order suspending the litigation schedule set forth in </w:t>
      </w:r>
      <w:r>
        <w:t xml:space="preserve">the </w:t>
      </w:r>
      <w:r w:rsidRPr="002E4392">
        <w:t>Prehearing Order</w:t>
      </w:r>
      <w:r>
        <w:t>, cancelling the hearings scheduled for September 15, 16 and 19, 2011 and directing the parties to file and serve a written settlement agreement on or before October 24, 2011</w:t>
      </w:r>
      <w:r w:rsidRPr="002E4392">
        <w:t>.</w:t>
      </w:r>
      <w:r>
        <w:t xml:space="preserve">  </w:t>
      </w:r>
      <w:r w:rsidRPr="004D575F">
        <w:t xml:space="preserve">By notice dated </w:t>
      </w:r>
      <w:r>
        <w:t>September 14, 2011</w:t>
      </w:r>
      <w:r w:rsidRPr="004D575F">
        <w:t xml:space="preserve">, the Commission </w:t>
      </w:r>
      <w:r>
        <w:t xml:space="preserve">cancelled the hearings </w:t>
      </w:r>
      <w:r w:rsidRPr="004D575F">
        <w:t xml:space="preserve">scheduled </w:t>
      </w:r>
      <w:r>
        <w:t xml:space="preserve">for </w:t>
      </w:r>
      <w:r w:rsidRPr="004D575F">
        <w:t xml:space="preserve">this matter on </w:t>
      </w:r>
      <w:r>
        <w:t>September 15, 16 and 19, 2011.</w:t>
      </w:r>
      <w:r w:rsidRPr="004D575F">
        <w:t xml:space="preserve"> </w:t>
      </w:r>
      <w:r w:rsidRPr="002E4392">
        <w:t xml:space="preserve">  </w:t>
      </w:r>
    </w:p>
    <w:p w:rsidR="0014082B" w:rsidRDefault="0014082B" w:rsidP="0014082B"/>
    <w:p w:rsidR="0014082B" w:rsidRDefault="0014082B" w:rsidP="0014082B">
      <w:r w:rsidRPr="002E4392">
        <w:tab/>
      </w:r>
      <w:r w:rsidRPr="002E4392">
        <w:tab/>
        <w:t xml:space="preserve">On </w:t>
      </w:r>
      <w:r>
        <w:t>September 28, 2011</w:t>
      </w:r>
      <w:r w:rsidRPr="002E4392">
        <w:t xml:space="preserve">, </w:t>
      </w:r>
      <w:r>
        <w:t>United</w:t>
      </w:r>
      <w:r w:rsidRPr="002E4392">
        <w:t xml:space="preserve"> filed a </w:t>
      </w:r>
      <w:r>
        <w:t xml:space="preserve">joint petition for </w:t>
      </w:r>
      <w:r w:rsidRPr="002E4392">
        <w:t xml:space="preserve">settlement and attachments.  Included in the attachments to the </w:t>
      </w:r>
      <w:r>
        <w:t>joint</w:t>
      </w:r>
      <w:r w:rsidRPr="002E4392">
        <w:t xml:space="preserve"> petition are statements in support of the </w:t>
      </w:r>
      <w:r>
        <w:t>joint</w:t>
      </w:r>
      <w:r w:rsidRPr="002E4392">
        <w:t xml:space="preserve"> petition by </w:t>
      </w:r>
      <w:r>
        <w:t>BI&amp;E</w:t>
      </w:r>
      <w:r w:rsidRPr="002E4392">
        <w:t xml:space="preserve">, OCA, OSBA and </w:t>
      </w:r>
      <w:r>
        <w:t>United</w:t>
      </w:r>
      <w:r w:rsidRPr="002E4392">
        <w:t>.</w:t>
      </w:r>
      <w:r>
        <w:t xml:space="preserve">  </w:t>
      </w:r>
      <w:r w:rsidRPr="002E4392">
        <w:t xml:space="preserve">On </w:t>
      </w:r>
      <w:r>
        <w:t>September 28, 2011</w:t>
      </w:r>
      <w:r w:rsidRPr="002E4392">
        <w:t xml:space="preserve">, </w:t>
      </w:r>
      <w:r>
        <w:t xml:space="preserve">United </w:t>
      </w:r>
      <w:r w:rsidRPr="002E4392">
        <w:t xml:space="preserve">also filed a stipulation for admission of evidence and attachment.  The stipulation states that </w:t>
      </w:r>
      <w:r>
        <w:t>United</w:t>
      </w:r>
      <w:r w:rsidRPr="002E4392">
        <w:t xml:space="preserve">, </w:t>
      </w:r>
      <w:r>
        <w:t>BI&amp;E</w:t>
      </w:r>
      <w:r w:rsidRPr="002E4392">
        <w:t xml:space="preserve">, OCA and OSBA all served direct testimony and exhibits in this proceeding.  In conjunction with the </w:t>
      </w:r>
      <w:r>
        <w:t>joint</w:t>
      </w:r>
      <w:r w:rsidRPr="002E4392">
        <w:t xml:space="preserve"> petition, the stipulation states that </w:t>
      </w:r>
      <w:r>
        <w:t>United</w:t>
      </w:r>
      <w:r w:rsidRPr="002E4392">
        <w:t xml:space="preserve">, </w:t>
      </w:r>
      <w:r>
        <w:t>BI&amp;E</w:t>
      </w:r>
      <w:r w:rsidRPr="002E4392">
        <w:t xml:space="preserve">, OCA and OSBA have entered into the stipulation in order to admit the testimony and exhibits of </w:t>
      </w:r>
      <w:r>
        <w:t>United</w:t>
      </w:r>
      <w:r w:rsidRPr="002E4392">
        <w:t xml:space="preserve">, </w:t>
      </w:r>
      <w:r>
        <w:t>BI&amp;E</w:t>
      </w:r>
      <w:r w:rsidRPr="002E4392">
        <w:t xml:space="preserve">, OCA and OSBA set forth in the stipulation.  The stipulation requests that the Commission admit the testimony and exhibits listed in the stipulation into the record in this proceeding.  </w:t>
      </w:r>
    </w:p>
    <w:p w:rsidR="0014082B" w:rsidRPr="002E4392" w:rsidRDefault="0014082B" w:rsidP="0014082B"/>
    <w:p w:rsidR="0014082B" w:rsidRDefault="0014082B" w:rsidP="0014082B">
      <w:r w:rsidRPr="002E4392">
        <w:tab/>
      </w:r>
      <w:r w:rsidRPr="002E4392">
        <w:tab/>
      </w:r>
      <w:r>
        <w:t>As of the date of this decision, we</w:t>
      </w:r>
      <w:r w:rsidRPr="002E4392">
        <w:t xml:space="preserve"> </w:t>
      </w:r>
      <w:r>
        <w:t xml:space="preserve">have not </w:t>
      </w:r>
      <w:r w:rsidRPr="002E4392">
        <w:t>receive</w:t>
      </w:r>
      <w:r>
        <w:t>d</w:t>
      </w:r>
      <w:r w:rsidRPr="002E4392">
        <w:t xml:space="preserve"> any written comments or objections from </w:t>
      </w:r>
      <w:r>
        <w:t xml:space="preserve">any of the parties </w:t>
      </w:r>
      <w:r w:rsidRPr="002E4392">
        <w:t xml:space="preserve">regarding the </w:t>
      </w:r>
      <w:r>
        <w:t>joint</w:t>
      </w:r>
      <w:r w:rsidRPr="002E4392">
        <w:t xml:space="preserve"> petition.  The record closed on </w:t>
      </w:r>
      <w:r>
        <w:t>September 28, 2011</w:t>
      </w:r>
      <w:r w:rsidRPr="002E4392">
        <w:t xml:space="preserve">, the date </w:t>
      </w:r>
      <w:r>
        <w:t>United</w:t>
      </w:r>
      <w:r w:rsidRPr="002E4392">
        <w:t xml:space="preserve"> filed the settlement petition.</w:t>
      </w:r>
      <w:r>
        <w:t xml:space="preserve">  For the reasons set forth below, we recommend that the Commission approve and adopt the settlement agreement.</w:t>
      </w:r>
    </w:p>
    <w:p w:rsidR="00C77990" w:rsidRDefault="00C77990" w:rsidP="0014082B"/>
    <w:p w:rsidR="00C77990" w:rsidRDefault="00C77990" w:rsidP="00C77990">
      <w:pPr>
        <w:jc w:val="center"/>
      </w:pPr>
      <w:r>
        <w:t>II.</w:t>
      </w:r>
      <w:r>
        <w:tab/>
      </w:r>
      <w:r w:rsidRPr="00C77990">
        <w:rPr>
          <w:u w:val="single"/>
        </w:rPr>
        <w:t>DISCUSSION</w:t>
      </w:r>
    </w:p>
    <w:p w:rsidR="00EE2317" w:rsidRDefault="00EE2317" w:rsidP="0014082B"/>
    <w:p w:rsidR="00EE2317" w:rsidRDefault="00EE2317" w:rsidP="00EE2317">
      <w:r>
        <w:t>A.</w:t>
      </w:r>
      <w:r>
        <w:tab/>
      </w:r>
      <w:r>
        <w:rPr>
          <w:u w:val="single"/>
        </w:rPr>
        <w:t>Legal Standards</w:t>
      </w:r>
    </w:p>
    <w:p w:rsidR="00EE2317" w:rsidRDefault="00EE2317" w:rsidP="00EE2317"/>
    <w:p w:rsidR="00EE2317" w:rsidRDefault="00EE2317" w:rsidP="00EE2317">
      <w:pPr>
        <w:ind w:firstLine="720"/>
      </w:pPr>
      <w:r>
        <w:tab/>
        <w:t xml:space="preserve">The Commission applies certain principles in deciding any general rate increase case brought pursuant to 66 Pa. C.S. § 1308(d).  A public utility seeking a general rate increase is entitled to an opportunity to earn a fair rate of return on the value of the property dedicated to </w:t>
      </w:r>
      <w:r>
        <w:lastRenderedPageBreak/>
        <w:t xml:space="preserve">public service.  </w:t>
      </w:r>
      <w:r>
        <w:rPr>
          <w:i/>
        </w:rPr>
        <w:t>Pennsylvania Gas and Water Co. v. Pennsylvania Pub. Util. Comm’n</w:t>
      </w:r>
      <w:r>
        <w:t xml:space="preserve">, 341 A.2d 239 (Pa. Cmwlth. 1975).  In determining what constitutes a fair rate of return, the Commission is guided by the criteria set forth in </w:t>
      </w:r>
      <w:r>
        <w:rPr>
          <w:i/>
        </w:rPr>
        <w:t>Bluefield Water Works and Improvement Co. v. Public Service Comm’n of West Virginia,</w:t>
      </w:r>
      <w:r>
        <w:t xml:space="preserve"> 262 U.S. 679 (1923) and </w:t>
      </w:r>
      <w:r>
        <w:rPr>
          <w:i/>
        </w:rPr>
        <w:t>Federal Power Comm’n v. Hope Natural Gas Co</w:t>
      </w:r>
      <w:r>
        <w:t xml:space="preserve">., 320 U.S. 591 (1944).  In </w:t>
      </w:r>
      <w:r>
        <w:rPr>
          <w:i/>
        </w:rPr>
        <w:t>Bluefield,</w:t>
      </w:r>
      <w:r>
        <w:t xml:space="preserve"> the United States Supreme Court stated:</w:t>
      </w:r>
    </w:p>
    <w:p w:rsidR="00EE2317" w:rsidRDefault="00EE2317" w:rsidP="00EE2317"/>
    <w:p w:rsidR="00EE2317" w:rsidRDefault="00EE2317" w:rsidP="00EE2317">
      <w:pPr>
        <w:pStyle w:val="Indentedquote0"/>
      </w:pPr>
      <w:r>
        <w:t>A public utility is entitled to such rates as will permit it to earn a return on the value of the property which it employs for the convenience of the public equal to that generally being made at the same time and in the same general part of the country on investments in other business undertakings which are attended by corresponding risks and uncertainties; but it has no constitutional right to profits such as are realized or anticipated in highly profitable enterprises or speculative ventures.  The return should be reasonably sufficient to assure confidence in the financial soundness of the utility and should be adequate, under efficient and economical management, to maintain and support its credit and enable it to raise the money necessary for the proper discharge of its public duties.  A rate of return may be too high or too low by changes affecting opportunities for investment, the money market and business conditions generally.</w:t>
      </w:r>
    </w:p>
    <w:p w:rsidR="00EE2317" w:rsidRDefault="00EE2317" w:rsidP="00EE2317"/>
    <w:p w:rsidR="00EE2317" w:rsidRDefault="00EE2317" w:rsidP="00EE2317">
      <w:r>
        <w:rPr>
          <w:i/>
        </w:rPr>
        <w:t>Bluefield</w:t>
      </w:r>
      <w:r>
        <w:t>, 262 U.S. at 692-3.</w:t>
      </w:r>
    </w:p>
    <w:p w:rsidR="00EE2317" w:rsidRDefault="00EE2317" w:rsidP="00EE2317">
      <w:r>
        <w:t xml:space="preserve"> </w:t>
      </w:r>
    </w:p>
    <w:p w:rsidR="00EE2317" w:rsidRDefault="00B92B40" w:rsidP="00EE2317">
      <w:r>
        <w:tab/>
      </w:r>
      <w:r>
        <w:tab/>
      </w:r>
      <w:r w:rsidR="00EE2317">
        <w:t>The public utility seeking a general rate increase has the burden of proof to establish the justness and reasonableness of every element of the rate increase request pursuant to 66 Pa. C.S. § 1308(d).  The statute at 66 Pa. C.S. § 315(a) sets forth the standard to be met by the public utility:</w:t>
      </w:r>
    </w:p>
    <w:p w:rsidR="00EE2317" w:rsidRDefault="00EE2317" w:rsidP="00EE2317"/>
    <w:p w:rsidR="00EE2317" w:rsidRDefault="00EE2317" w:rsidP="00EE2317">
      <w:pPr>
        <w:pStyle w:val="Indentedquote0"/>
        <w:spacing w:after="0"/>
      </w:pPr>
      <w:r>
        <w:rPr>
          <w:b/>
        </w:rPr>
        <w:t>Reasonableness of rates</w:t>
      </w:r>
      <w:r>
        <w:t>.–In any proceeding upon the motion of the Commission, involving any proposed or existing rate of any public utility, or in any proceeding upon complaint involving any proposed increase in rates, the burden of proof to show that the rate involved is just and reasonable shall be upon the public utility.</w:t>
      </w:r>
    </w:p>
    <w:p w:rsidR="00EE2317" w:rsidRDefault="00EE2317" w:rsidP="00EE2317">
      <w:r>
        <w:tab/>
      </w:r>
      <w:r>
        <w:tab/>
      </w:r>
    </w:p>
    <w:p w:rsidR="00EE2317" w:rsidRDefault="00B92B40" w:rsidP="00EE2317">
      <w:r>
        <w:tab/>
      </w:r>
      <w:r>
        <w:tab/>
      </w:r>
      <w:r w:rsidR="00EE2317">
        <w:t xml:space="preserve">In a general rate increase proceeding, the burden of proof does not shift to parties challenging a requested rate increase.  The utility has the burden of establishing the justness and reasonableness of every component of its rate request throughout the rate proceeding.  Other </w:t>
      </w:r>
      <w:r w:rsidR="00EE2317">
        <w:lastRenderedPageBreak/>
        <w:t xml:space="preserve">parties to the proceeding do not have the burden of proof to justify an adjustment to the public utility’s filing.  In this regard, the Pennsylvania Supreme Court in </w:t>
      </w:r>
      <w:r w:rsidR="00EE2317">
        <w:rPr>
          <w:i/>
        </w:rPr>
        <w:t>Berner v. Pennsylvania Pub.</w:t>
      </w:r>
      <w:r w:rsidR="00E22F30">
        <w:rPr>
          <w:i/>
        </w:rPr>
        <w:t xml:space="preserve"> </w:t>
      </w:r>
      <w:r w:rsidR="00EE2317">
        <w:rPr>
          <w:i/>
        </w:rPr>
        <w:t>Util. Comm’n</w:t>
      </w:r>
      <w:r w:rsidR="00EE2317">
        <w:t>, 116 A.2d 738, 744 (Pa. 1955) stated:</w:t>
      </w:r>
    </w:p>
    <w:p w:rsidR="00EE2317" w:rsidRDefault="00EE2317" w:rsidP="00EE2317">
      <w:pPr>
        <w:pStyle w:val="Indentedquote0"/>
        <w:spacing w:after="0"/>
      </w:pPr>
    </w:p>
    <w:p w:rsidR="00EE2317" w:rsidRDefault="00EE2317" w:rsidP="00EE2317">
      <w:pPr>
        <w:pStyle w:val="Indentedquote0"/>
        <w:spacing w:after="0"/>
      </w:pPr>
      <w:r>
        <w:t>[T]he appellants did not have the burden of proving that the plant additions were improper, unnecessary or too costly; on the contrary, that burden is, by statute, on the utility to demonstrate the reasonable necessity and cost of the installations, and that is the burden which the utility patently failed to carry.</w:t>
      </w:r>
    </w:p>
    <w:p w:rsidR="00EE2317" w:rsidRDefault="00EE2317" w:rsidP="00EE2317"/>
    <w:p w:rsidR="00EE2317" w:rsidRDefault="00B92B40" w:rsidP="00EE2317">
      <w:r>
        <w:tab/>
      </w:r>
      <w:r>
        <w:tab/>
      </w:r>
      <w:r w:rsidR="00EE2317">
        <w:t xml:space="preserve">However, a public utility, in proving that its proposed rates are just and reasonable, does not have the burden to affirmatively defend claims it has made in its filing that no other party has questioned.  In </w:t>
      </w:r>
      <w:r w:rsidR="00EE2317">
        <w:rPr>
          <w:i/>
        </w:rPr>
        <w:t>Allegheny Center Assocs. v. Pennsylvania Pub. Util. Comm’n</w:t>
      </w:r>
      <w:r w:rsidR="00EE2317">
        <w:t>, 570 A.2d 149, (Pa. Cmwlth. 1990), the Pennsylvania Commonwealth Court stated:</w:t>
      </w:r>
    </w:p>
    <w:p w:rsidR="00EE2317" w:rsidRDefault="00EE2317" w:rsidP="00EE2317"/>
    <w:p w:rsidR="00EE2317" w:rsidRDefault="00EE2317" w:rsidP="00EE2317">
      <w:pPr>
        <w:pStyle w:val="Indentedquote0"/>
        <w:spacing w:after="0"/>
      </w:pPr>
      <w:r>
        <w:t>While it is axiomatic that a utility has the burden of proving the justness and reasonableness of its proposed rates, it cannot be called upon to account for every action absent prior notice that such action is to be challenged.</w:t>
      </w:r>
    </w:p>
    <w:p w:rsidR="00EE2317" w:rsidRDefault="00EE2317" w:rsidP="00EE2317"/>
    <w:p w:rsidR="00EE2317" w:rsidRDefault="00B92B40" w:rsidP="00EE2317">
      <w:r>
        <w:tab/>
      </w:r>
      <w:r>
        <w:tab/>
      </w:r>
      <w:r w:rsidR="00EE2317">
        <w:t xml:space="preserve">In analyzing a proposed general rate increase, the Commission determines a rate of return to be applied to a rate base measured by the aggregate value of all the utility’s property used and useful in the public service.  In determining a proper rate of return, the Commission calculates the utility’s capital structure and the cost of the different types of capital during the period in issue.  The Commission has wide discretion, because of its administrative expertise, in determining the cost of capital.  </w:t>
      </w:r>
      <w:r w:rsidR="00EE2317">
        <w:rPr>
          <w:i/>
        </w:rPr>
        <w:t>Equitable Gas Co. v. Pennsylvania Pub. Util. Comm’n</w:t>
      </w:r>
      <w:r w:rsidR="00EE2317">
        <w:t xml:space="preserve">, 405 A.2d 1055 (Pa. Cmwlth. 1979). </w:t>
      </w:r>
    </w:p>
    <w:p w:rsidR="00EE2317" w:rsidRDefault="00EE2317" w:rsidP="00EE2317"/>
    <w:p w:rsidR="00EE2317" w:rsidRDefault="00B92B40" w:rsidP="00EE2317">
      <w:r>
        <w:tab/>
      </w:r>
      <w:r>
        <w:tab/>
      </w:r>
      <w:r w:rsidR="00EE2317">
        <w:t>In this general rate increase case, United, BI&amp;E, OCA and OSBA have reached a settlement.  Commission policy promotes settlements.  52 Pa. Code §5.231.  Settlements lessen the time and expense the parties must expend litigating a case and at the same time conserve precious administrative hearing resources.  The Commission has indicated that settlement results are often preferable to those achieved at the conclusion of a fully litigated proceeding.  52 Pa. Code § 69.401.</w:t>
      </w:r>
    </w:p>
    <w:p w:rsidR="00EE2317" w:rsidRDefault="00EE2317" w:rsidP="00EE2317"/>
    <w:p w:rsidR="00EE2317" w:rsidRDefault="00B92B40" w:rsidP="00EE2317">
      <w:r>
        <w:tab/>
      </w:r>
      <w:r>
        <w:tab/>
      </w:r>
      <w:r w:rsidR="00EE2317">
        <w:t xml:space="preserve">In order to accept a settlement, the Commission must first determine that the proposed terms and conditions are in the public interest.  </w:t>
      </w:r>
      <w:r w:rsidR="00EE2317">
        <w:rPr>
          <w:i/>
        </w:rPr>
        <w:t>Pennsylvania Pub. Util. Comm’n v. York Water Co.</w:t>
      </w:r>
      <w:r w:rsidR="00EE2317">
        <w:t xml:space="preserve">, Docket No. R-00049165, (Order entered October 4, 2004); </w:t>
      </w:r>
      <w:r w:rsidR="00EE2317">
        <w:rPr>
          <w:i/>
        </w:rPr>
        <w:t>Pennsylvania Pub. Util. Comm’n v. CS Water and Sewer Assoc.</w:t>
      </w:r>
      <w:r w:rsidR="00EE2317">
        <w:t>, 74 Pa. P.U.C. 767 (1991).  We find that the settlement, which is unopposed by any party, is in the public interest.</w:t>
      </w:r>
    </w:p>
    <w:p w:rsidR="00EE2317" w:rsidRDefault="00EE2317" w:rsidP="00EE2317"/>
    <w:p w:rsidR="00EE2317" w:rsidRDefault="00EE2317" w:rsidP="00EE2317">
      <w:r>
        <w:t>B.</w:t>
      </w:r>
      <w:r>
        <w:tab/>
      </w:r>
      <w:r>
        <w:rPr>
          <w:u w:val="single"/>
        </w:rPr>
        <w:t>Terms of the Settlement</w:t>
      </w:r>
    </w:p>
    <w:p w:rsidR="00EE2317" w:rsidRDefault="00EE2317" w:rsidP="00EE2317"/>
    <w:p w:rsidR="00EE2317" w:rsidRDefault="00B92B40" w:rsidP="00EE2317">
      <w:r>
        <w:tab/>
      </w:r>
      <w:r>
        <w:tab/>
      </w:r>
      <w:r w:rsidR="00EE2317">
        <w:t>The parties have agreed that the settlement rates are designed to produce $1.45 million in additional annual operating revenue based upon the pro forma level of operations for the test period ending December 31, 2011, where United’s State Tax Assessment Surcharge (“STAS”) and current Distribution System Improvement Charge (“DSIC”) surcharge currently charged will be reset to zero.  The increase in annual operating revenue is in lieu of the as filed net increase of approximately $2.82 million.</w:t>
      </w:r>
    </w:p>
    <w:p w:rsidR="00EE2317" w:rsidRDefault="00EE2317" w:rsidP="00EE2317"/>
    <w:p w:rsidR="00EE2317" w:rsidRDefault="00B92B40" w:rsidP="00EE2317">
      <w:r>
        <w:tab/>
      </w:r>
      <w:r>
        <w:tab/>
      </w:r>
      <w:r w:rsidR="00EE2317">
        <w:t xml:space="preserve">United will be permitted to file a tariff supplement in the form attached to the joint petition for settlement as Appendix A which will become effective on the date of the Commission’s Order approving the settlement. </w:t>
      </w:r>
    </w:p>
    <w:p w:rsidR="00EE2317" w:rsidRDefault="00EE2317" w:rsidP="00EE2317">
      <w:r>
        <w:t xml:space="preserve"> </w:t>
      </w:r>
    </w:p>
    <w:p w:rsidR="00EE2317" w:rsidRDefault="00B92B40" w:rsidP="00EE2317">
      <w:r>
        <w:tab/>
      </w:r>
      <w:r>
        <w:tab/>
      </w:r>
      <w:r w:rsidR="00EE2317">
        <w:t>The parties have also agreed to the following amortizations for approval as an integral part of this settlement and are reflected in the settlement’s base rate allowance:</w:t>
      </w:r>
    </w:p>
    <w:p w:rsidR="00EE2317" w:rsidRDefault="00EE2317" w:rsidP="00EE2317">
      <w:pPr>
        <w:pStyle w:val="ListNumber"/>
        <w:numPr>
          <w:ilvl w:val="0"/>
          <w:numId w:val="0"/>
        </w:numPr>
        <w:jc w:val="both"/>
      </w:pPr>
    </w:p>
    <w:tbl>
      <w:tblPr>
        <w:tblStyle w:val="TableGrid"/>
        <w:tblW w:w="0" w:type="auto"/>
        <w:tblInd w:w="730" w:type="dxa"/>
        <w:tblLook w:val="01E0"/>
      </w:tblPr>
      <w:tblGrid>
        <w:gridCol w:w="2790"/>
        <w:gridCol w:w="2790"/>
        <w:gridCol w:w="2438"/>
      </w:tblGrid>
      <w:tr w:rsidR="00EE2317" w:rsidTr="00C77990">
        <w:tc>
          <w:tcPr>
            <w:tcW w:w="2790" w:type="dxa"/>
            <w:tcBorders>
              <w:top w:val="single" w:sz="4" w:space="0" w:color="auto"/>
              <w:left w:val="single" w:sz="4" w:space="0" w:color="auto"/>
              <w:bottom w:val="single" w:sz="4" w:space="0" w:color="auto"/>
              <w:right w:val="single" w:sz="4" w:space="0" w:color="auto"/>
            </w:tcBorders>
            <w:hideMark/>
          </w:tcPr>
          <w:p w:rsidR="00EE2317" w:rsidRDefault="00EE2317">
            <w:pPr>
              <w:pStyle w:val="ListNumber"/>
              <w:numPr>
                <w:ilvl w:val="0"/>
                <w:numId w:val="0"/>
              </w:numPr>
              <w:spacing w:before="120" w:after="120" w:line="240" w:lineRule="auto"/>
              <w:jc w:val="center"/>
              <w:rPr>
                <w:b/>
              </w:rPr>
            </w:pPr>
            <w:r>
              <w:rPr>
                <w:b/>
              </w:rPr>
              <w:t>Description</w:t>
            </w:r>
          </w:p>
        </w:tc>
        <w:tc>
          <w:tcPr>
            <w:tcW w:w="2790" w:type="dxa"/>
            <w:tcBorders>
              <w:top w:val="single" w:sz="4" w:space="0" w:color="auto"/>
              <w:left w:val="single" w:sz="4" w:space="0" w:color="auto"/>
              <w:bottom w:val="single" w:sz="4" w:space="0" w:color="auto"/>
              <w:right w:val="single" w:sz="4" w:space="0" w:color="auto"/>
            </w:tcBorders>
            <w:hideMark/>
          </w:tcPr>
          <w:p w:rsidR="00EE2317" w:rsidRDefault="00EE2317">
            <w:pPr>
              <w:pStyle w:val="ListNumber"/>
              <w:numPr>
                <w:ilvl w:val="0"/>
                <w:numId w:val="0"/>
              </w:numPr>
              <w:spacing w:before="120" w:after="120" w:line="240" w:lineRule="auto"/>
              <w:jc w:val="center"/>
              <w:rPr>
                <w:b/>
              </w:rPr>
            </w:pPr>
            <w:r>
              <w:rPr>
                <w:b/>
              </w:rPr>
              <w:t>Amortization Period</w:t>
            </w:r>
          </w:p>
        </w:tc>
        <w:tc>
          <w:tcPr>
            <w:tcW w:w="2438" w:type="dxa"/>
            <w:tcBorders>
              <w:top w:val="single" w:sz="4" w:space="0" w:color="auto"/>
              <w:left w:val="single" w:sz="4" w:space="0" w:color="auto"/>
              <w:bottom w:val="single" w:sz="4" w:space="0" w:color="auto"/>
              <w:right w:val="single" w:sz="4" w:space="0" w:color="auto"/>
            </w:tcBorders>
            <w:hideMark/>
          </w:tcPr>
          <w:p w:rsidR="00EE2317" w:rsidRDefault="00EE2317" w:rsidP="00C77990">
            <w:pPr>
              <w:pStyle w:val="ListNumber"/>
              <w:numPr>
                <w:ilvl w:val="0"/>
                <w:numId w:val="0"/>
              </w:numPr>
              <w:spacing w:before="120" w:after="120" w:line="240" w:lineRule="auto"/>
              <w:jc w:val="center"/>
              <w:rPr>
                <w:b/>
              </w:rPr>
            </w:pPr>
            <w:r>
              <w:rPr>
                <w:b/>
              </w:rPr>
              <w:t>Annual</w:t>
            </w:r>
            <w:r w:rsidR="00C77990">
              <w:rPr>
                <w:b/>
              </w:rPr>
              <w:t xml:space="preserve"> </w:t>
            </w:r>
            <w:r>
              <w:rPr>
                <w:b/>
              </w:rPr>
              <w:t>Amortization</w:t>
            </w:r>
          </w:p>
        </w:tc>
      </w:tr>
      <w:tr w:rsidR="00EE2317" w:rsidTr="00C77990">
        <w:tc>
          <w:tcPr>
            <w:tcW w:w="2790" w:type="dxa"/>
            <w:tcBorders>
              <w:top w:val="single" w:sz="4" w:space="0" w:color="auto"/>
              <w:left w:val="single" w:sz="4" w:space="0" w:color="auto"/>
              <w:bottom w:val="single" w:sz="4" w:space="0" w:color="auto"/>
              <w:right w:val="single" w:sz="4" w:space="0" w:color="auto"/>
            </w:tcBorders>
            <w:hideMark/>
          </w:tcPr>
          <w:p w:rsidR="00EE2317" w:rsidRDefault="00EE2317">
            <w:pPr>
              <w:pStyle w:val="ListNumber"/>
              <w:numPr>
                <w:ilvl w:val="0"/>
                <w:numId w:val="0"/>
              </w:numPr>
              <w:spacing w:before="120" w:after="120" w:line="240" w:lineRule="auto"/>
            </w:pPr>
            <w:r>
              <w:t>Storm Damage costs from April and May 2011 storms</w:t>
            </w:r>
          </w:p>
        </w:tc>
        <w:tc>
          <w:tcPr>
            <w:tcW w:w="2790" w:type="dxa"/>
            <w:tcBorders>
              <w:top w:val="single" w:sz="4" w:space="0" w:color="auto"/>
              <w:left w:val="single" w:sz="4" w:space="0" w:color="auto"/>
              <w:bottom w:val="single" w:sz="4" w:space="0" w:color="auto"/>
              <w:right w:val="single" w:sz="4" w:space="0" w:color="auto"/>
            </w:tcBorders>
            <w:hideMark/>
          </w:tcPr>
          <w:p w:rsidR="00EE2317" w:rsidRDefault="00EE2317">
            <w:pPr>
              <w:pStyle w:val="ListNumber"/>
              <w:numPr>
                <w:ilvl w:val="0"/>
                <w:numId w:val="0"/>
              </w:numPr>
              <w:spacing w:before="120" w:after="120" w:line="240" w:lineRule="auto"/>
            </w:pPr>
            <w:r>
              <w:t>5 years from effective date of rates in this case</w:t>
            </w:r>
          </w:p>
        </w:tc>
        <w:tc>
          <w:tcPr>
            <w:tcW w:w="2438" w:type="dxa"/>
            <w:tcBorders>
              <w:top w:val="single" w:sz="4" w:space="0" w:color="auto"/>
              <w:left w:val="single" w:sz="4" w:space="0" w:color="auto"/>
              <w:bottom w:val="single" w:sz="4" w:space="0" w:color="auto"/>
              <w:right w:val="single" w:sz="4" w:space="0" w:color="auto"/>
            </w:tcBorders>
            <w:hideMark/>
          </w:tcPr>
          <w:p w:rsidR="00EE2317" w:rsidRDefault="00EE2317">
            <w:pPr>
              <w:pStyle w:val="ListNumber"/>
              <w:numPr>
                <w:ilvl w:val="0"/>
                <w:numId w:val="0"/>
              </w:numPr>
              <w:spacing w:before="120" w:after="120" w:line="240" w:lineRule="auto"/>
              <w:jc w:val="center"/>
            </w:pPr>
            <w:r>
              <w:t>$22,100</w:t>
            </w:r>
          </w:p>
        </w:tc>
      </w:tr>
      <w:tr w:rsidR="00EE2317" w:rsidTr="00C77990">
        <w:tc>
          <w:tcPr>
            <w:tcW w:w="2790" w:type="dxa"/>
            <w:tcBorders>
              <w:top w:val="single" w:sz="4" w:space="0" w:color="auto"/>
              <w:left w:val="single" w:sz="4" w:space="0" w:color="auto"/>
              <w:bottom w:val="single" w:sz="4" w:space="0" w:color="auto"/>
              <w:right w:val="single" w:sz="4" w:space="0" w:color="auto"/>
            </w:tcBorders>
            <w:hideMark/>
          </w:tcPr>
          <w:p w:rsidR="00EE2317" w:rsidRDefault="00EE2317">
            <w:pPr>
              <w:pStyle w:val="ListNumber"/>
              <w:numPr>
                <w:ilvl w:val="0"/>
                <w:numId w:val="0"/>
              </w:numPr>
              <w:spacing w:before="120" w:after="120" w:line="240" w:lineRule="auto"/>
            </w:pPr>
            <w:r>
              <w:t>Post retirement costs</w:t>
            </w:r>
          </w:p>
        </w:tc>
        <w:tc>
          <w:tcPr>
            <w:tcW w:w="2790" w:type="dxa"/>
            <w:tcBorders>
              <w:top w:val="single" w:sz="4" w:space="0" w:color="auto"/>
              <w:left w:val="single" w:sz="4" w:space="0" w:color="auto"/>
              <w:bottom w:val="single" w:sz="4" w:space="0" w:color="auto"/>
              <w:right w:val="single" w:sz="4" w:space="0" w:color="auto"/>
            </w:tcBorders>
            <w:hideMark/>
          </w:tcPr>
          <w:p w:rsidR="00EE2317" w:rsidRDefault="00EE2317">
            <w:pPr>
              <w:pStyle w:val="ListNumber"/>
              <w:numPr>
                <w:ilvl w:val="0"/>
                <w:numId w:val="0"/>
              </w:numPr>
              <w:spacing w:before="120" w:after="120" w:line="240" w:lineRule="auto"/>
            </w:pPr>
            <w:r>
              <w:t>179 months from February 1, 1998</w:t>
            </w:r>
          </w:p>
        </w:tc>
        <w:tc>
          <w:tcPr>
            <w:tcW w:w="2438" w:type="dxa"/>
            <w:tcBorders>
              <w:top w:val="single" w:sz="4" w:space="0" w:color="auto"/>
              <w:left w:val="single" w:sz="4" w:space="0" w:color="auto"/>
              <w:bottom w:val="single" w:sz="4" w:space="0" w:color="auto"/>
              <w:right w:val="single" w:sz="4" w:space="0" w:color="auto"/>
            </w:tcBorders>
            <w:hideMark/>
          </w:tcPr>
          <w:p w:rsidR="00EE2317" w:rsidRDefault="00EE2317">
            <w:pPr>
              <w:pStyle w:val="ListNumber"/>
              <w:numPr>
                <w:ilvl w:val="0"/>
                <w:numId w:val="0"/>
              </w:numPr>
              <w:spacing w:before="120" w:after="120" w:line="240" w:lineRule="auto"/>
              <w:jc w:val="center"/>
              <w:rPr>
                <w:highlight w:val="yellow"/>
              </w:rPr>
            </w:pPr>
            <w:r>
              <w:t>$91,296</w:t>
            </w:r>
          </w:p>
        </w:tc>
      </w:tr>
      <w:tr w:rsidR="00EE2317" w:rsidTr="00C77990">
        <w:tc>
          <w:tcPr>
            <w:tcW w:w="2790" w:type="dxa"/>
            <w:tcBorders>
              <w:top w:val="single" w:sz="4" w:space="0" w:color="auto"/>
              <w:left w:val="single" w:sz="4" w:space="0" w:color="auto"/>
              <w:bottom w:val="single" w:sz="4" w:space="0" w:color="auto"/>
              <w:right w:val="single" w:sz="4" w:space="0" w:color="auto"/>
            </w:tcBorders>
            <w:hideMark/>
          </w:tcPr>
          <w:p w:rsidR="00EE2317" w:rsidRDefault="00EE2317">
            <w:pPr>
              <w:pStyle w:val="ListNumber"/>
              <w:numPr>
                <w:ilvl w:val="0"/>
                <w:numId w:val="0"/>
              </w:numPr>
              <w:spacing w:before="120" w:after="120" w:line="240" w:lineRule="auto"/>
            </w:pPr>
            <w:r>
              <w:t>Rabold flood costs</w:t>
            </w:r>
          </w:p>
        </w:tc>
        <w:tc>
          <w:tcPr>
            <w:tcW w:w="2790" w:type="dxa"/>
            <w:tcBorders>
              <w:top w:val="single" w:sz="4" w:space="0" w:color="auto"/>
              <w:left w:val="single" w:sz="4" w:space="0" w:color="auto"/>
              <w:bottom w:val="single" w:sz="4" w:space="0" w:color="auto"/>
              <w:right w:val="single" w:sz="4" w:space="0" w:color="auto"/>
            </w:tcBorders>
            <w:hideMark/>
          </w:tcPr>
          <w:p w:rsidR="00EE2317" w:rsidRDefault="00EE2317">
            <w:pPr>
              <w:pStyle w:val="ListNumber"/>
              <w:numPr>
                <w:ilvl w:val="0"/>
                <w:numId w:val="0"/>
              </w:numPr>
              <w:spacing w:before="120" w:after="120" w:line="240" w:lineRule="auto"/>
            </w:pPr>
            <w:r>
              <w:t>5 years from March 12, 2010</w:t>
            </w:r>
          </w:p>
        </w:tc>
        <w:tc>
          <w:tcPr>
            <w:tcW w:w="2438" w:type="dxa"/>
            <w:tcBorders>
              <w:top w:val="single" w:sz="4" w:space="0" w:color="auto"/>
              <w:left w:val="single" w:sz="4" w:space="0" w:color="auto"/>
              <w:bottom w:val="single" w:sz="4" w:space="0" w:color="auto"/>
              <w:right w:val="single" w:sz="4" w:space="0" w:color="auto"/>
            </w:tcBorders>
            <w:hideMark/>
          </w:tcPr>
          <w:p w:rsidR="00EE2317" w:rsidRDefault="00EE2317">
            <w:pPr>
              <w:pStyle w:val="ListNumber"/>
              <w:numPr>
                <w:ilvl w:val="0"/>
                <w:numId w:val="0"/>
              </w:numPr>
              <w:spacing w:before="120" w:after="120" w:line="240" w:lineRule="auto"/>
              <w:jc w:val="center"/>
            </w:pPr>
            <w:r>
              <w:t>$9,000</w:t>
            </w:r>
          </w:p>
        </w:tc>
      </w:tr>
    </w:tbl>
    <w:p w:rsidR="00EE2317" w:rsidRDefault="00EE2317" w:rsidP="00EE2317"/>
    <w:p w:rsidR="00EE2317" w:rsidRDefault="00B92B40" w:rsidP="00EE2317">
      <w:r>
        <w:tab/>
      </w:r>
      <w:r>
        <w:tab/>
      </w:r>
      <w:r w:rsidR="00EE2317">
        <w:t>The parties state that the settlement reflects a roll-in of estimated 2012 state taxes and tax rates into base rates, in particular including the 2012 capital stock tax rate of 1.89 mills.  In accordance with the provisions of 52 Pa. Code § 69.55, the STAS for United shall be established at 0% effective with the effective date of settlement rates in this proceeding.</w:t>
      </w:r>
    </w:p>
    <w:p w:rsidR="00EE2317" w:rsidRDefault="00EE2317" w:rsidP="00EE2317"/>
    <w:p w:rsidR="00EE2317" w:rsidRDefault="00B92B40" w:rsidP="00EE2317">
      <w:r>
        <w:tab/>
      </w:r>
      <w:r>
        <w:tab/>
      </w:r>
      <w:r w:rsidR="00EE2317">
        <w:t>Further, the DSIC for United shall be established at 0% effective with the effective date of settlement rates in this proceeding, and shall be subject to change effective January 1, 2012.</w:t>
      </w:r>
    </w:p>
    <w:p w:rsidR="00EE2317" w:rsidRDefault="00EE2317" w:rsidP="00EE2317"/>
    <w:p w:rsidR="00EE2317" w:rsidRDefault="00B92B40" w:rsidP="00EE2317">
      <w:r>
        <w:tab/>
      </w:r>
      <w:r>
        <w:tab/>
      </w:r>
      <w:r w:rsidR="00EE2317">
        <w:t>The allowed increase in revenues is shown in the proof of revenues attached as Appendix B to the settlement.  Appendix B reflects the allocation of the increase to rates among the rate classes as agreed to by the Joint Petitioners.  The stipulated rate design incorporates the following elements:</w:t>
      </w:r>
    </w:p>
    <w:p w:rsidR="00EE2317" w:rsidRDefault="00EE2317" w:rsidP="00EE2317"/>
    <w:p w:rsidR="00EE2317" w:rsidRDefault="00EE2317" w:rsidP="00EE2317">
      <w:pPr>
        <w:ind w:left="720" w:firstLine="720"/>
      </w:pPr>
      <w:r>
        <w:t>(i)</w:t>
      </w:r>
      <w:r>
        <w:tab/>
        <w:t>Pursuant to the settlement of United’s 2009 rate case, United proposed and the Parties agree to the establishment of separate block rates for residential, commercial, industrial, large industrial and public authority classes;</w:t>
      </w:r>
    </w:p>
    <w:p w:rsidR="00EE2317" w:rsidRDefault="00EE2317" w:rsidP="00EE2317">
      <w:pPr>
        <w:ind w:left="720" w:firstLine="720"/>
      </w:pPr>
    </w:p>
    <w:p w:rsidR="00EE2317" w:rsidRDefault="00EE2317" w:rsidP="00EE2317">
      <w:pPr>
        <w:ind w:left="720" w:firstLine="720"/>
      </w:pPr>
      <w:r>
        <w:t>(ii)</w:t>
      </w:r>
      <w:r>
        <w:tab/>
        <w:t>The proposed increases to the separate customer classes are scaled back proportionately under the settlement, with the exception that no change is made to proposed rates for Public Fire; and,</w:t>
      </w:r>
    </w:p>
    <w:p w:rsidR="00B92B40" w:rsidRDefault="00B92B40" w:rsidP="00EE2317">
      <w:pPr>
        <w:ind w:left="720" w:firstLine="720"/>
      </w:pPr>
    </w:p>
    <w:p w:rsidR="00EE2317" w:rsidRDefault="00EE2317" w:rsidP="00EE2317">
      <w:pPr>
        <w:ind w:left="720" w:firstLine="720"/>
      </w:pPr>
      <w:r>
        <w:t>(iii)</w:t>
      </w:r>
      <w:r>
        <w:tab/>
        <w:t>The 5/8” meter customer charge will be $11.00, an increase from the current 5/8” meter customer charge of $10.25.  The 3/4” meter customer charge will be $11.00, a decrease from the current 3/4” meter customer charge of $15.40.  All other customer charges are increased proportionate to the 5/8” meter customer charge increase.</w:t>
      </w:r>
    </w:p>
    <w:p w:rsidR="00EE2317" w:rsidRDefault="00EE2317" w:rsidP="00EE2317">
      <w:pPr>
        <w:ind w:left="720" w:firstLine="720"/>
      </w:pPr>
    </w:p>
    <w:p w:rsidR="00EE2317" w:rsidRDefault="00B92B40" w:rsidP="00EE2317">
      <w:r>
        <w:tab/>
      </w:r>
      <w:r>
        <w:tab/>
      </w:r>
      <w:r w:rsidR="00EE2317">
        <w:t>Other miscellaneous tariff changes proposed by United were approved as part of the settlement and are set forth in Appendix A.</w:t>
      </w:r>
    </w:p>
    <w:p w:rsidR="00EE2317" w:rsidRDefault="00EE2317" w:rsidP="00EE2317"/>
    <w:p w:rsidR="00EE2317" w:rsidRDefault="00B92B40" w:rsidP="00EE2317">
      <w:r>
        <w:lastRenderedPageBreak/>
        <w:tab/>
      </w:r>
      <w:r>
        <w:tab/>
      </w:r>
      <w:r w:rsidR="00EE2317">
        <w:t>Joint Petitioners agree that United shall use the depreciation rates as filed in this proceeding and reflected in the Supplemental Direct Testimony of James C. Cagle, United Statement No. 5 (Supp.).</w:t>
      </w:r>
    </w:p>
    <w:p w:rsidR="00EE2317" w:rsidRDefault="00EE2317" w:rsidP="00EE2317"/>
    <w:p w:rsidR="00EE2317" w:rsidRDefault="00B92B40" w:rsidP="00EE2317">
      <w:r>
        <w:tab/>
      </w:r>
      <w:r>
        <w:tab/>
      </w:r>
      <w:r w:rsidR="00EE2317">
        <w:t>United agreed that it will not file with the Commission a tariff or tariff supplement proposing a general increase in rates earlier than May 9, 2012; provided, however, that the foregoing provision shall not prevent United from filing a tariff or tariff supplement proposing a general increase in rates in compliance with Commission orders or in response to fundamental changes in regulatory policies or federal tax policies affecting United’s rates.</w:t>
      </w:r>
    </w:p>
    <w:p w:rsidR="00EE2317" w:rsidRDefault="00EE2317" w:rsidP="00EE2317"/>
    <w:p w:rsidR="00EE2317" w:rsidRDefault="00B92B40" w:rsidP="00EE2317">
      <w:r>
        <w:tab/>
      </w:r>
      <w:r>
        <w:tab/>
      </w:r>
      <w:r w:rsidR="00EE2317">
        <w:t>United will also continue the following with respect to unaccounted-for water (“UFW”):</w:t>
      </w:r>
    </w:p>
    <w:p w:rsidR="00EE2317" w:rsidRDefault="00EE2317" w:rsidP="00EE2317"/>
    <w:p w:rsidR="00EE2317" w:rsidRDefault="00EE2317" w:rsidP="00EE2317">
      <w:pPr>
        <w:ind w:left="720" w:firstLine="720"/>
      </w:pPr>
      <w:r>
        <w:t>(i)</w:t>
      </w:r>
      <w:r>
        <w:tab/>
        <w:t>United will calculate UFW on an individual system basis that includes the system’s non-revenue water usage allowances in accordance with Section 500 of the Commission’s Annual Report;</w:t>
      </w:r>
    </w:p>
    <w:p w:rsidR="00EE2317" w:rsidRDefault="00EE2317" w:rsidP="00EE2317">
      <w:pPr>
        <w:ind w:left="720" w:firstLine="720"/>
      </w:pPr>
    </w:p>
    <w:p w:rsidR="00EE2317" w:rsidRDefault="00EE2317" w:rsidP="00EE2317">
      <w:pPr>
        <w:ind w:left="720" w:firstLine="720"/>
      </w:pPr>
      <w:r>
        <w:t>(ii)</w:t>
      </w:r>
      <w:r>
        <w:tab/>
        <w:t>The reports that United submits to the Commission and the Pennsylvania Department of Environmental Protection shall contain consistent data where applicable;</w:t>
      </w:r>
    </w:p>
    <w:p w:rsidR="00EE2317" w:rsidRDefault="00EE2317" w:rsidP="00EE2317">
      <w:pPr>
        <w:ind w:left="720" w:firstLine="720"/>
      </w:pPr>
    </w:p>
    <w:p w:rsidR="00EE2317" w:rsidRDefault="00EE2317" w:rsidP="00EE2317">
      <w:pPr>
        <w:ind w:left="720" w:firstLine="720"/>
      </w:pPr>
      <w:r>
        <w:t>(iii)</w:t>
      </w:r>
      <w:r>
        <w:tab/>
        <w:t>United will continue its action plan and schedule of implementation for improving UFW, with a focus on minimizing real water losses in each of its water systems.  United’s plans, in addition to the programs outlined in United Statement No. 1, include the following:</w:t>
      </w:r>
    </w:p>
    <w:p w:rsidR="00EE2317" w:rsidRDefault="00EE2317" w:rsidP="00EE2317">
      <w:pPr>
        <w:ind w:left="720" w:firstLine="720"/>
      </w:pPr>
    </w:p>
    <w:p w:rsidR="00EE2317" w:rsidRDefault="00EE2317" w:rsidP="00EE2317">
      <w:pPr>
        <w:spacing w:line="240" w:lineRule="auto"/>
        <w:ind w:left="720" w:firstLine="720"/>
      </w:pPr>
      <w:r>
        <w:t>•</w:t>
      </w:r>
      <w:r>
        <w:tab/>
        <w:t>Conduct annual general leak surveys of all United systems</w:t>
      </w:r>
    </w:p>
    <w:p w:rsidR="00EE2317" w:rsidRDefault="00EE2317" w:rsidP="00EE2317">
      <w:pPr>
        <w:spacing w:line="240" w:lineRule="auto"/>
        <w:ind w:left="720" w:firstLine="720"/>
      </w:pPr>
    </w:p>
    <w:p w:rsidR="00EE2317" w:rsidRDefault="00EE2317" w:rsidP="00EE2317">
      <w:pPr>
        <w:spacing w:line="240" w:lineRule="auto"/>
        <w:ind w:left="720" w:firstLine="720"/>
      </w:pPr>
      <w:r>
        <w:t>•</w:t>
      </w:r>
      <w:r>
        <w:tab/>
        <w:t>Deploy semi-permanent acoustical leak detection loggers at critical locations</w:t>
      </w:r>
    </w:p>
    <w:p w:rsidR="00EE2317" w:rsidRDefault="00EE2317" w:rsidP="00EE2317">
      <w:pPr>
        <w:spacing w:line="240" w:lineRule="auto"/>
        <w:ind w:left="720" w:firstLine="720"/>
      </w:pPr>
    </w:p>
    <w:p w:rsidR="00EE2317" w:rsidRDefault="00EE2317" w:rsidP="00EE2317">
      <w:pPr>
        <w:spacing w:line="240" w:lineRule="auto"/>
        <w:ind w:left="720" w:firstLine="720"/>
      </w:pPr>
      <w:r>
        <w:t>•</w:t>
      </w:r>
      <w:r>
        <w:tab/>
        <w:t>Establish additional District Metered Areas in Harrisburg</w:t>
      </w:r>
    </w:p>
    <w:p w:rsidR="00EE2317" w:rsidRDefault="00EE2317" w:rsidP="00EE2317">
      <w:pPr>
        <w:spacing w:line="240" w:lineRule="auto"/>
        <w:ind w:left="720" w:firstLine="720"/>
      </w:pPr>
    </w:p>
    <w:p w:rsidR="00EE2317" w:rsidRDefault="00EE2317" w:rsidP="00EE2317">
      <w:pPr>
        <w:spacing w:line="240" w:lineRule="auto"/>
        <w:ind w:left="720" w:firstLine="720"/>
      </w:pPr>
      <w:r>
        <w:t>•</w:t>
      </w:r>
      <w:r>
        <w:tab/>
        <w:t>Employ pressure management strategies to reduce real water losses</w:t>
      </w:r>
    </w:p>
    <w:p w:rsidR="00EE2317" w:rsidRDefault="00EE2317" w:rsidP="00EE2317">
      <w:pPr>
        <w:spacing w:line="240" w:lineRule="auto"/>
        <w:ind w:left="720" w:firstLine="720"/>
      </w:pPr>
    </w:p>
    <w:p w:rsidR="00EE2317" w:rsidRDefault="00EE2317" w:rsidP="00EE2317">
      <w:pPr>
        <w:spacing w:line="240" w:lineRule="auto"/>
        <w:ind w:left="720" w:firstLine="720"/>
      </w:pPr>
      <w:r>
        <w:lastRenderedPageBreak/>
        <w:t>•</w:t>
      </w:r>
      <w:r>
        <w:tab/>
        <w:t>Calibrate/test production, plant and distribution system meters to improve meter accuracy</w:t>
      </w:r>
    </w:p>
    <w:p w:rsidR="00EE2317" w:rsidRDefault="00EE2317" w:rsidP="00EE2317">
      <w:pPr>
        <w:spacing w:line="240" w:lineRule="auto"/>
        <w:ind w:left="720" w:firstLine="720"/>
      </w:pPr>
    </w:p>
    <w:p w:rsidR="00EE2317" w:rsidRDefault="00EE2317" w:rsidP="00EE2317">
      <w:pPr>
        <w:spacing w:line="240" w:lineRule="auto"/>
        <w:ind w:left="720" w:firstLine="720"/>
      </w:pPr>
      <w:r>
        <w:t>•</w:t>
      </w:r>
      <w:r>
        <w:tab/>
        <w:t>Reduce apparent losses by enhancing hydrant security and potentially providing bulk water dispensing stations.</w:t>
      </w:r>
    </w:p>
    <w:p w:rsidR="00EE2317" w:rsidRDefault="00EE2317" w:rsidP="009171C1">
      <w:pPr>
        <w:ind w:left="720" w:firstLine="720"/>
      </w:pPr>
    </w:p>
    <w:p w:rsidR="00EE2317" w:rsidRDefault="00EE2317" w:rsidP="009171C1">
      <w:r>
        <w:t>C.</w:t>
      </w:r>
      <w:r>
        <w:tab/>
      </w:r>
      <w:r>
        <w:rPr>
          <w:u w:val="single"/>
        </w:rPr>
        <w:t>Position</w:t>
      </w:r>
      <w:r w:rsidR="009F0EC0">
        <w:rPr>
          <w:u w:val="single"/>
        </w:rPr>
        <w:t>s</w:t>
      </w:r>
      <w:r>
        <w:rPr>
          <w:u w:val="single"/>
        </w:rPr>
        <w:t xml:space="preserve"> of the Parties</w:t>
      </w:r>
    </w:p>
    <w:p w:rsidR="00EE2317" w:rsidRDefault="00EE2317" w:rsidP="00EE2317"/>
    <w:p w:rsidR="00EE2317" w:rsidRDefault="00EE2317" w:rsidP="00EE2317">
      <w:r>
        <w:tab/>
        <w:t>1.</w:t>
      </w:r>
      <w:r>
        <w:tab/>
      </w:r>
      <w:r>
        <w:rPr>
          <w:u w:val="single"/>
        </w:rPr>
        <w:t>United’s Position</w:t>
      </w:r>
    </w:p>
    <w:p w:rsidR="00EE2317" w:rsidRDefault="00EE2317" w:rsidP="00EE2317"/>
    <w:p w:rsidR="00EE2317" w:rsidRDefault="005719FF" w:rsidP="00EE2317">
      <w:r>
        <w:tab/>
      </w:r>
      <w:r>
        <w:tab/>
      </w:r>
      <w:r w:rsidR="00EE2317">
        <w:t>a.</w:t>
      </w:r>
      <w:r w:rsidR="00EE2317">
        <w:tab/>
      </w:r>
      <w:r w:rsidR="00EE2317">
        <w:rPr>
          <w:u w:val="single"/>
        </w:rPr>
        <w:t>Revenue Requirement</w:t>
      </w:r>
    </w:p>
    <w:p w:rsidR="00EE2317" w:rsidRDefault="00EE2317" w:rsidP="00EE2317"/>
    <w:p w:rsidR="00EE2317" w:rsidRDefault="005719FF" w:rsidP="00EE2317">
      <w:r>
        <w:tab/>
      </w:r>
      <w:r>
        <w:tab/>
      </w:r>
      <w:r w:rsidR="00EE2317">
        <w:t xml:space="preserve">The settlement provides for a net revenue increase of $1.45 million annually based upon the pro forma level of operations for the twelve months ended December 31, 2011, or approximately 51% of United’s original request of $2.82 million.  The settlement reflects a roll-in of estimated 2012 state taxes and tax rates into base rates, in particular including the 2012 capital stock tax rate of 1.89 mills.  In accordance with the provisions of 52 Pa. Code § 69.55, the state tax adjustment surcharge (“STAS”) for United shall be established at 0% effective with the effective date of settlement rates in this proceeding.  (Settlement ¶ 13(d).)  Further, the current Distribution System Improvement Charge (“DSIC”) for United shall be established at 0% effective with the effective date of settlement.  (Settlement ¶ 13(e).)  </w:t>
      </w:r>
    </w:p>
    <w:p w:rsidR="00EE2317" w:rsidRDefault="00EE2317" w:rsidP="00EE2317"/>
    <w:p w:rsidR="00EE2317" w:rsidRDefault="005719FF" w:rsidP="00EE2317">
      <w:r>
        <w:tab/>
      </w:r>
      <w:r>
        <w:tab/>
      </w:r>
      <w:r w:rsidR="00EE2317">
        <w:t xml:space="preserve">As explained by John D. Hollenbach, United’s General Manager and Vice President, United requires additional revenues to maintain its financial health in order to provide high quality service to its customers.  (United Statement No. 1, pp. 6-7.)  The need for rate relief at this time arises principally from the following factors:  (1) energy and chemical costs; (2) reduction in overall consumption; (3) personnel expenses; (4) post retirement and pension costs; and (5) United’s capital additions since its last base rate case in 2009.  (United Statement No. 1, pp. 7, 17-22, 30-32.)  Due to these factors, United’s return on equity has declined since its last base rate case in 2009 to unacceptable levels, despite United’s substantial efforts to control costs.  (United Statement No. 1, pp. 7-8.)  The $1.45 million increase, although less than that requested by United, will provide United the opportunity to earn a reasonable return and, thereby, attract </w:t>
      </w:r>
      <w:r w:rsidR="00EE2317">
        <w:lastRenderedPageBreak/>
        <w:t>capital on reasonable terms and conditions to allow United to continue to provide safe and reliable service to its customers.</w:t>
      </w:r>
    </w:p>
    <w:p w:rsidR="00EE2317" w:rsidRDefault="00EE2317" w:rsidP="00EE2317"/>
    <w:p w:rsidR="00EE2317" w:rsidRDefault="005719FF" w:rsidP="00EE2317">
      <w:r>
        <w:tab/>
      </w:r>
      <w:r>
        <w:tab/>
      </w:r>
      <w:r w:rsidR="00EE2317">
        <w:t xml:space="preserve">Overall, the increases resulting from the settlement are reasonable in light of the significant costs incurred by United since its prior base rate case in 2009.  As explained by Mr. Hollenbach, United has made significant investment and commitments to enhance service to its customers, including:  e-billing; answering all customer calls within 30 seconds or less; having an average call abandonment rate of 3% or less; completing service appointments on time; obtaining 95% actual meter reads; maintaining United’s United Cares program to assist low-income and payment-troubled customers; and ongoing customer service training for employees.  (United Statement No. 1, pp. 17-18.)  Further, United has taken several proactive steps to improve customer outreach and education programs, as well as to receive input and feedback from customers.  (United Statement No. 1, pp. 18-23.)  In addition, United is implementing its first phase of its Business Technology Master Plan to allow United to keep pace with technology and reduce the risks related to outdated and unsupported systems, which will help insure the continuity of service and, where appropriate, enhance service to customers.  (United Statement No. 1, pp. 34-35; see also United Statement No. 8, passim.)  It is expected that the increase in annual operating revenues will enable United to meet the economic challenges caused by the significant increases in United’s costs, coupled with the reduction in overall consumption, and to fund projects needed to maintain a high quality of service and reinforce its infrastructure.  (United Statement No. 1, p. 6.)  </w:t>
      </w:r>
    </w:p>
    <w:p w:rsidR="005719FF" w:rsidRDefault="005719FF" w:rsidP="00EE2317"/>
    <w:p w:rsidR="00EE2317" w:rsidRDefault="005719FF" w:rsidP="00EE2317">
      <w:r>
        <w:tab/>
      </w:r>
      <w:r>
        <w:tab/>
      </w:r>
      <w:r w:rsidR="00EE2317">
        <w:t xml:space="preserve">In this proceeding, United, BI&amp;E, OCA, and OSBA presented testimony on United’s overall revenue requirement.  All four principal parties on revenue requirement issues are joining in this settlement.  The settlement on revenue requirement reflects a compromise of these competing litigation positions.  United believes the settlement is in the best interests of United and its customers, and is therefore in the public interest and should be approved.  </w:t>
      </w:r>
    </w:p>
    <w:p w:rsidR="00EE2317" w:rsidRDefault="00EE2317" w:rsidP="00EE2317"/>
    <w:p w:rsidR="005719FF" w:rsidRDefault="005719FF">
      <w:pPr>
        <w:spacing w:after="200"/>
      </w:pPr>
      <w:r>
        <w:br w:type="page"/>
      </w:r>
    </w:p>
    <w:p w:rsidR="00EE2317" w:rsidRDefault="005719FF" w:rsidP="00EE2317">
      <w:pPr>
        <w:rPr>
          <w:u w:val="single"/>
        </w:rPr>
      </w:pPr>
      <w:r>
        <w:lastRenderedPageBreak/>
        <w:tab/>
      </w:r>
      <w:r>
        <w:tab/>
      </w:r>
      <w:r w:rsidR="00EE2317">
        <w:t>b.</w:t>
      </w:r>
      <w:r w:rsidR="00EE2317">
        <w:tab/>
      </w:r>
      <w:r w:rsidR="00EE2317">
        <w:rPr>
          <w:u w:val="single"/>
        </w:rPr>
        <w:t>Class Revenue Requirements and Rate Design</w:t>
      </w:r>
    </w:p>
    <w:p w:rsidR="00EE2317" w:rsidRDefault="00EE2317" w:rsidP="00EE2317"/>
    <w:p w:rsidR="00EE2317" w:rsidRDefault="005719FF" w:rsidP="00EE2317">
      <w:r>
        <w:tab/>
      </w:r>
      <w:r>
        <w:tab/>
      </w:r>
      <w:r w:rsidR="00EE2317">
        <w:t>The settlement resolves issues related to class revenue requirements and rate design that arose during the course of this proceeding.  BI&amp;E, OCA, OSBA, and United were in substantial accord with respect to class revenue requirement allocations, but with certain disagreements concerning customer charges and rate designs.  The Joint Petitioners were able to reach a consensus regarding a fair allocation of the revenue requirement between classes, and the design of rates for each class.</w:t>
      </w:r>
    </w:p>
    <w:p w:rsidR="00EE2317" w:rsidRDefault="00EE2317" w:rsidP="00EE2317"/>
    <w:p w:rsidR="00EE2317" w:rsidRDefault="005719FF" w:rsidP="00EE2317">
      <w:r>
        <w:tab/>
      </w:r>
      <w:r>
        <w:tab/>
      </w:r>
      <w:r w:rsidR="00EE2317">
        <w:t xml:space="preserve">The settlement contains a number of important provisions related to rate design, both with respect to customer charges and block rates.  The 5/8 inch customer charge is increased by 6.82%, to $11.00.  (Settlement ¶ 13(f)(iii).)  This increase is significantly less than United’s original proposed 5/8 inch meter customer charge of $14.50, but continues to move towards the allocated cost of service.  (United Statement No. 6, p. 14.) </w:t>
      </w:r>
    </w:p>
    <w:p w:rsidR="00EE2317" w:rsidRDefault="00EE2317" w:rsidP="00EE2317">
      <w:r>
        <w:t xml:space="preserve"> </w:t>
      </w:r>
    </w:p>
    <w:p w:rsidR="00EE2317" w:rsidRDefault="005719FF" w:rsidP="00EE2317">
      <w:r>
        <w:tab/>
      </w:r>
      <w:r>
        <w:tab/>
      </w:r>
      <w:r w:rsidR="00EE2317">
        <w:t xml:space="preserve">The 3/4 inch meter customer charge is decreased by 28.57%, to $11.00, a significant decrease from the current 3/4 inch meter customer charge of $15.40.  (Settlement ¶ 13(f)(iii).)  This decrease is attributable to the recently amended Section 901 of the Pennsylvania Construction Code, 35 P.S. § 7210.901.  Under Section 901 of the Pennsylvania Construction Code, builders of one- and two- family residential dwellings are required to offer the buyer the option to install or equip, at the buyer’s expense, an automatic fire sprinkler system in a new residential home.  Such residential sprinkler systems will require larger meters, i.e., 3/4 inch residential meters rather than 5/8 inch residential meters.  As a result of this amendment, it is anticipated that there will be an increase in the need for larger residential meters to accommodate these sprinkler systems.  However, in order to avoid charging different customer charges to residential customers, United concluded that the 3/4 inch meter customer charge should be equivalent to the 5/8 inch meter </w:t>
      </w:r>
      <w:r w:rsidR="009F0EC0">
        <w:t xml:space="preserve">customer </w:t>
      </w:r>
      <w:r w:rsidR="00EE2317">
        <w:t xml:space="preserve">charge.  United believes that setting the 3/4 inch and 5/8 inch meter </w:t>
      </w:r>
      <w:r w:rsidR="009F0EC0">
        <w:t xml:space="preserve">customer </w:t>
      </w:r>
      <w:r w:rsidR="00EE2317">
        <w:t>charge to be the same will avoid discouraging residential customers from exercising their statutory option to install fire sprinkler systems in new residential dwellings.</w:t>
      </w:r>
    </w:p>
    <w:p w:rsidR="00EE2317" w:rsidRDefault="00EE2317" w:rsidP="00EE2317"/>
    <w:p w:rsidR="00EE2317" w:rsidRDefault="005719FF" w:rsidP="00EE2317">
      <w:r>
        <w:lastRenderedPageBreak/>
        <w:tab/>
      </w:r>
      <w:r>
        <w:tab/>
      </w:r>
      <w:r w:rsidR="00EE2317">
        <w:t xml:space="preserve">All other customer charges are increased proportionate to the 5/8” meter customer charge increase.  (Settlement ¶ 13(f)(iii).)  The customer charges under the settlement reflect a substantial compromise of United’s original proposal.  </w:t>
      </w:r>
    </w:p>
    <w:p w:rsidR="00EE2317" w:rsidRDefault="00EE2317" w:rsidP="00EE2317"/>
    <w:p w:rsidR="00EE2317" w:rsidRDefault="005719FF" w:rsidP="00EE2317">
      <w:r>
        <w:tab/>
      </w:r>
      <w:r>
        <w:tab/>
      </w:r>
      <w:r w:rsidR="00EE2317">
        <w:t xml:space="preserve">To implement the provisions of the settlement of United’s 2009 base rate case, United proposed and the Joint Petitioners agree to the establishment of separate block rates for residential, commercial, industrial, large industrial, and public authority classes.  (Settlement ¶ 13(f)(i).)  The residential customer class is moved to a single block rate structure, and separate two block rate structures are established for the commercial, industrial and public authority classes.  A single consumption rate continues to be used for the Large Industrial class.  In conjunction with the elimination of the current 5-block declining rate structure, the use of separate block rates for each customer class will simplify the existing rate structures, avoid intra-class subsidies, and provide United with the rate design flexibility needed to move all classes to full cost of service in future rate proceedings.  (United Statement No. 6, pp. 12-13; OCA Statement No. 3, p. 12; OSBA Statement No. 1, p. 8.) </w:t>
      </w:r>
    </w:p>
    <w:p w:rsidR="00EE2317" w:rsidRDefault="00EE2317" w:rsidP="00EE2317">
      <w:r>
        <w:t xml:space="preserve"> </w:t>
      </w:r>
    </w:p>
    <w:p w:rsidR="00EE2317" w:rsidRDefault="005719FF" w:rsidP="00EE2317">
      <w:r>
        <w:tab/>
      </w:r>
      <w:r>
        <w:tab/>
      </w:r>
      <w:r w:rsidR="00EE2317">
        <w:t>One issue that arose in United’s 2009 base rate case was whether United should use a separate rate class block for apartments.  United determined, based upon the results of its customer load study, that the maximum day coincident and non-coincident ratios for apartments are not sufficiently different from the ratios for the commercial class to warrant separate treatment of apartments as a separate customer class.  Consequently, in this proceeding, United proposed to include apartments in the commercial customer class.  (United Exhibit No. 6-B, II-6 through II-8.)  No parties opposed this proposal.</w:t>
      </w:r>
    </w:p>
    <w:p w:rsidR="00EE2317" w:rsidRDefault="00EE2317" w:rsidP="00EE2317"/>
    <w:p w:rsidR="00EE2317" w:rsidRDefault="005719FF" w:rsidP="00EE2317">
      <w:r>
        <w:tab/>
      </w:r>
      <w:r>
        <w:tab/>
      </w:r>
      <w:r w:rsidR="00EE2317">
        <w:t xml:space="preserve">The class revenue requirements and monthly customer charges under the terms of the settlement are set forth in Appendix B to the settlement.  As shown in Appendix B, the settlement achieves progress in the movement toward cost-based rates.  United believes the terms and conditions of settlement related to class revenue requirement and rate design are in the best interests of United and its customers, and are therefore in the public interest and should be approved. </w:t>
      </w:r>
    </w:p>
    <w:p w:rsidR="00EE2317" w:rsidRDefault="00EE2317" w:rsidP="00EE2317">
      <w:r>
        <w:t xml:space="preserve"> </w:t>
      </w:r>
    </w:p>
    <w:p w:rsidR="00EE2317" w:rsidRDefault="005719FF" w:rsidP="00EE2317">
      <w:r>
        <w:lastRenderedPageBreak/>
        <w:tab/>
      </w:r>
      <w:r>
        <w:tab/>
      </w:r>
      <w:r w:rsidR="00EE2317">
        <w:t>c.</w:t>
      </w:r>
      <w:r w:rsidR="00EE2317">
        <w:tab/>
      </w:r>
      <w:r w:rsidR="00EE2317">
        <w:rPr>
          <w:u w:val="single"/>
        </w:rPr>
        <w:t>Amortization and Depreciation</w:t>
      </w:r>
    </w:p>
    <w:p w:rsidR="00EE2317" w:rsidRDefault="00EE2317" w:rsidP="00EE2317"/>
    <w:p w:rsidR="00EE2317" w:rsidRDefault="005719FF" w:rsidP="00EE2317">
      <w:r>
        <w:tab/>
      </w:r>
      <w:r>
        <w:tab/>
      </w:r>
      <w:r w:rsidR="00EE2317">
        <w:t xml:space="preserve">In this proceeding, United proposed to amortize a deferred flood expense (Rabold) from Docket No. R-2009-2122887 and a deferred post retirement expense from Docket No. R-00973947.  No parties proposed adjustments to these claimed deferred expenses.  </w:t>
      </w:r>
    </w:p>
    <w:p w:rsidR="00EE2317" w:rsidRDefault="00EE2317" w:rsidP="00EE2317"/>
    <w:p w:rsidR="00EE2317" w:rsidRDefault="005719FF" w:rsidP="00EE2317">
      <w:r>
        <w:tab/>
      </w:r>
      <w:r>
        <w:tab/>
      </w:r>
      <w:r w:rsidR="00EE2317">
        <w:t xml:space="preserve">United also incurred expenses as a result of damages incurred due to the extreme weather conditions experienced in United’s service territory in April and May 2011.  The settlement rates reflect an amortization of the storm expenses incurred in April and May 2011.  Under the settlement, these expenses shall be amortized over five years from the effective date of rates in this case, at an annual amortization amount of $22,100.  (Settlement ¶ 13(c).) </w:t>
      </w:r>
    </w:p>
    <w:p w:rsidR="00EE2317" w:rsidRDefault="00EE2317" w:rsidP="00EE2317"/>
    <w:p w:rsidR="00EE2317" w:rsidRDefault="005719FF" w:rsidP="00EE2317">
      <w:r>
        <w:tab/>
      </w:r>
      <w:r>
        <w:tab/>
      </w:r>
      <w:r w:rsidR="00EE2317">
        <w:t>Importantly, it must be noted that United’s claim for storm expenses does not include the costs related to the extreme weather conditions and flo</w:t>
      </w:r>
      <w:r w:rsidR="007452C5">
        <w:t>oding attributable to Hurricane</w:t>
      </w:r>
      <w:r w:rsidR="00EE2317">
        <w:t xml:space="preserve"> Irene and</w:t>
      </w:r>
      <w:r w:rsidR="007452C5">
        <w:t xml:space="preserve"> Tropical Storm</w:t>
      </w:r>
      <w:r w:rsidR="00EE2317">
        <w:t xml:space="preserve"> Lee in August and September 2011.  At the time the parties entered into the settlement, the damages and costs related to these events were too speculative to be included in this proceeding.  Consequently, the settlement provides for a one-year rate case stay</w:t>
      </w:r>
      <w:r w:rsidR="009F0EC0">
        <w:t>-</w:t>
      </w:r>
      <w:r w:rsidR="00EE2317">
        <w:t>out.  (Settlement ¶ 13(i).)  This relatively short rate case stay</w:t>
      </w:r>
      <w:r w:rsidR="009F0EC0">
        <w:t>-</w:t>
      </w:r>
      <w:r w:rsidR="00EE2317">
        <w:t xml:space="preserve">out is appropriate because the costs and capital expenditures required to repair the damage caused by these two storms could be substantial. </w:t>
      </w:r>
    </w:p>
    <w:p w:rsidR="00EE2317" w:rsidRDefault="00EE2317" w:rsidP="00EE2317">
      <w:r>
        <w:t xml:space="preserve"> </w:t>
      </w:r>
    </w:p>
    <w:p w:rsidR="00EE2317" w:rsidRDefault="005719FF" w:rsidP="00EE2317">
      <w:r>
        <w:tab/>
      </w:r>
      <w:r>
        <w:tab/>
      </w:r>
      <w:r w:rsidR="00EE2317">
        <w:t xml:space="preserve">United believes the terms and conditions of settlement related to amortization and depreciation are in the best interests of United and its customers, and are therefore in the public interest and should be approved. </w:t>
      </w:r>
    </w:p>
    <w:p w:rsidR="00EE2317" w:rsidRDefault="00EE2317" w:rsidP="00EE2317">
      <w:r>
        <w:t xml:space="preserve"> </w:t>
      </w:r>
    </w:p>
    <w:p w:rsidR="00EE2317" w:rsidRDefault="005719FF" w:rsidP="00EE2317">
      <w:r>
        <w:tab/>
      </w:r>
      <w:r>
        <w:tab/>
      </w:r>
      <w:r w:rsidR="00EE2317">
        <w:t>d.</w:t>
      </w:r>
      <w:r w:rsidR="00EE2317">
        <w:tab/>
      </w:r>
      <w:r w:rsidR="00EE2317">
        <w:rPr>
          <w:u w:val="single"/>
        </w:rPr>
        <w:t>Unaccounted for Water</w:t>
      </w:r>
    </w:p>
    <w:p w:rsidR="00EE2317" w:rsidRDefault="00EE2317" w:rsidP="00EE2317"/>
    <w:p w:rsidR="00EE2317" w:rsidRDefault="005719FF" w:rsidP="00EE2317">
      <w:r>
        <w:tab/>
      </w:r>
      <w:r>
        <w:tab/>
      </w:r>
      <w:r w:rsidR="00EE2317">
        <w:t xml:space="preserve">All of United’s service is metered and each customer has a separate service line and meter, with the exception of water provided for firefighting purposes.  United has undertaken significant steps to educate customers about efficient water use practices and the availability of water-saving plumbing fixtures.  (United Statement No. 1, pp. 19-22.)  In addition, United has </w:t>
      </w:r>
      <w:r w:rsidR="00EE2317">
        <w:lastRenderedPageBreak/>
        <w:t>vigorous practices aimed at reducing Non-Revenue Water (“NRW”), which have resulted in a consistent downward trend.  These practices are in addition to the slightly more reactive leak survey activities that are conducted within each of United’s thirteen (13) systems.  (United Statement No. 1, pp. 24-25; United Statement No. 1-R, pp. 3, 5.)</w:t>
      </w:r>
    </w:p>
    <w:p w:rsidR="00EE2317" w:rsidRDefault="00EE2317" w:rsidP="00EE2317"/>
    <w:p w:rsidR="00EE2317" w:rsidRDefault="005719FF" w:rsidP="00EE2317">
      <w:r>
        <w:tab/>
      </w:r>
      <w:r>
        <w:tab/>
      </w:r>
      <w:r w:rsidR="00EE2317">
        <w:t xml:space="preserve">United, through the support of DSIC, has a strong program to replace mains, services, and meters, all of which can contribute to NRW.  As of July 2011, United has surveyed 298 miles of main (nearly 40%) using acoustical data loggers and has completed leak surveys in each of its thirteen systems.  From those surveys, United has located and repaired 183 leaks on both services and mains.  United continues to invest capital in NRW projects and the latest leak detection technology.  In addition, United has undertaken measures to ensure that fire hydrants are preserved only for emergency use.  (United Statement No. 1-R, pp. 5-6.)  </w:t>
      </w:r>
    </w:p>
    <w:p w:rsidR="00EE2317" w:rsidRDefault="00EE2317" w:rsidP="00EE2317"/>
    <w:p w:rsidR="00EE2317" w:rsidRDefault="005719FF" w:rsidP="00EE2317">
      <w:r>
        <w:tab/>
      </w:r>
      <w:r>
        <w:tab/>
      </w:r>
      <w:r w:rsidR="00EE2317">
        <w:t>Finally, United has volunteered to participate in the Commission’s Water Audit pilot program.  The Water Audit methodology was established by the International Water Association (“IWA”) and the American Water Works Association (“AWWA”) and is widely considered to be a best practice by providing a more-structured audit for drinking water utilities and an alternative to the conventional percentage Unaccounted-for-Water methodology.  The Water Audit derives an index referred to as the Infrastructure Leakage Index (“ILI”), which is a ratio of the current annual real losses to the unavoidable annual real losses.  The Commission implemented the new Water Audit methodology on a pilot basis in 2009.  (United Statement No. 1-R, pp. 6-7.)</w:t>
      </w:r>
    </w:p>
    <w:p w:rsidR="00EE2317" w:rsidRDefault="00EE2317" w:rsidP="00EE2317"/>
    <w:p w:rsidR="00EE2317" w:rsidRDefault="005719FF" w:rsidP="00EE2317">
      <w:r>
        <w:tab/>
      </w:r>
      <w:r>
        <w:tab/>
      </w:r>
      <w:r w:rsidR="00EE2317">
        <w:t xml:space="preserve">United completed a company-wide Water Audit for both 2009 and 2010 as part of its voluntary participation in the Commission’s pilot program.  The ILI rating for United is currently 4.7, which, according to the guidelines contained in the Water Audit Software, indicates that “the existing water supply infrastructure is sufficient to meet long-term demand as long as reasonable leakage management controls are in place.”  Finally, United’s ILI </w:t>
      </w:r>
      <w:r w:rsidR="009F0EC0">
        <w:t xml:space="preserve">rating </w:t>
      </w:r>
      <w:r w:rsidR="00EE2317">
        <w:t>has shown consistent improvement since 2007.  (United Statement No. 1-R, pp. 8-9.)</w:t>
      </w:r>
    </w:p>
    <w:p w:rsidR="00EE2317" w:rsidRDefault="00EE2317" w:rsidP="00EE2317"/>
    <w:p w:rsidR="00EE2317" w:rsidRDefault="005719FF" w:rsidP="00EE2317">
      <w:r>
        <w:lastRenderedPageBreak/>
        <w:tab/>
      </w:r>
      <w:r>
        <w:tab/>
      </w:r>
      <w:r w:rsidR="00EE2317">
        <w:t>Under the terms of the settlement, the Joint Petitioners agree that United will continue its action plan for improving unaccounted for water.  The settlement further provides that United will continue to calculate unaccounted for water on an individual system basis, which includes the system’s non-revenue water usage allowances in accordance with Section 500 of the Commission’s Annual Report, and that the reports submitted by United to the Commission and the Pennsylvania Department of Environmental Protection shall contain consistent data where applicable.  (Settlement ¶ 13(j).)  United believes that these terms and conditions of the settlement will help insure that United continues its trend of reducing unaccounted for water, and are therefore in the public interest and should be approved.</w:t>
      </w:r>
    </w:p>
    <w:p w:rsidR="00EE2317" w:rsidRDefault="00EE2317" w:rsidP="00EE2317"/>
    <w:p w:rsidR="00EE2317" w:rsidRDefault="00EE2317" w:rsidP="00EE2317">
      <w:pPr>
        <w:ind w:firstLine="720"/>
        <w:rPr>
          <w:u w:val="single"/>
        </w:rPr>
      </w:pPr>
      <w:r>
        <w:t>2.</w:t>
      </w:r>
      <w:r>
        <w:tab/>
      </w:r>
      <w:r>
        <w:rPr>
          <w:u w:val="single"/>
        </w:rPr>
        <w:t>BI&amp;E’s Position</w:t>
      </w:r>
    </w:p>
    <w:p w:rsidR="00EE2317" w:rsidRDefault="00EE2317" w:rsidP="00EE2317">
      <w:pPr>
        <w:ind w:firstLine="720"/>
      </w:pPr>
    </w:p>
    <w:p w:rsidR="00EE2317" w:rsidRDefault="00721E0B" w:rsidP="00EE2317">
      <w:r>
        <w:tab/>
      </w:r>
      <w:r>
        <w:tab/>
      </w:r>
      <w:r w:rsidR="00EE2317">
        <w:t>BI&amp;E considers Commission approval of the terms and conditions of the settlement to have the same effect as full and complete litigation and further recognizes that final resolution of this proceeding by approval of the settlement shall result in Commission-made rates.</w:t>
      </w:r>
    </w:p>
    <w:p w:rsidR="00EE2317" w:rsidRDefault="00EE2317" w:rsidP="00EE2317"/>
    <w:p w:rsidR="00EE2317" w:rsidRDefault="00721E0B" w:rsidP="00EE2317">
      <w:r>
        <w:tab/>
      </w:r>
      <w:r>
        <w:tab/>
      </w:r>
      <w:r w:rsidR="00EE2317">
        <w:t>BI&amp;E agrees that the terms and conditions of the settlement are in the public interest for a number of reasons, including the following:</w:t>
      </w:r>
    </w:p>
    <w:p w:rsidR="00EE2317" w:rsidRDefault="00EE2317" w:rsidP="00EE2317"/>
    <w:p w:rsidR="00EE2317" w:rsidRDefault="00EE2317" w:rsidP="00EE2317">
      <w:pPr>
        <w:pStyle w:val="Indentedquote0"/>
        <w:spacing w:after="0"/>
        <w:ind w:firstLine="720"/>
      </w:pPr>
      <w:r>
        <w:t>(a)</w:t>
      </w:r>
      <w:r>
        <w:tab/>
        <w:t>the settlement provides for a level of additional operating revenues of $1.45 million.  BI&amp;E, as one of the Joint Petitioners, agrees this is reasonable and lawful.  The proposed rate increase is in the public interest because it allows United additional annual revenue while significantly moderating the amount of the increase for United ratepayers;</w:t>
      </w:r>
    </w:p>
    <w:p w:rsidR="00EE2317" w:rsidRDefault="00EE2317" w:rsidP="00EE2317">
      <w:pPr>
        <w:pStyle w:val="Indentedquote0"/>
        <w:spacing w:after="0"/>
      </w:pPr>
    </w:p>
    <w:p w:rsidR="00EE2317" w:rsidRDefault="00EE2317" w:rsidP="00EE2317">
      <w:pPr>
        <w:pStyle w:val="Indentedquote0"/>
        <w:spacing w:after="0"/>
        <w:ind w:firstLine="720"/>
      </w:pPr>
      <w:r>
        <w:t>(b)</w:t>
      </w:r>
      <w:r>
        <w:tab/>
        <w:t>the settlement avoids the necessity of further administrative and possible appellate court proceedings, which would have been at substantial cost to the involved parties and United’s ratepayers and thereby conserves time and expenses for all involved;</w:t>
      </w:r>
    </w:p>
    <w:p w:rsidR="00EE2317" w:rsidRDefault="00EE2317" w:rsidP="00EE2317">
      <w:pPr>
        <w:pStyle w:val="Indentedquote0"/>
        <w:spacing w:after="0"/>
      </w:pPr>
    </w:p>
    <w:p w:rsidR="00721E0B" w:rsidRDefault="00EE2317" w:rsidP="00EE2317">
      <w:pPr>
        <w:pStyle w:val="Indentedquote0"/>
        <w:spacing w:after="0"/>
        <w:ind w:firstLine="720"/>
      </w:pPr>
      <w:r>
        <w:t>(c)</w:t>
      </w:r>
      <w:r>
        <w:tab/>
        <w:t xml:space="preserve">the settlement provides that United will not file another base rate increase before May 9, 2012 – a provision that </w:t>
      </w:r>
    </w:p>
    <w:p w:rsidR="00721E0B" w:rsidRDefault="00721E0B">
      <w:pPr>
        <w:spacing w:after="200"/>
        <w:rPr>
          <w:szCs w:val="24"/>
        </w:rPr>
      </w:pPr>
      <w:r>
        <w:br w:type="page"/>
      </w:r>
    </w:p>
    <w:p w:rsidR="00EE2317" w:rsidRDefault="00EE2317" w:rsidP="00721E0B">
      <w:pPr>
        <w:pStyle w:val="Indentedquote0"/>
        <w:spacing w:after="0"/>
      </w:pPr>
      <w:r>
        <w:lastRenderedPageBreak/>
        <w:t>provides a level of rate stability that would not exist if the case were fully litigated;</w:t>
      </w:r>
    </w:p>
    <w:p w:rsidR="00EE2317" w:rsidRDefault="00EE2317" w:rsidP="00EE2317">
      <w:pPr>
        <w:pStyle w:val="Indentedquote0"/>
        <w:spacing w:after="0"/>
      </w:pPr>
    </w:p>
    <w:p w:rsidR="00EE2317" w:rsidRDefault="00EE2317" w:rsidP="00EE2317">
      <w:pPr>
        <w:pStyle w:val="Indentedquote0"/>
        <w:spacing w:after="0"/>
        <w:ind w:firstLine="720"/>
      </w:pPr>
      <w:r>
        <w:t>(d)</w:t>
      </w:r>
      <w:r>
        <w:tab/>
        <w:t>the settlement avoids the rate shock to customers of a $2,823,179 million rate increase as proposed in United’s filing by reducing that to a $1.45 million increase;</w:t>
      </w:r>
    </w:p>
    <w:p w:rsidR="00EE2317" w:rsidRDefault="00EE2317" w:rsidP="00EE2317">
      <w:pPr>
        <w:pStyle w:val="Indentedquote0"/>
        <w:spacing w:after="0"/>
      </w:pPr>
    </w:p>
    <w:p w:rsidR="00EE2317" w:rsidRDefault="00EE2317" w:rsidP="00EE2317">
      <w:pPr>
        <w:pStyle w:val="Indentedquote0"/>
        <w:spacing w:after="0"/>
        <w:ind w:firstLine="720"/>
      </w:pPr>
      <w:r>
        <w:t>(e)</w:t>
      </w:r>
      <w:r>
        <w:tab/>
        <w:t>the settlement provides that United will provide the parties with its action plan and schedule of implementation for improving lost and unaccounted-for water.  This settlement term is designed to potentially reduce the expense to pump, treat and distribute unaccounted for water.</w:t>
      </w:r>
    </w:p>
    <w:p w:rsidR="00EE2317" w:rsidRDefault="00EE2317" w:rsidP="00EE2317">
      <w:pPr>
        <w:pStyle w:val="Indentedquote0"/>
        <w:spacing w:after="0"/>
      </w:pPr>
    </w:p>
    <w:p w:rsidR="00EE2317" w:rsidRDefault="00EE2317" w:rsidP="00EE2317">
      <w:pPr>
        <w:pStyle w:val="Indentedquote0"/>
        <w:spacing w:after="0"/>
      </w:pPr>
    </w:p>
    <w:p w:rsidR="00EE2317" w:rsidRDefault="00721E0B" w:rsidP="00EE2317">
      <w:r>
        <w:tab/>
      </w:r>
      <w:r>
        <w:tab/>
      </w:r>
      <w:r w:rsidR="00EE2317">
        <w:t>BI&amp;E represents that all issues have been satisfactorily resolved through discovery and discussions with United and are incorporated in the settlement.  Line by line identification of the ultimate resolution of the disputed issues is not necessary as BI&amp;E represents that the settlement maintains the proper balance of the interests of all parties.  BI&amp;E is satisfied that no further action is necessary and considers its investigation of this rate filing complete.  BI&amp;E has been thoroughly involved in the instant base rate proceeding for water service provided by United and fully supports the settlement as being in the public interest.</w:t>
      </w:r>
    </w:p>
    <w:p w:rsidR="00EE2317" w:rsidRDefault="00EE2317" w:rsidP="00EE2317"/>
    <w:p w:rsidR="00EE2317" w:rsidRDefault="00EE2317" w:rsidP="00EE2317">
      <w:pPr>
        <w:ind w:firstLine="720"/>
        <w:rPr>
          <w:u w:val="single"/>
        </w:rPr>
      </w:pPr>
      <w:r>
        <w:t xml:space="preserve">3. </w:t>
      </w:r>
      <w:r>
        <w:tab/>
      </w:r>
      <w:r>
        <w:rPr>
          <w:u w:val="single"/>
        </w:rPr>
        <w:t>OCA’s Position</w:t>
      </w:r>
    </w:p>
    <w:p w:rsidR="00EE2317" w:rsidRDefault="00EE2317" w:rsidP="00EE2317">
      <w:pPr>
        <w:ind w:firstLine="720"/>
      </w:pPr>
    </w:p>
    <w:p w:rsidR="00EE2317" w:rsidRDefault="00721E0B" w:rsidP="00EE2317">
      <w:r>
        <w:tab/>
      </w:r>
      <w:r>
        <w:tab/>
      </w:r>
      <w:r w:rsidR="00EE2317">
        <w:t>The terms and conditions of the settlement are in the public interest and satisfactorily address issues raised in the OCA’s analyses of United’s filing.  The OCA submits that the settlement, taken as a whole, is a reasonable compromise in consideration of likely litigation outcomes before the Commission.  Therefore, the OCA submits that the settlement is in the public interest and supports Commission approval of the settlement without modification.</w:t>
      </w:r>
    </w:p>
    <w:p w:rsidR="00EE2317" w:rsidRDefault="00EE2317" w:rsidP="00EE2317"/>
    <w:p w:rsidR="00EE2317" w:rsidRDefault="00721E0B" w:rsidP="00EE2317">
      <w:r>
        <w:tab/>
      </w:r>
      <w:r>
        <w:tab/>
      </w:r>
      <w:r w:rsidR="00EE2317">
        <w:t xml:space="preserve">While the settlement does not reach all the recommendations proposed by the OCA, the OCA recognizes that settlement is a product of compromise.  The OCA observes that the Commission encourages settlement; to do so it must recognize the balance of compromises struck by the settling parties.  </w:t>
      </w:r>
    </w:p>
    <w:p w:rsidR="00EE2317" w:rsidRDefault="00EE2317" w:rsidP="00EE2317"/>
    <w:p w:rsidR="00721E0B" w:rsidRDefault="00721E0B">
      <w:pPr>
        <w:spacing w:after="200"/>
      </w:pPr>
      <w:r>
        <w:br w:type="page"/>
      </w:r>
    </w:p>
    <w:p w:rsidR="00EE2317" w:rsidRDefault="00EE2317" w:rsidP="00EE2317">
      <w:pPr>
        <w:ind w:left="720" w:firstLine="720"/>
      </w:pPr>
      <w:r>
        <w:lastRenderedPageBreak/>
        <w:t>a.</w:t>
      </w:r>
      <w:r>
        <w:tab/>
      </w:r>
      <w:r>
        <w:rPr>
          <w:u w:val="single"/>
        </w:rPr>
        <w:t>Revenues</w:t>
      </w:r>
    </w:p>
    <w:p w:rsidR="00EE2317" w:rsidRDefault="00EE2317" w:rsidP="00EE2317">
      <w:pPr>
        <w:ind w:left="720"/>
      </w:pPr>
    </w:p>
    <w:p w:rsidR="00EE2317" w:rsidRDefault="00721E0B" w:rsidP="00EE2317">
      <w:r>
        <w:tab/>
      </w:r>
      <w:r>
        <w:tab/>
      </w:r>
      <w:r w:rsidR="00EE2317">
        <w:t xml:space="preserve">The proposed settlement provides for an annual revenue increase of $1.45 million, where United’s State Tax Assessment Surcharge (STAS) and current Distribution System Improvement Charge (DSIC) will be reset to zero.  This is approximately one-half the increase originally proposed by United.  The settlement ties the revenue increase to a number of important conditions that, in the OCA’s view, contribute to a just and reasonable result.  </w:t>
      </w:r>
    </w:p>
    <w:p w:rsidR="00EE2317" w:rsidRDefault="00EE2317" w:rsidP="00EE2317"/>
    <w:p w:rsidR="00EE2317" w:rsidRDefault="00EE2317" w:rsidP="00EE2317">
      <w:pPr>
        <w:ind w:left="720" w:firstLine="720"/>
      </w:pPr>
      <w:r>
        <w:t>b.</w:t>
      </w:r>
      <w:r>
        <w:tab/>
      </w:r>
      <w:r>
        <w:rPr>
          <w:u w:val="single"/>
        </w:rPr>
        <w:t>Rate Impact, Structure and Design</w:t>
      </w:r>
      <w:r>
        <w:t xml:space="preserve"> </w:t>
      </w:r>
    </w:p>
    <w:p w:rsidR="00EE2317" w:rsidRDefault="00EE2317" w:rsidP="00EE2317">
      <w:pPr>
        <w:ind w:left="720"/>
      </w:pPr>
    </w:p>
    <w:p w:rsidR="00EE2317" w:rsidRDefault="00721E0B" w:rsidP="00EE2317">
      <w:r>
        <w:tab/>
      </w:r>
      <w:r>
        <w:tab/>
      </w:r>
      <w:r w:rsidR="00EE2317">
        <w:t>In addition to challenging the overall level of rate increase, the OCA strongly opposed United’s proposed increase to the residential (5/8”) customer charge from $10.25 per month to $14.50 month, a 29% increase.</w:t>
      </w:r>
    </w:p>
    <w:p w:rsidR="00EE2317" w:rsidRDefault="00EE2317" w:rsidP="00EE2317">
      <w:r>
        <w:t xml:space="preserve"> </w:t>
      </w:r>
    </w:p>
    <w:p w:rsidR="00EE2317" w:rsidRDefault="00721E0B" w:rsidP="00EE2317">
      <w:r>
        <w:tab/>
      </w:r>
      <w:r>
        <w:tab/>
      </w:r>
      <w:r w:rsidR="00EE2317">
        <w:t>As a term of the settlement, the Joint Petitioners agreed to a customer charge of $11.00 for 5/8” meters, an increase of approximately 7%.  This charge allows lower-usage customers to avoid an even greater percentage increase in bills than they would have experienced had United’s proposed customer charge of $14.50 been implemented.</w:t>
      </w:r>
    </w:p>
    <w:p w:rsidR="00EE2317" w:rsidRDefault="00EE2317" w:rsidP="00EE2317"/>
    <w:p w:rsidR="00EE2317" w:rsidRDefault="00721E0B" w:rsidP="00EE2317">
      <w:r>
        <w:tab/>
      </w:r>
      <w:r>
        <w:tab/>
      </w:r>
      <w:r w:rsidR="00EE2317">
        <w:t>Based on the OCA’s analysis of United’s filing, the proposed revenues and rate design are more favorable overall for the residential customers than United’s originally proposed rates and are within the range of probable outcomes in the event of full litigation of the case.</w:t>
      </w:r>
    </w:p>
    <w:p w:rsidR="00EE2317" w:rsidRDefault="00EE2317" w:rsidP="00EE2317">
      <w:r>
        <w:t xml:space="preserve">  </w:t>
      </w:r>
    </w:p>
    <w:p w:rsidR="00EE2317" w:rsidRDefault="00721E0B" w:rsidP="00EE2317">
      <w:r>
        <w:tab/>
      </w:r>
      <w:r>
        <w:tab/>
      </w:r>
      <w:r w:rsidR="00EE2317">
        <w:t>c.</w:t>
      </w:r>
      <w:r w:rsidR="00EE2317">
        <w:tab/>
      </w:r>
      <w:r w:rsidR="00EE2317">
        <w:rPr>
          <w:u w:val="single"/>
        </w:rPr>
        <w:t>Stay-Out Provision</w:t>
      </w:r>
    </w:p>
    <w:p w:rsidR="00EE2317" w:rsidRDefault="00EE2317" w:rsidP="00EE2317"/>
    <w:p w:rsidR="00EE2317" w:rsidRDefault="00721E0B" w:rsidP="00F95CD7">
      <w:r>
        <w:tab/>
      </w:r>
      <w:r>
        <w:tab/>
      </w:r>
      <w:r w:rsidR="00EE2317">
        <w:t xml:space="preserve">The proposed settlement prohibits United from proposing another general rate increase for twelve months from the date this base rate case was filed, or May 9, 2012.  In the current case, United filed for the proposed base rate increase on May 9, 2011, and rates will likely not go into effect for approximately five months after the matter was filed because it is estimated that the rates will go into effect in late October 2011 at the earliest.  Assuming a similar timeframe, the proposed stay-out provision would prevent another rate increase before </w:t>
      </w:r>
      <w:r w:rsidR="00EE2317">
        <w:lastRenderedPageBreak/>
        <w:t>October 2012, if United were to file as soon as the stay-out expires on May 9, 2012.  Thus, for at least twelve months, United’s ratepayers will be assured of rate stability.</w:t>
      </w:r>
    </w:p>
    <w:p w:rsidR="00EE2317" w:rsidRDefault="00EE2317" w:rsidP="00F95CD7"/>
    <w:p w:rsidR="00EE2317" w:rsidRDefault="00EE2317" w:rsidP="00F95CD7">
      <w:pPr>
        <w:ind w:firstLine="720"/>
      </w:pPr>
      <w:r>
        <w:t xml:space="preserve">4. </w:t>
      </w:r>
      <w:r>
        <w:tab/>
      </w:r>
      <w:r>
        <w:rPr>
          <w:u w:val="single"/>
        </w:rPr>
        <w:t>OSBA’s Position</w:t>
      </w:r>
    </w:p>
    <w:p w:rsidR="00EE2317" w:rsidRDefault="00EE2317" w:rsidP="00F95CD7"/>
    <w:p w:rsidR="00AD2587" w:rsidRDefault="00AD2587" w:rsidP="00F95CD7">
      <w:r>
        <w:tab/>
      </w:r>
      <w:r>
        <w:tab/>
        <w:t xml:space="preserve">Supplement No. 23 raised several issues of concern which were identified by the OSBA in its Complaint and in the testimony of OSBA witness Brian Kalcic.  Specifically, the OSBA expressed opposition to United’s proposed rate increase of $2.82 million which </w:t>
      </w:r>
      <w:r w:rsidRPr="009969FB">
        <w:t xml:space="preserve">was based, in part, on a proposed </w:t>
      </w:r>
      <w:r>
        <w:t>10.95% return on equity (“ROE”).  Mr. Kalcic testified that the ROE should be no greater than 10.0%.  A 10.0% ROE would cap any rate increase awarded to UWPA at $1.82 million.</w:t>
      </w:r>
      <w:r>
        <w:rPr>
          <w:rStyle w:val="FootnoteReference"/>
        </w:rPr>
        <w:footnoteReference w:id="1"/>
      </w:r>
      <w:r>
        <w:t xml:space="preserve"> </w:t>
      </w:r>
    </w:p>
    <w:p w:rsidR="00AD2587" w:rsidRDefault="00AD2587" w:rsidP="00AD2587"/>
    <w:p w:rsidR="00AD2587" w:rsidRDefault="00AD2587" w:rsidP="00AD2587">
      <w:r>
        <w:tab/>
      </w:r>
      <w:r>
        <w:tab/>
        <w:t>In the settlement, United agreed to reduce the rate increase from $2.82 million to $1.45 million.  Therefore, the rate increase is below the $1.82 million cap advocated by Mr. Kalcic, and the OSBA supports the settlement.</w:t>
      </w:r>
      <w:r>
        <w:rPr>
          <w:rStyle w:val="FootnoteReference"/>
        </w:rPr>
        <w:footnoteReference w:id="2"/>
      </w:r>
    </w:p>
    <w:p w:rsidR="00AD2587" w:rsidRDefault="00AD2587" w:rsidP="00AD2587"/>
    <w:p w:rsidR="00AD2587" w:rsidRDefault="00AD2587" w:rsidP="00AD2587">
      <w:r>
        <w:tab/>
      </w:r>
      <w:r>
        <w:tab/>
        <w:t>The second issue of concern to the OSBA was revenue allocation.  The OSBA’s witness recommended approval of United’s revenue allocation at the full revenue requirement.  In his Direct Testimony, Mr. Kalcic noted that under United’s proposed revenue allocation, all customer classes would move closer to cost of service.  Therefore, Mr. Kalcic agreed with the proposed class revenue allocation, but he recommended a proportional scaleback in the proposed increases to the individual classes in the event that the revenue increase is less than requested.</w:t>
      </w:r>
      <w:r w:rsidR="00900B42">
        <w:rPr>
          <w:rStyle w:val="FootnoteReference"/>
        </w:rPr>
        <w:footnoteReference w:id="3"/>
      </w:r>
      <w:r>
        <w:t xml:space="preserve">  Since the rate design in the settlement scales back the revenue increases for each class proportionally, as advocated by Mr. Kalcic, the OSBA is satisfied with United’s rate request as modified by the settlement.</w:t>
      </w:r>
      <w:r w:rsidR="00900B42">
        <w:rPr>
          <w:rStyle w:val="FootnoteReference"/>
        </w:rPr>
        <w:footnoteReference w:id="4"/>
      </w:r>
      <w:r>
        <w:t xml:space="preserve">  The OSBA recommends that the Commission approve the settlement.</w:t>
      </w:r>
    </w:p>
    <w:p w:rsidR="00F95CD7" w:rsidRDefault="00F95CD7" w:rsidP="00F95CD7">
      <w:r>
        <w:lastRenderedPageBreak/>
        <w:t>D.</w:t>
      </w:r>
      <w:r>
        <w:tab/>
      </w:r>
      <w:r>
        <w:rPr>
          <w:u w:val="single"/>
        </w:rPr>
        <w:t>Conclusion</w:t>
      </w:r>
    </w:p>
    <w:p w:rsidR="00F95CD7" w:rsidRDefault="00F95CD7" w:rsidP="00F95CD7"/>
    <w:p w:rsidR="00F95CD7" w:rsidRDefault="00F95CD7" w:rsidP="00F95CD7">
      <w:r>
        <w:tab/>
      </w:r>
      <w:r>
        <w:tab/>
        <w:t>The settlement, if approved, will resolve all of the issues raised by the Joint Petitioners in this proceeding, including revenue requirement, revenue allocation, and certain other rate design, operational and tariff issues.  The settlement is in the best interest of United, its customers, and the Joint Petitioners, and is otherwise in the public interest.  It should accordingly be approved.</w:t>
      </w:r>
    </w:p>
    <w:p w:rsidR="00F95CD7" w:rsidRDefault="00F95CD7" w:rsidP="00F95CD7"/>
    <w:p w:rsidR="003222E0" w:rsidRDefault="00F95CD7" w:rsidP="00281414">
      <w:r>
        <w:tab/>
      </w:r>
      <w:r>
        <w:tab/>
        <w:t xml:space="preserve">As an initial matter, the fact that the settlement is unopposed in this major base rate proceeding is, in and of itself, strong evidence that the settlement is reasonable and in the public interest -- particularly given the diverse interests of the parties and the active role that they have taken in this proceeding.  Moreover, the settlement was achieved only after a comprehensive investigation of United’s claims and operations.  In addition to informal discovery, United responded to hundreds of formal discovery requests (many of which had multiple subparts).  The active parties </w:t>
      </w:r>
      <w:r w:rsidR="0014372E">
        <w:t xml:space="preserve">served </w:t>
      </w:r>
      <w:r>
        <w:t>four rounds of testimony and accompanying exhibits, including United’s direct testimony, other parties’ direct testimony, rebuttal testimony, and surrebuttal testimony.  Moreover, the active parties participated in numerous settlement discussions and formal negotiations, which ultimately led to the settlement.</w:t>
      </w:r>
    </w:p>
    <w:p w:rsidR="00281414" w:rsidRDefault="00281414" w:rsidP="00281414"/>
    <w:p w:rsidR="00F95CD7" w:rsidRDefault="003222E0" w:rsidP="00281414">
      <w:pPr>
        <w:pStyle w:val="BodyText2"/>
        <w:spacing w:line="360" w:lineRule="auto"/>
        <w:ind w:firstLine="1440"/>
        <w:rPr>
          <w:rFonts w:ascii="Times New Roman" w:hAnsi="Times New Roman"/>
        </w:rPr>
      </w:pPr>
      <w:r w:rsidRPr="00D81BBF">
        <w:rPr>
          <w:rFonts w:ascii="Times New Roman" w:hAnsi="Times New Roman"/>
        </w:rPr>
        <w:t xml:space="preserve">Approving and adopting the settlement petition is also in the public interest because accepting the settlement petition will avoid the substantial time and expense involved in litigating the proceeding.  Accepting the settlement petition will negate the need to examine or cross-examine witnesses, prepare main briefs, reply briefs, exceptions and reply exceptions and possibly file appeals.  This is in the public interest because avoiding these expenses serves the interests of </w:t>
      </w:r>
      <w:r>
        <w:rPr>
          <w:rFonts w:ascii="Times New Roman" w:hAnsi="Times New Roman"/>
        </w:rPr>
        <w:t>United</w:t>
      </w:r>
      <w:r w:rsidRPr="00D81BBF">
        <w:rPr>
          <w:rFonts w:ascii="Times New Roman" w:hAnsi="Times New Roman"/>
        </w:rPr>
        <w:t xml:space="preserve">, </w:t>
      </w:r>
      <w:r>
        <w:rPr>
          <w:rFonts w:ascii="Times New Roman" w:hAnsi="Times New Roman"/>
        </w:rPr>
        <w:t>BI&amp;E</w:t>
      </w:r>
      <w:r w:rsidRPr="00D81BBF">
        <w:rPr>
          <w:rFonts w:ascii="Times New Roman" w:hAnsi="Times New Roman"/>
        </w:rPr>
        <w:t xml:space="preserve">, OCA, OSBA and </w:t>
      </w:r>
      <w:r>
        <w:rPr>
          <w:rFonts w:ascii="Times New Roman" w:hAnsi="Times New Roman"/>
        </w:rPr>
        <w:t>United</w:t>
      </w:r>
      <w:r w:rsidRPr="00D81BBF">
        <w:rPr>
          <w:rFonts w:ascii="Times New Roman" w:hAnsi="Times New Roman"/>
        </w:rPr>
        <w:t>’s customers.</w:t>
      </w:r>
    </w:p>
    <w:p w:rsidR="00281414" w:rsidRDefault="00281414" w:rsidP="00281414">
      <w:pPr>
        <w:pStyle w:val="BodyText2"/>
        <w:spacing w:line="360" w:lineRule="auto"/>
        <w:ind w:firstLine="1440"/>
      </w:pPr>
    </w:p>
    <w:p w:rsidR="00F95CD7" w:rsidRDefault="00F95CD7" w:rsidP="00F95CD7">
      <w:r>
        <w:tab/>
      </w:r>
      <w:r>
        <w:tab/>
        <w:t>Finally, the active parties in this proceeding, and their counsel and experts, have considerable experience in rate proceedings.  Their knowledge, experience, and ability to evaluate the strengths and weaknesses of their litigation positions provided a strong base upon which to build a consensus on the settled issues.</w:t>
      </w:r>
    </w:p>
    <w:p w:rsidR="00B03564" w:rsidRDefault="00F95CD7" w:rsidP="00EA58A8">
      <w:pPr>
        <w:rPr>
          <w:szCs w:val="24"/>
        </w:rPr>
      </w:pPr>
      <w:r>
        <w:lastRenderedPageBreak/>
        <w:tab/>
      </w:r>
      <w:r>
        <w:tab/>
        <w:t>The settlement reflects a carefully-balanced compromise of the interests of the Joint Petitioners to this proceeding.  For these reasons, the settlement is just and reasonable and we recommend that the Commission approve it.</w:t>
      </w:r>
      <w:r>
        <w:br/>
      </w:r>
    </w:p>
    <w:p w:rsidR="003B79C6" w:rsidRDefault="00DE3E05" w:rsidP="003B79C6">
      <w:pPr>
        <w:pStyle w:val="Heading5"/>
        <w:suppressAutoHyphens/>
        <w:spacing w:before="0" w:after="0" w:line="360" w:lineRule="auto"/>
        <w:jc w:val="center"/>
        <w:rPr>
          <w:b w:val="0"/>
          <w:i w:val="0"/>
          <w:spacing w:val="-3"/>
          <w:sz w:val="24"/>
          <w:szCs w:val="24"/>
          <w:u w:val="single"/>
        </w:rPr>
      </w:pPr>
      <w:r>
        <w:rPr>
          <w:b w:val="0"/>
          <w:i w:val="0"/>
          <w:spacing w:val="-3"/>
          <w:sz w:val="24"/>
          <w:szCs w:val="24"/>
        </w:rPr>
        <w:t>III.</w:t>
      </w:r>
      <w:r>
        <w:rPr>
          <w:b w:val="0"/>
          <w:i w:val="0"/>
          <w:spacing w:val="-3"/>
          <w:sz w:val="24"/>
          <w:szCs w:val="24"/>
        </w:rPr>
        <w:tab/>
      </w:r>
      <w:r w:rsidR="003B79C6">
        <w:rPr>
          <w:b w:val="0"/>
          <w:i w:val="0"/>
          <w:spacing w:val="-3"/>
          <w:sz w:val="24"/>
          <w:szCs w:val="24"/>
          <w:u w:val="single"/>
        </w:rPr>
        <w:t>CONCLUSIONS OF LAW</w:t>
      </w:r>
    </w:p>
    <w:p w:rsidR="003B79C6" w:rsidRDefault="003B79C6" w:rsidP="003B79C6">
      <w:pPr>
        <w:rPr>
          <w:szCs w:val="24"/>
        </w:rPr>
      </w:pPr>
    </w:p>
    <w:p w:rsidR="003B79C6" w:rsidRDefault="003B79C6" w:rsidP="003B79C6">
      <w:pPr>
        <w:ind w:firstLine="720"/>
      </w:pPr>
      <w:r>
        <w:tab/>
        <w:t>1.</w:t>
      </w:r>
      <w:r>
        <w:tab/>
        <w:t>The Commission has jurisdiction over the subject matter of and the parties to this proceeding.</w:t>
      </w:r>
    </w:p>
    <w:p w:rsidR="003B79C6" w:rsidRDefault="003B79C6" w:rsidP="003B79C6">
      <w:pPr>
        <w:ind w:firstLine="720"/>
      </w:pPr>
      <w:r>
        <w:t xml:space="preserve"> </w:t>
      </w:r>
    </w:p>
    <w:p w:rsidR="003B79C6" w:rsidRDefault="003B79C6" w:rsidP="003B79C6">
      <w:pPr>
        <w:ind w:firstLine="720"/>
      </w:pPr>
      <w:r>
        <w:tab/>
        <w:t>2.</w:t>
      </w:r>
      <w:r>
        <w:tab/>
        <w:t>United Water Pennsylvania, Inc.</w:t>
      </w:r>
      <w:r>
        <w:rPr>
          <w:szCs w:val="26"/>
        </w:rPr>
        <w:t xml:space="preserve"> </w:t>
      </w:r>
      <w:r>
        <w:t>has satisfied the requirements of Section 1308 of the Public Utility Code and Section 53.52 of the Commission’s regulations.  66 Pa. C.S. § 1308, 52 Pa. Code § 53.52.</w:t>
      </w:r>
    </w:p>
    <w:p w:rsidR="003B79C6" w:rsidRDefault="003B79C6" w:rsidP="003B79C6">
      <w:pPr>
        <w:ind w:firstLine="720"/>
      </w:pPr>
    </w:p>
    <w:p w:rsidR="003B79C6" w:rsidRDefault="003B79C6" w:rsidP="003B79C6">
      <w:pPr>
        <w:ind w:firstLine="720"/>
      </w:pPr>
      <w:r>
        <w:tab/>
        <w:t>3.</w:t>
      </w:r>
      <w:r>
        <w:tab/>
        <w:t>United Water Pennsylvania, Inc. has met its burden of proof that it is entitled to an increase in annual revenues of $1.45 million.  66 Pa. C.S. §§ 315 and 332.</w:t>
      </w:r>
    </w:p>
    <w:p w:rsidR="003B79C6" w:rsidRDefault="003B79C6" w:rsidP="003B79C6">
      <w:pPr>
        <w:ind w:firstLine="720"/>
      </w:pPr>
    </w:p>
    <w:p w:rsidR="003B79C6" w:rsidRDefault="003B79C6" w:rsidP="003B79C6">
      <w:r>
        <w:tab/>
      </w:r>
      <w:r>
        <w:tab/>
        <w:t>4.</w:t>
      </w:r>
      <w:r>
        <w:tab/>
        <w:t>The settlement filed on September 28, 2011, among United, OCA, BI&amp;E and OSBA is in the public interest and should be approved by the Commission.</w:t>
      </w:r>
    </w:p>
    <w:p w:rsidR="003B79C6" w:rsidRDefault="003B79C6" w:rsidP="003B79C6"/>
    <w:p w:rsidR="003B79C6" w:rsidRDefault="003B79C6" w:rsidP="003B79C6">
      <w:pPr>
        <w:pStyle w:val="Heading5"/>
        <w:suppressAutoHyphens/>
        <w:spacing w:before="0" w:after="0" w:line="360" w:lineRule="auto"/>
        <w:rPr>
          <w:b w:val="0"/>
          <w:i w:val="0"/>
          <w:spacing w:val="-3"/>
          <w:sz w:val="24"/>
          <w:szCs w:val="24"/>
          <w:u w:val="single"/>
        </w:rPr>
      </w:pPr>
    </w:p>
    <w:p w:rsidR="003B79C6" w:rsidRDefault="00DE3E05" w:rsidP="003B79C6">
      <w:pPr>
        <w:pStyle w:val="Heading5"/>
        <w:suppressAutoHyphens/>
        <w:spacing w:before="0" w:after="0" w:line="360" w:lineRule="auto"/>
        <w:jc w:val="center"/>
        <w:rPr>
          <w:b w:val="0"/>
          <w:i w:val="0"/>
          <w:spacing w:val="-3"/>
          <w:sz w:val="24"/>
          <w:szCs w:val="24"/>
          <w:u w:val="single"/>
        </w:rPr>
      </w:pPr>
      <w:r>
        <w:rPr>
          <w:b w:val="0"/>
          <w:i w:val="0"/>
          <w:spacing w:val="-3"/>
          <w:sz w:val="24"/>
          <w:szCs w:val="24"/>
        </w:rPr>
        <w:t>IV.</w:t>
      </w:r>
      <w:r>
        <w:rPr>
          <w:b w:val="0"/>
          <w:i w:val="0"/>
          <w:spacing w:val="-3"/>
          <w:sz w:val="24"/>
          <w:szCs w:val="24"/>
        </w:rPr>
        <w:tab/>
      </w:r>
      <w:r w:rsidR="004144B2">
        <w:rPr>
          <w:b w:val="0"/>
          <w:i w:val="0"/>
          <w:spacing w:val="-3"/>
          <w:sz w:val="24"/>
          <w:szCs w:val="24"/>
          <w:u w:val="single"/>
        </w:rPr>
        <w:t>RECOMMENDED O</w:t>
      </w:r>
      <w:r w:rsidR="003B79C6">
        <w:rPr>
          <w:b w:val="0"/>
          <w:i w:val="0"/>
          <w:spacing w:val="-3"/>
          <w:sz w:val="24"/>
          <w:szCs w:val="24"/>
          <w:u w:val="single"/>
        </w:rPr>
        <w:t>RDER</w:t>
      </w:r>
    </w:p>
    <w:p w:rsidR="003B79C6" w:rsidRDefault="003B79C6" w:rsidP="003B79C6">
      <w:pPr>
        <w:tabs>
          <w:tab w:val="center" w:pos="4680"/>
        </w:tabs>
        <w:suppressAutoHyphens/>
        <w:jc w:val="both"/>
        <w:rPr>
          <w:b/>
          <w:spacing w:val="-3"/>
          <w:szCs w:val="24"/>
        </w:rPr>
      </w:pPr>
    </w:p>
    <w:p w:rsidR="00D70AC7" w:rsidRDefault="00D70AC7" w:rsidP="003B79C6">
      <w:pPr>
        <w:tabs>
          <w:tab w:val="left" w:pos="-720"/>
        </w:tabs>
        <w:suppressAutoHyphens/>
        <w:jc w:val="both"/>
        <w:rPr>
          <w:spacing w:val="-3"/>
        </w:rPr>
      </w:pPr>
    </w:p>
    <w:p w:rsidR="003B79C6" w:rsidRDefault="003B79C6" w:rsidP="003B79C6">
      <w:pPr>
        <w:tabs>
          <w:tab w:val="left" w:pos="-720"/>
        </w:tabs>
        <w:suppressAutoHyphens/>
        <w:jc w:val="both"/>
        <w:rPr>
          <w:spacing w:val="-3"/>
        </w:rPr>
      </w:pPr>
      <w:r>
        <w:rPr>
          <w:spacing w:val="-3"/>
        </w:rPr>
        <w:tab/>
      </w:r>
      <w:r>
        <w:rPr>
          <w:spacing w:val="-3"/>
        </w:rPr>
        <w:tab/>
        <w:t>THEREFORE,</w:t>
      </w:r>
    </w:p>
    <w:p w:rsidR="003B79C6" w:rsidRDefault="003B79C6" w:rsidP="003B79C6">
      <w:pPr>
        <w:tabs>
          <w:tab w:val="left" w:pos="-720"/>
        </w:tabs>
        <w:suppressAutoHyphens/>
        <w:jc w:val="both"/>
        <w:rPr>
          <w:spacing w:val="-3"/>
        </w:rPr>
      </w:pPr>
    </w:p>
    <w:p w:rsidR="003B79C6" w:rsidRDefault="003B79C6" w:rsidP="003B79C6">
      <w:pPr>
        <w:pStyle w:val="BodyText3"/>
        <w:tabs>
          <w:tab w:val="left" w:pos="-720"/>
        </w:tabs>
        <w:spacing w:after="0"/>
        <w:rPr>
          <w:sz w:val="24"/>
          <w:szCs w:val="24"/>
        </w:rPr>
      </w:pPr>
      <w:r>
        <w:rPr>
          <w:sz w:val="24"/>
          <w:szCs w:val="24"/>
        </w:rPr>
        <w:tab/>
      </w:r>
      <w:r>
        <w:rPr>
          <w:sz w:val="24"/>
          <w:szCs w:val="24"/>
        </w:rPr>
        <w:tab/>
        <w:t>IT IS RECOMMENDED:</w:t>
      </w:r>
    </w:p>
    <w:p w:rsidR="003B79C6" w:rsidRDefault="003B79C6" w:rsidP="003B79C6">
      <w:pPr>
        <w:tabs>
          <w:tab w:val="left" w:pos="-720"/>
        </w:tabs>
        <w:suppressAutoHyphens/>
        <w:rPr>
          <w:spacing w:val="-3"/>
          <w:szCs w:val="24"/>
        </w:rPr>
      </w:pPr>
    </w:p>
    <w:p w:rsidR="003B79C6" w:rsidRDefault="003B79C6" w:rsidP="003B79C6">
      <w:pPr>
        <w:suppressAutoHyphens/>
        <w:rPr>
          <w:spacing w:val="-3"/>
        </w:rPr>
      </w:pPr>
      <w:r>
        <w:rPr>
          <w:spacing w:val="-3"/>
        </w:rPr>
        <w:tab/>
      </w:r>
      <w:r>
        <w:rPr>
          <w:spacing w:val="-3"/>
        </w:rPr>
        <w:tab/>
        <w:t>1.</w:t>
      </w:r>
      <w:r>
        <w:rPr>
          <w:spacing w:val="-3"/>
        </w:rPr>
        <w:tab/>
        <w:t xml:space="preserve">That </w:t>
      </w:r>
      <w:r>
        <w:t xml:space="preserve">United Water Pennsylvania, Inc. </w:t>
      </w:r>
      <w:r>
        <w:rPr>
          <w:spacing w:val="-3"/>
        </w:rPr>
        <w:t xml:space="preserve">shall not place into effect the rates contained in </w:t>
      </w:r>
      <w:r>
        <w:t>Supplement No. 23 to Tariff Water-Pa. P.U.C. No. 7</w:t>
      </w:r>
      <w:r>
        <w:rPr>
          <w:spacing w:val="-3"/>
        </w:rPr>
        <w:t>.</w:t>
      </w:r>
    </w:p>
    <w:p w:rsidR="003B79C6" w:rsidRDefault="003B79C6" w:rsidP="003B79C6">
      <w:pPr>
        <w:suppressAutoHyphens/>
        <w:rPr>
          <w:spacing w:val="-3"/>
        </w:rPr>
      </w:pPr>
    </w:p>
    <w:p w:rsidR="003B79C6" w:rsidRDefault="003B79C6" w:rsidP="003B79C6">
      <w:pPr>
        <w:suppressAutoHyphens/>
        <w:rPr>
          <w:spacing w:val="-3"/>
        </w:rPr>
      </w:pPr>
      <w:r>
        <w:rPr>
          <w:spacing w:val="-3"/>
        </w:rPr>
        <w:lastRenderedPageBreak/>
        <w:tab/>
      </w:r>
      <w:r>
        <w:rPr>
          <w:spacing w:val="-3"/>
        </w:rPr>
        <w:tab/>
        <w:t>2</w:t>
      </w:r>
      <w:r>
        <w:t>.</w:t>
      </w:r>
      <w:r>
        <w:tab/>
        <w:t>That the settlement petition filed on September 28, 2011, among United Water Pennsylvania, Inc.</w:t>
      </w:r>
      <w:r>
        <w:rPr>
          <w:szCs w:val="26"/>
        </w:rPr>
        <w:t xml:space="preserve">, the Office of Consumer Advocate, </w:t>
      </w:r>
      <w:r>
        <w:t>the Pennsylvania Public Utility Commission’s Bureau of Investigation and Enforcement and the Office of Small Business Advocate in the above-captioned case is hereby approved and adopted.</w:t>
      </w:r>
    </w:p>
    <w:p w:rsidR="003B79C6" w:rsidRDefault="003B79C6" w:rsidP="003B79C6">
      <w:pPr>
        <w:suppressAutoHyphens/>
        <w:rPr>
          <w:spacing w:val="-3"/>
        </w:rPr>
      </w:pPr>
    </w:p>
    <w:p w:rsidR="003B79C6" w:rsidRDefault="003B79C6" w:rsidP="003B79C6">
      <w:pPr>
        <w:suppressAutoHyphens/>
        <w:rPr>
          <w:spacing w:val="-3"/>
        </w:rPr>
      </w:pPr>
      <w:r>
        <w:rPr>
          <w:spacing w:val="-3"/>
        </w:rPr>
        <w:tab/>
      </w:r>
      <w:r>
        <w:rPr>
          <w:spacing w:val="-3"/>
        </w:rPr>
        <w:tab/>
        <w:t>3.</w:t>
      </w:r>
      <w:r>
        <w:rPr>
          <w:spacing w:val="-3"/>
        </w:rPr>
        <w:tab/>
        <w:t xml:space="preserve">That </w:t>
      </w:r>
      <w:r>
        <w:t xml:space="preserve">United Water Pennsylvania, Inc. </w:t>
      </w:r>
      <w:r>
        <w:rPr>
          <w:spacing w:val="-3"/>
        </w:rPr>
        <w:t>shall file a tariff supplement reflecting the rates set forth in its proposed compliance tariff attached to the settlement petition as Appendix “A” to become effective on the date of the final Commission order approving the settlement petition.</w:t>
      </w:r>
    </w:p>
    <w:p w:rsidR="003B79C6" w:rsidRDefault="003B79C6" w:rsidP="003B79C6">
      <w:pPr>
        <w:suppressAutoHyphens/>
        <w:rPr>
          <w:spacing w:val="-3"/>
        </w:rPr>
      </w:pPr>
    </w:p>
    <w:p w:rsidR="003B79C6" w:rsidRDefault="003B79C6" w:rsidP="003B79C6">
      <w:pPr>
        <w:suppressAutoHyphens/>
        <w:rPr>
          <w:spacing w:val="-3"/>
        </w:rPr>
      </w:pPr>
      <w:r>
        <w:rPr>
          <w:spacing w:val="-3"/>
        </w:rPr>
        <w:tab/>
      </w:r>
      <w:r>
        <w:rPr>
          <w:spacing w:val="-3"/>
        </w:rPr>
        <w:tab/>
        <w:t>4.</w:t>
      </w:r>
      <w:r>
        <w:rPr>
          <w:spacing w:val="-3"/>
        </w:rPr>
        <w:tab/>
        <w:t xml:space="preserve">That the stipulation for admission of evidence filed on September 28, 2011 </w:t>
      </w:r>
      <w:r>
        <w:t>among United Water Pennsylvania, Inc.</w:t>
      </w:r>
      <w:r>
        <w:rPr>
          <w:szCs w:val="26"/>
        </w:rPr>
        <w:t xml:space="preserve">, the Office of Consumer Advocate, </w:t>
      </w:r>
      <w:r>
        <w:t>the Pennsylvania Public Utility Commission’s Bureau of Investigation and Enforcement and the Office of Small Business Advocate in the above-captioned case is hereby approved and adopted.</w:t>
      </w:r>
      <w:r>
        <w:rPr>
          <w:spacing w:val="-3"/>
        </w:rPr>
        <w:t xml:space="preserve"> </w:t>
      </w:r>
    </w:p>
    <w:p w:rsidR="003B79C6" w:rsidRDefault="003B79C6" w:rsidP="003B79C6">
      <w:pPr>
        <w:suppressAutoHyphens/>
        <w:rPr>
          <w:spacing w:val="-3"/>
        </w:rPr>
      </w:pPr>
    </w:p>
    <w:p w:rsidR="003B79C6" w:rsidRDefault="003B79C6" w:rsidP="003B79C6">
      <w:pPr>
        <w:pStyle w:val="ListNumber"/>
        <w:numPr>
          <w:ilvl w:val="0"/>
          <w:numId w:val="0"/>
        </w:numPr>
        <w:tabs>
          <w:tab w:val="left" w:pos="720"/>
        </w:tabs>
        <w:spacing w:line="360" w:lineRule="auto"/>
      </w:pPr>
      <w:r>
        <w:rPr>
          <w:spacing w:val="-3"/>
        </w:rPr>
        <w:tab/>
      </w:r>
      <w:r>
        <w:rPr>
          <w:spacing w:val="-3"/>
        </w:rPr>
        <w:tab/>
        <w:t>5</w:t>
      </w:r>
      <w:r>
        <w:t>.</w:t>
      </w:r>
      <w:r>
        <w:tab/>
        <w:t xml:space="preserve">That the following documents are admitted into the record as set forth in the stipulation for admission of evidence filed </w:t>
      </w:r>
      <w:r>
        <w:rPr>
          <w:spacing w:val="-3"/>
        </w:rPr>
        <w:t>September 28, 2011</w:t>
      </w:r>
      <w:r>
        <w:t>:</w:t>
      </w:r>
    </w:p>
    <w:p w:rsidR="003B79C6" w:rsidRDefault="003B79C6" w:rsidP="003B79C6">
      <w:pPr>
        <w:pStyle w:val="ListNumber"/>
        <w:numPr>
          <w:ilvl w:val="0"/>
          <w:numId w:val="0"/>
        </w:numPr>
        <w:tabs>
          <w:tab w:val="left" w:pos="720"/>
        </w:tabs>
        <w:spacing w:line="360" w:lineRule="auto"/>
      </w:pPr>
    </w:p>
    <w:p w:rsidR="003B79C6" w:rsidRDefault="003B79C6" w:rsidP="003B79C6">
      <w:pPr>
        <w:pStyle w:val="ListNumber"/>
        <w:numPr>
          <w:ilvl w:val="0"/>
          <w:numId w:val="0"/>
        </w:numPr>
        <w:tabs>
          <w:tab w:val="left" w:pos="720"/>
        </w:tabs>
        <w:spacing w:line="360" w:lineRule="auto"/>
        <w:ind w:left="720" w:firstLine="720"/>
      </w:pPr>
      <w:r>
        <w:t>A.</w:t>
      </w:r>
      <w:r>
        <w:tab/>
        <w:t>United Water Pennsylvania, Inc. Statements and Exhibits.</w:t>
      </w:r>
    </w:p>
    <w:p w:rsidR="003B79C6" w:rsidRDefault="003B79C6" w:rsidP="003B79C6">
      <w:pPr>
        <w:pStyle w:val="ListNumber"/>
        <w:numPr>
          <w:ilvl w:val="0"/>
          <w:numId w:val="0"/>
        </w:numPr>
        <w:tabs>
          <w:tab w:val="left" w:pos="720"/>
        </w:tabs>
        <w:spacing w:line="240" w:lineRule="auto"/>
        <w:ind w:left="2160"/>
      </w:pPr>
    </w:p>
    <w:p w:rsidR="003B79C6" w:rsidRDefault="003B79C6" w:rsidP="003B79C6">
      <w:pPr>
        <w:pStyle w:val="ListNumber"/>
        <w:numPr>
          <w:ilvl w:val="0"/>
          <w:numId w:val="0"/>
        </w:numPr>
        <w:tabs>
          <w:tab w:val="left" w:pos="720"/>
        </w:tabs>
        <w:spacing w:line="240" w:lineRule="auto"/>
        <w:ind w:left="2160"/>
      </w:pPr>
      <w:r>
        <w:t>(a)</w:t>
      </w:r>
      <w:r>
        <w:tab/>
        <w:t>United Water Statement No. 1, Direct Testimony of John D. Hollenbach, together with United Water Exhibit No. 1.</w:t>
      </w:r>
    </w:p>
    <w:p w:rsidR="003B79C6" w:rsidRDefault="003B79C6" w:rsidP="003B79C6">
      <w:pPr>
        <w:pStyle w:val="ListNumber"/>
        <w:numPr>
          <w:ilvl w:val="0"/>
          <w:numId w:val="0"/>
        </w:numPr>
        <w:tabs>
          <w:tab w:val="left" w:pos="720"/>
        </w:tabs>
        <w:spacing w:line="240" w:lineRule="auto"/>
        <w:ind w:left="2160"/>
      </w:pPr>
    </w:p>
    <w:p w:rsidR="003B79C6" w:rsidRDefault="003B79C6" w:rsidP="003B79C6">
      <w:pPr>
        <w:pStyle w:val="ListNumber"/>
        <w:numPr>
          <w:ilvl w:val="0"/>
          <w:numId w:val="0"/>
        </w:numPr>
        <w:tabs>
          <w:tab w:val="left" w:pos="720"/>
        </w:tabs>
        <w:spacing w:line="240" w:lineRule="auto"/>
        <w:ind w:left="2160"/>
      </w:pPr>
      <w:r>
        <w:t>(b)</w:t>
      </w:r>
      <w:r>
        <w:tab/>
        <w:t>United Water Statement No. 2, Direct Testimony of David G. Njuguna, together with United Water Exhibit No. 2.</w:t>
      </w:r>
    </w:p>
    <w:p w:rsidR="003B79C6" w:rsidRDefault="003B79C6" w:rsidP="003B79C6">
      <w:pPr>
        <w:pStyle w:val="ListNumber"/>
        <w:numPr>
          <w:ilvl w:val="0"/>
          <w:numId w:val="0"/>
        </w:numPr>
        <w:tabs>
          <w:tab w:val="left" w:pos="720"/>
        </w:tabs>
        <w:spacing w:line="240" w:lineRule="auto"/>
        <w:ind w:left="2160"/>
      </w:pPr>
    </w:p>
    <w:p w:rsidR="003B79C6" w:rsidRDefault="003B79C6" w:rsidP="003B79C6">
      <w:pPr>
        <w:pStyle w:val="ListNumber"/>
        <w:numPr>
          <w:ilvl w:val="0"/>
          <w:numId w:val="0"/>
        </w:numPr>
        <w:tabs>
          <w:tab w:val="left" w:pos="720"/>
        </w:tabs>
        <w:spacing w:line="240" w:lineRule="auto"/>
        <w:ind w:left="2160"/>
      </w:pPr>
      <w:r>
        <w:t>(c)</w:t>
      </w:r>
      <w:r>
        <w:tab/>
        <w:t>United Water Statement No. 3, Direct Testimony of Peiling Lin, together with United Water Exhibit No. 3.</w:t>
      </w:r>
    </w:p>
    <w:p w:rsidR="003B79C6" w:rsidRDefault="003B79C6" w:rsidP="003B79C6">
      <w:pPr>
        <w:pStyle w:val="ListNumber"/>
        <w:numPr>
          <w:ilvl w:val="0"/>
          <w:numId w:val="0"/>
        </w:numPr>
        <w:tabs>
          <w:tab w:val="left" w:pos="720"/>
        </w:tabs>
        <w:spacing w:line="240" w:lineRule="auto"/>
        <w:ind w:left="2160"/>
      </w:pPr>
    </w:p>
    <w:p w:rsidR="003B79C6" w:rsidRDefault="003B79C6" w:rsidP="003B79C6">
      <w:pPr>
        <w:pStyle w:val="ListNumber"/>
        <w:numPr>
          <w:ilvl w:val="0"/>
          <w:numId w:val="0"/>
        </w:numPr>
        <w:tabs>
          <w:tab w:val="left" w:pos="720"/>
        </w:tabs>
        <w:spacing w:line="240" w:lineRule="auto"/>
        <w:ind w:left="2160"/>
      </w:pPr>
      <w:r>
        <w:t>(d)</w:t>
      </w:r>
      <w:r>
        <w:tab/>
        <w:t>United Water Statement No. 4, Direct Testimony of Elda Gil, together with United Water Exhibit No. 4.</w:t>
      </w:r>
    </w:p>
    <w:p w:rsidR="003B79C6" w:rsidRDefault="003B79C6" w:rsidP="003B79C6">
      <w:pPr>
        <w:pStyle w:val="ListNumber"/>
        <w:numPr>
          <w:ilvl w:val="0"/>
          <w:numId w:val="0"/>
        </w:numPr>
        <w:tabs>
          <w:tab w:val="left" w:pos="720"/>
        </w:tabs>
        <w:spacing w:line="240" w:lineRule="auto"/>
        <w:ind w:left="2160"/>
      </w:pPr>
    </w:p>
    <w:p w:rsidR="003B79C6" w:rsidRDefault="003B79C6" w:rsidP="003B79C6">
      <w:pPr>
        <w:pStyle w:val="ListNumber"/>
        <w:numPr>
          <w:ilvl w:val="0"/>
          <w:numId w:val="0"/>
        </w:numPr>
        <w:tabs>
          <w:tab w:val="left" w:pos="720"/>
        </w:tabs>
        <w:spacing w:line="240" w:lineRule="auto"/>
        <w:ind w:left="2160"/>
      </w:pPr>
      <w:r>
        <w:t>(e)</w:t>
      </w:r>
      <w:r>
        <w:tab/>
        <w:t>United Water Statement No. 5, Direct Testimony of James C. Cagle, together with United Water Exhibit No. 5.</w:t>
      </w:r>
    </w:p>
    <w:p w:rsidR="003B79C6" w:rsidRDefault="003B79C6" w:rsidP="003B79C6">
      <w:pPr>
        <w:pStyle w:val="ListNumber"/>
        <w:numPr>
          <w:ilvl w:val="0"/>
          <w:numId w:val="0"/>
        </w:numPr>
        <w:tabs>
          <w:tab w:val="left" w:pos="720"/>
        </w:tabs>
        <w:spacing w:line="240" w:lineRule="auto"/>
        <w:ind w:left="2160"/>
      </w:pPr>
    </w:p>
    <w:p w:rsidR="003B79C6" w:rsidRDefault="003B79C6" w:rsidP="003B79C6">
      <w:pPr>
        <w:pStyle w:val="ListNumber"/>
        <w:numPr>
          <w:ilvl w:val="0"/>
          <w:numId w:val="0"/>
        </w:numPr>
        <w:tabs>
          <w:tab w:val="left" w:pos="720"/>
        </w:tabs>
        <w:spacing w:line="240" w:lineRule="auto"/>
        <w:ind w:left="2160"/>
      </w:pPr>
      <w:r>
        <w:lastRenderedPageBreak/>
        <w:t>(f)</w:t>
      </w:r>
      <w:r>
        <w:tab/>
        <w:t>United Water Statement No. 5 (Supp.), Supplemental Direct Testimony of James C. Cagle, together with United Water Exhibit No. 5 (Supp.).</w:t>
      </w:r>
    </w:p>
    <w:p w:rsidR="003B79C6" w:rsidRDefault="003B79C6" w:rsidP="003B79C6">
      <w:pPr>
        <w:pStyle w:val="ListNumber"/>
        <w:numPr>
          <w:ilvl w:val="0"/>
          <w:numId w:val="0"/>
        </w:numPr>
        <w:tabs>
          <w:tab w:val="left" w:pos="720"/>
        </w:tabs>
        <w:spacing w:line="240" w:lineRule="auto"/>
        <w:ind w:left="2160"/>
      </w:pPr>
    </w:p>
    <w:p w:rsidR="003B79C6" w:rsidRDefault="003B79C6" w:rsidP="003B79C6">
      <w:pPr>
        <w:pStyle w:val="ListNumber"/>
        <w:numPr>
          <w:ilvl w:val="0"/>
          <w:numId w:val="0"/>
        </w:numPr>
        <w:tabs>
          <w:tab w:val="left" w:pos="720"/>
        </w:tabs>
        <w:spacing w:line="240" w:lineRule="auto"/>
        <w:ind w:left="2160"/>
      </w:pPr>
      <w:r>
        <w:t>(g)</w:t>
      </w:r>
      <w:r>
        <w:tab/>
        <w:t>United Water Statement No. 6, Direct Testimony of Paul Herbert, together with United Water Exhibit Nos. 6-A and 6-B.</w:t>
      </w:r>
    </w:p>
    <w:p w:rsidR="003B79C6" w:rsidRDefault="003B79C6" w:rsidP="003B79C6">
      <w:pPr>
        <w:pStyle w:val="ListNumber"/>
        <w:numPr>
          <w:ilvl w:val="0"/>
          <w:numId w:val="0"/>
        </w:numPr>
        <w:tabs>
          <w:tab w:val="left" w:pos="720"/>
        </w:tabs>
        <w:spacing w:line="240" w:lineRule="auto"/>
        <w:ind w:left="2160"/>
      </w:pPr>
    </w:p>
    <w:p w:rsidR="003B79C6" w:rsidRDefault="003B79C6" w:rsidP="003B79C6">
      <w:pPr>
        <w:pStyle w:val="ListNumber"/>
        <w:numPr>
          <w:ilvl w:val="0"/>
          <w:numId w:val="0"/>
        </w:numPr>
        <w:tabs>
          <w:tab w:val="left" w:pos="720"/>
        </w:tabs>
        <w:spacing w:line="240" w:lineRule="auto"/>
        <w:ind w:left="2160"/>
      </w:pPr>
      <w:r>
        <w:t>(h)</w:t>
      </w:r>
      <w:r>
        <w:tab/>
        <w:t>United Water Statement No. 7, Direct Testimony of Pauline M. Ahern, together with United Water Exhibit No. 7.</w:t>
      </w:r>
    </w:p>
    <w:p w:rsidR="003B79C6" w:rsidRDefault="003B79C6" w:rsidP="003B79C6">
      <w:pPr>
        <w:pStyle w:val="ListNumber"/>
        <w:numPr>
          <w:ilvl w:val="0"/>
          <w:numId w:val="0"/>
        </w:numPr>
        <w:tabs>
          <w:tab w:val="left" w:pos="720"/>
        </w:tabs>
        <w:spacing w:line="240" w:lineRule="auto"/>
        <w:ind w:left="2160"/>
      </w:pPr>
    </w:p>
    <w:p w:rsidR="003B79C6" w:rsidRDefault="003B79C6" w:rsidP="003B79C6">
      <w:pPr>
        <w:pStyle w:val="ListNumber"/>
        <w:numPr>
          <w:ilvl w:val="0"/>
          <w:numId w:val="0"/>
        </w:numPr>
        <w:tabs>
          <w:tab w:val="left" w:pos="720"/>
        </w:tabs>
        <w:spacing w:line="240" w:lineRule="auto"/>
        <w:ind w:left="2160"/>
      </w:pPr>
      <w:r>
        <w:t>(i)</w:t>
      </w:r>
      <w:r>
        <w:tab/>
        <w:t>United Water Statement No. 8, Direct Testimony of Bruce G. Hawthorne.</w:t>
      </w:r>
    </w:p>
    <w:p w:rsidR="003B79C6" w:rsidRDefault="003B79C6" w:rsidP="003B79C6">
      <w:pPr>
        <w:pStyle w:val="ListNumber"/>
        <w:numPr>
          <w:ilvl w:val="0"/>
          <w:numId w:val="0"/>
        </w:numPr>
        <w:tabs>
          <w:tab w:val="left" w:pos="720"/>
        </w:tabs>
        <w:spacing w:line="240" w:lineRule="auto"/>
        <w:ind w:left="2160"/>
      </w:pPr>
    </w:p>
    <w:p w:rsidR="003B79C6" w:rsidRDefault="003B79C6" w:rsidP="003B79C6">
      <w:pPr>
        <w:pStyle w:val="ListNumber"/>
        <w:widowControl w:val="0"/>
        <w:numPr>
          <w:ilvl w:val="0"/>
          <w:numId w:val="0"/>
        </w:numPr>
        <w:tabs>
          <w:tab w:val="left" w:pos="720"/>
        </w:tabs>
        <w:spacing w:after="240" w:line="240" w:lineRule="auto"/>
        <w:ind w:left="2160"/>
      </w:pPr>
      <w:r>
        <w:t xml:space="preserve">(j) </w:t>
      </w:r>
      <w:r>
        <w:tab/>
        <w:t>United Water Statement No. 1R, Rebuttal Testimony of John D. Hollenbach, together with United Water Exhibit No. 1R.</w:t>
      </w:r>
    </w:p>
    <w:p w:rsidR="003B79C6" w:rsidRDefault="003B79C6" w:rsidP="003B79C6">
      <w:pPr>
        <w:pStyle w:val="ListNumber"/>
        <w:widowControl w:val="0"/>
        <w:numPr>
          <w:ilvl w:val="0"/>
          <w:numId w:val="0"/>
        </w:numPr>
        <w:tabs>
          <w:tab w:val="left" w:pos="720"/>
        </w:tabs>
        <w:spacing w:after="240" w:line="240" w:lineRule="auto"/>
        <w:ind w:left="2160"/>
      </w:pPr>
      <w:r>
        <w:t>(k)</w:t>
      </w:r>
      <w:r>
        <w:tab/>
        <w:t>United Water Statement No. 2R, Rebuttal Testimony of David G. Njuguna, together with United Water Exhibit No. 2R.</w:t>
      </w:r>
    </w:p>
    <w:p w:rsidR="003B79C6" w:rsidRDefault="003B79C6" w:rsidP="003B79C6">
      <w:pPr>
        <w:pStyle w:val="ListNumber"/>
        <w:widowControl w:val="0"/>
        <w:numPr>
          <w:ilvl w:val="0"/>
          <w:numId w:val="0"/>
        </w:numPr>
        <w:tabs>
          <w:tab w:val="left" w:pos="720"/>
        </w:tabs>
        <w:spacing w:after="240" w:line="240" w:lineRule="auto"/>
        <w:ind w:left="2160"/>
      </w:pPr>
      <w:r>
        <w:t>(l)</w:t>
      </w:r>
      <w:r>
        <w:tab/>
        <w:t>United Water Statement No. 3R, Rebuttal Testimony of Peiling Lin, together with United Water Exhibit No. 3R.</w:t>
      </w:r>
    </w:p>
    <w:p w:rsidR="003B79C6" w:rsidRDefault="003B79C6" w:rsidP="003B79C6">
      <w:pPr>
        <w:pStyle w:val="ListNumber"/>
        <w:widowControl w:val="0"/>
        <w:numPr>
          <w:ilvl w:val="0"/>
          <w:numId w:val="0"/>
        </w:numPr>
        <w:tabs>
          <w:tab w:val="left" w:pos="720"/>
        </w:tabs>
        <w:spacing w:after="240" w:line="240" w:lineRule="auto"/>
        <w:ind w:left="2160"/>
      </w:pPr>
      <w:r>
        <w:t>(m)</w:t>
      </w:r>
      <w:r>
        <w:tab/>
        <w:t>United Water Statement No. 4R, Rebuttal Testimony of Elda Gil, together with United Water Exhibit No. 4R.</w:t>
      </w:r>
    </w:p>
    <w:p w:rsidR="003B79C6" w:rsidRDefault="003B79C6" w:rsidP="003B79C6">
      <w:pPr>
        <w:pStyle w:val="ListNumber"/>
        <w:widowControl w:val="0"/>
        <w:numPr>
          <w:ilvl w:val="0"/>
          <w:numId w:val="0"/>
        </w:numPr>
        <w:tabs>
          <w:tab w:val="left" w:pos="720"/>
        </w:tabs>
        <w:spacing w:after="240" w:line="240" w:lineRule="auto"/>
        <w:ind w:left="2160"/>
      </w:pPr>
      <w:r>
        <w:t>(n)</w:t>
      </w:r>
      <w:r>
        <w:tab/>
        <w:t>United Water Statement No. 5R, Rebuttal Testimony of James C. Cagle, together with United Water Exhibit No. 5R.</w:t>
      </w:r>
    </w:p>
    <w:p w:rsidR="003B79C6" w:rsidRDefault="003B79C6" w:rsidP="003B79C6">
      <w:pPr>
        <w:pStyle w:val="ListNumber"/>
        <w:widowControl w:val="0"/>
        <w:numPr>
          <w:ilvl w:val="0"/>
          <w:numId w:val="0"/>
        </w:numPr>
        <w:tabs>
          <w:tab w:val="left" w:pos="720"/>
        </w:tabs>
        <w:spacing w:after="240" w:line="240" w:lineRule="auto"/>
        <w:ind w:left="2160"/>
      </w:pPr>
      <w:r>
        <w:t>(o)</w:t>
      </w:r>
      <w:r>
        <w:tab/>
        <w:t>United Water Statement No. 6R, Rebuttal Testimony of Paul Herbert, together with United Water Exhibit Nos. 6R-1 and 6R-2.</w:t>
      </w:r>
    </w:p>
    <w:p w:rsidR="003B79C6" w:rsidRDefault="003B79C6" w:rsidP="003B79C6">
      <w:pPr>
        <w:pStyle w:val="ListNumber"/>
        <w:widowControl w:val="0"/>
        <w:numPr>
          <w:ilvl w:val="0"/>
          <w:numId w:val="0"/>
        </w:numPr>
        <w:tabs>
          <w:tab w:val="left" w:pos="720"/>
        </w:tabs>
        <w:spacing w:after="240" w:line="240" w:lineRule="auto"/>
        <w:ind w:left="2160"/>
      </w:pPr>
      <w:r>
        <w:t>(p)</w:t>
      </w:r>
      <w:r>
        <w:tab/>
        <w:t>United Water Statement No. 7R, Rebuttal Testimony of Pauline M. Ahern, together with United Water Exhibit No. 7R.</w:t>
      </w:r>
    </w:p>
    <w:p w:rsidR="003B79C6" w:rsidRDefault="003B79C6" w:rsidP="003B79C6">
      <w:pPr>
        <w:pStyle w:val="ListNumber"/>
        <w:widowControl w:val="0"/>
        <w:numPr>
          <w:ilvl w:val="0"/>
          <w:numId w:val="0"/>
        </w:numPr>
        <w:tabs>
          <w:tab w:val="left" w:pos="720"/>
        </w:tabs>
        <w:spacing w:after="240" w:line="240" w:lineRule="auto"/>
        <w:ind w:left="2160"/>
      </w:pPr>
      <w:r>
        <w:t>(q)</w:t>
      </w:r>
      <w:r>
        <w:tab/>
        <w:t>United Water Statement No. 6-SR, Surrebuttal Testimony of Paul R. Herbert.</w:t>
      </w:r>
    </w:p>
    <w:p w:rsidR="003B79C6" w:rsidRDefault="003B79C6" w:rsidP="003B79C6">
      <w:pPr>
        <w:pStyle w:val="ListNumber"/>
        <w:widowControl w:val="0"/>
        <w:numPr>
          <w:ilvl w:val="0"/>
          <w:numId w:val="0"/>
        </w:numPr>
        <w:tabs>
          <w:tab w:val="left" w:pos="720"/>
        </w:tabs>
        <w:spacing w:after="240" w:line="240" w:lineRule="auto"/>
        <w:ind w:left="1440" w:firstLine="720"/>
      </w:pPr>
      <w:r>
        <w:t>(r)</w:t>
      </w:r>
      <w:r>
        <w:tab/>
        <w:t>Filing Requirements I through XI, which include the following:</w:t>
      </w:r>
    </w:p>
    <w:p w:rsidR="003B79C6" w:rsidRDefault="003B79C6" w:rsidP="003B79C6">
      <w:pPr>
        <w:pStyle w:val="ListNumber"/>
        <w:widowControl w:val="0"/>
        <w:numPr>
          <w:ilvl w:val="0"/>
          <w:numId w:val="8"/>
        </w:numPr>
        <w:tabs>
          <w:tab w:val="left" w:pos="720"/>
        </w:tabs>
        <w:spacing w:after="240" w:line="240" w:lineRule="auto"/>
      </w:pPr>
      <w:r>
        <w:t>Filing Requirement I, Statement of Income.</w:t>
      </w:r>
    </w:p>
    <w:p w:rsidR="003B79C6" w:rsidRDefault="003B79C6" w:rsidP="003B79C6">
      <w:pPr>
        <w:pStyle w:val="ListNumber"/>
        <w:widowControl w:val="0"/>
        <w:numPr>
          <w:ilvl w:val="0"/>
          <w:numId w:val="8"/>
        </w:numPr>
        <w:spacing w:after="240" w:line="240" w:lineRule="auto"/>
      </w:pPr>
      <w:r>
        <w:t>Filing Requirement II, Operating Revenues.</w:t>
      </w:r>
    </w:p>
    <w:p w:rsidR="003B79C6" w:rsidRDefault="003B79C6" w:rsidP="003B79C6">
      <w:pPr>
        <w:pStyle w:val="ListNumber"/>
        <w:widowControl w:val="0"/>
        <w:numPr>
          <w:ilvl w:val="0"/>
          <w:numId w:val="8"/>
        </w:numPr>
        <w:spacing w:after="240" w:line="240" w:lineRule="auto"/>
      </w:pPr>
      <w:r>
        <w:t>Filing Requirement III, Operating Expense.</w:t>
      </w:r>
    </w:p>
    <w:p w:rsidR="003B79C6" w:rsidRDefault="003B79C6" w:rsidP="003B79C6">
      <w:pPr>
        <w:pStyle w:val="ListNumber"/>
        <w:widowControl w:val="0"/>
        <w:numPr>
          <w:ilvl w:val="0"/>
          <w:numId w:val="8"/>
        </w:numPr>
        <w:spacing w:after="240" w:line="240" w:lineRule="auto"/>
      </w:pPr>
      <w:r>
        <w:t>Filing Requirement IV, Taxes (including a separately-bound “Confidential” volume).</w:t>
      </w:r>
    </w:p>
    <w:p w:rsidR="003B79C6" w:rsidRDefault="003B79C6" w:rsidP="003B79C6">
      <w:pPr>
        <w:pStyle w:val="ListNumber"/>
        <w:widowControl w:val="0"/>
        <w:numPr>
          <w:ilvl w:val="0"/>
          <w:numId w:val="8"/>
        </w:numPr>
        <w:spacing w:after="240" w:line="240" w:lineRule="auto"/>
      </w:pPr>
      <w:r>
        <w:lastRenderedPageBreak/>
        <w:t>Filing Requirement V, Rate Base.</w:t>
      </w:r>
    </w:p>
    <w:p w:rsidR="003B79C6" w:rsidRDefault="003B79C6" w:rsidP="003B79C6">
      <w:pPr>
        <w:pStyle w:val="ListNumber"/>
        <w:widowControl w:val="0"/>
        <w:numPr>
          <w:ilvl w:val="0"/>
          <w:numId w:val="8"/>
        </w:numPr>
        <w:spacing w:after="240" w:line="240" w:lineRule="auto"/>
      </w:pPr>
      <w:r>
        <w:t>Filing Requirement VI, Depreciation.</w:t>
      </w:r>
    </w:p>
    <w:p w:rsidR="003B79C6" w:rsidRDefault="003B79C6" w:rsidP="003B79C6">
      <w:pPr>
        <w:pStyle w:val="ListNumber"/>
        <w:widowControl w:val="0"/>
        <w:numPr>
          <w:ilvl w:val="0"/>
          <w:numId w:val="8"/>
        </w:numPr>
        <w:spacing w:after="240" w:line="240" w:lineRule="auto"/>
      </w:pPr>
      <w:r>
        <w:t>Filing Requirement VII, Rate of Return.</w:t>
      </w:r>
    </w:p>
    <w:p w:rsidR="003B79C6" w:rsidRDefault="003B79C6" w:rsidP="003B79C6">
      <w:pPr>
        <w:pStyle w:val="ListNumber"/>
        <w:widowControl w:val="0"/>
        <w:numPr>
          <w:ilvl w:val="0"/>
          <w:numId w:val="8"/>
        </w:numPr>
        <w:spacing w:after="240" w:line="240" w:lineRule="auto"/>
      </w:pPr>
      <w:r>
        <w:t>Filing Requirement VIII, Rate Structure – Cost of Service.</w:t>
      </w:r>
    </w:p>
    <w:p w:rsidR="003B79C6" w:rsidRDefault="003B79C6" w:rsidP="003B79C6">
      <w:pPr>
        <w:pStyle w:val="ListNumber"/>
        <w:widowControl w:val="0"/>
        <w:numPr>
          <w:ilvl w:val="0"/>
          <w:numId w:val="8"/>
        </w:numPr>
        <w:spacing w:after="240" w:line="240" w:lineRule="auto"/>
      </w:pPr>
      <w:r>
        <w:t>Filing Requirement IX, Quality of Service.</w:t>
      </w:r>
    </w:p>
    <w:p w:rsidR="003B79C6" w:rsidRDefault="003B79C6" w:rsidP="003B79C6">
      <w:pPr>
        <w:pStyle w:val="ListNumber"/>
        <w:widowControl w:val="0"/>
        <w:numPr>
          <w:ilvl w:val="0"/>
          <w:numId w:val="8"/>
        </w:numPr>
        <w:spacing w:after="240" w:line="240" w:lineRule="auto"/>
      </w:pPr>
      <w:r>
        <w:t>Filing Requirement X, Balance Sheet.</w:t>
      </w:r>
    </w:p>
    <w:p w:rsidR="003B79C6" w:rsidRDefault="003B79C6" w:rsidP="003B79C6">
      <w:pPr>
        <w:pStyle w:val="ListNumber"/>
        <w:widowControl w:val="0"/>
        <w:numPr>
          <w:ilvl w:val="0"/>
          <w:numId w:val="8"/>
        </w:numPr>
        <w:spacing w:after="240" w:line="240" w:lineRule="auto"/>
      </w:pPr>
      <w:r>
        <w:t>Filing Requirement XI, Other Data.</w:t>
      </w:r>
    </w:p>
    <w:p w:rsidR="003B79C6" w:rsidRDefault="003B79C6" w:rsidP="003B79C6">
      <w:pPr>
        <w:pStyle w:val="ListNumber"/>
        <w:widowControl w:val="0"/>
        <w:numPr>
          <w:ilvl w:val="0"/>
          <w:numId w:val="0"/>
        </w:numPr>
        <w:tabs>
          <w:tab w:val="left" w:pos="720"/>
        </w:tabs>
        <w:spacing w:after="240" w:line="240" w:lineRule="auto"/>
        <w:ind w:left="1440" w:firstLine="720"/>
      </w:pPr>
      <w:r>
        <w:t>(s)</w:t>
      </w:r>
      <w:r>
        <w:tab/>
        <w:t>United Water 2010 AON Actuarial Report.</w:t>
      </w:r>
    </w:p>
    <w:p w:rsidR="003B79C6" w:rsidRDefault="003B79C6" w:rsidP="003B79C6">
      <w:pPr>
        <w:pStyle w:val="ListNumber"/>
        <w:widowControl w:val="0"/>
        <w:numPr>
          <w:ilvl w:val="0"/>
          <w:numId w:val="0"/>
        </w:numPr>
        <w:tabs>
          <w:tab w:val="left" w:pos="720"/>
        </w:tabs>
        <w:spacing w:after="240" w:line="240" w:lineRule="auto"/>
        <w:ind w:left="1440" w:firstLine="720"/>
      </w:pPr>
      <w:r>
        <w:t>(t)</w:t>
      </w:r>
      <w:r>
        <w:tab/>
        <w:t xml:space="preserve">United Water 2010 AON Actuarial Report for Accounting (FAS </w:t>
      </w:r>
      <w:r>
        <w:tab/>
        <w:t>106).</w:t>
      </w:r>
    </w:p>
    <w:p w:rsidR="003B79C6" w:rsidRDefault="003B79C6" w:rsidP="003B79C6">
      <w:pPr>
        <w:pStyle w:val="ListNumber"/>
        <w:widowControl w:val="0"/>
        <w:numPr>
          <w:ilvl w:val="0"/>
          <w:numId w:val="0"/>
        </w:numPr>
        <w:tabs>
          <w:tab w:val="left" w:pos="720"/>
        </w:tabs>
        <w:spacing w:after="240" w:line="240" w:lineRule="auto"/>
        <w:ind w:left="1440" w:firstLine="720"/>
      </w:pPr>
      <w:r>
        <w:t>(u)</w:t>
      </w:r>
      <w:r>
        <w:tab/>
        <w:t>United Water 2009 AON Actuarial Report.</w:t>
      </w:r>
    </w:p>
    <w:p w:rsidR="003B79C6" w:rsidRDefault="003B79C6" w:rsidP="003B79C6">
      <w:pPr>
        <w:pStyle w:val="ListNumber"/>
        <w:widowControl w:val="0"/>
        <w:numPr>
          <w:ilvl w:val="0"/>
          <w:numId w:val="0"/>
        </w:numPr>
        <w:tabs>
          <w:tab w:val="left" w:pos="720"/>
        </w:tabs>
        <w:spacing w:after="240" w:line="240" w:lineRule="auto"/>
        <w:ind w:left="1440" w:firstLine="720"/>
      </w:pPr>
      <w:r>
        <w:t>(v)</w:t>
      </w:r>
      <w:r>
        <w:tab/>
        <w:t xml:space="preserve">United Water 2009 AON Actuarial Report for Accounting (FAS </w:t>
      </w:r>
      <w:r>
        <w:tab/>
        <w:t>106).</w:t>
      </w:r>
    </w:p>
    <w:p w:rsidR="003B79C6" w:rsidRDefault="003B79C6" w:rsidP="003B79C6">
      <w:pPr>
        <w:pStyle w:val="Heading2"/>
        <w:keepNext w:val="0"/>
        <w:keepLines/>
        <w:tabs>
          <w:tab w:val="num" w:pos="1440"/>
        </w:tabs>
        <w:spacing w:after="240"/>
        <w:ind w:left="1440" w:hanging="720"/>
      </w:pPr>
      <w:r>
        <w:tab/>
        <w:t>B.</w:t>
      </w:r>
      <w:r>
        <w:tab/>
        <w:t>BI&amp;E Statements and Exhibits.</w:t>
      </w:r>
    </w:p>
    <w:p w:rsidR="003B79C6" w:rsidRDefault="003B79C6" w:rsidP="003B79C6">
      <w:pPr>
        <w:pStyle w:val="ListNumber"/>
        <w:widowControl w:val="0"/>
        <w:numPr>
          <w:ilvl w:val="0"/>
          <w:numId w:val="9"/>
        </w:numPr>
        <w:tabs>
          <w:tab w:val="num" w:pos="2160"/>
        </w:tabs>
        <w:spacing w:after="240" w:line="240" w:lineRule="auto"/>
      </w:pPr>
      <w:r>
        <w:t>BI&amp;E Statement No. 1, Direct Testimony of Amanda Gordon, together with I&amp;E Exhibit No. 1.</w:t>
      </w:r>
    </w:p>
    <w:p w:rsidR="003B79C6" w:rsidRDefault="003B79C6" w:rsidP="003B79C6">
      <w:pPr>
        <w:pStyle w:val="ListNumber"/>
        <w:widowControl w:val="0"/>
        <w:numPr>
          <w:ilvl w:val="0"/>
          <w:numId w:val="9"/>
        </w:numPr>
        <w:tabs>
          <w:tab w:val="num" w:pos="2160"/>
        </w:tabs>
        <w:spacing w:after="240" w:line="240" w:lineRule="auto"/>
      </w:pPr>
      <w:r>
        <w:t>BI&amp;E Revised Exhibit No. 1, Schedules 1, 6, 8, 9, and 11.</w:t>
      </w:r>
    </w:p>
    <w:p w:rsidR="003B79C6" w:rsidRDefault="003B79C6" w:rsidP="003B79C6">
      <w:pPr>
        <w:pStyle w:val="ListNumber"/>
        <w:widowControl w:val="0"/>
        <w:numPr>
          <w:ilvl w:val="0"/>
          <w:numId w:val="9"/>
        </w:numPr>
        <w:tabs>
          <w:tab w:val="num" w:pos="2160"/>
        </w:tabs>
        <w:spacing w:after="240" w:line="240" w:lineRule="auto"/>
      </w:pPr>
      <w:r>
        <w:t>BI&amp;E Statement No. 2, Direct Testimony of Dorothy Morrissey, together with I&amp;E Exhibit No. 2.</w:t>
      </w:r>
    </w:p>
    <w:p w:rsidR="003B79C6" w:rsidRDefault="003B79C6" w:rsidP="003B79C6">
      <w:pPr>
        <w:pStyle w:val="ListNumber"/>
        <w:widowControl w:val="0"/>
        <w:numPr>
          <w:ilvl w:val="0"/>
          <w:numId w:val="9"/>
        </w:numPr>
        <w:tabs>
          <w:tab w:val="num" w:pos="2160"/>
        </w:tabs>
        <w:spacing w:after="240" w:line="240" w:lineRule="auto"/>
      </w:pPr>
      <w:r>
        <w:t>BI&amp;E Statement No. 3, Direct Testimony of Jeremy B. Hubert, together with I&amp;E Exhibit No. 3.</w:t>
      </w:r>
    </w:p>
    <w:p w:rsidR="003B79C6" w:rsidRDefault="003B79C6" w:rsidP="003B79C6">
      <w:pPr>
        <w:pStyle w:val="ListNumber"/>
        <w:widowControl w:val="0"/>
        <w:numPr>
          <w:ilvl w:val="0"/>
          <w:numId w:val="9"/>
        </w:numPr>
        <w:tabs>
          <w:tab w:val="num" w:pos="2160"/>
        </w:tabs>
        <w:spacing w:after="240" w:line="240" w:lineRule="auto"/>
      </w:pPr>
      <w:r>
        <w:t>BI&amp;E Statement No. 1-SR, Surrebuttal Testimony of Amanda Gordon, together with I&amp;E Exhibit No. 1-SR.</w:t>
      </w:r>
    </w:p>
    <w:p w:rsidR="003B79C6" w:rsidRDefault="003B79C6" w:rsidP="003B79C6">
      <w:pPr>
        <w:pStyle w:val="ListNumber"/>
        <w:widowControl w:val="0"/>
        <w:numPr>
          <w:ilvl w:val="0"/>
          <w:numId w:val="9"/>
        </w:numPr>
        <w:tabs>
          <w:tab w:val="num" w:pos="2160"/>
        </w:tabs>
        <w:spacing w:after="240" w:line="240" w:lineRule="auto"/>
      </w:pPr>
      <w:r>
        <w:t>BI&amp;E Statement No. 3-SR, Surrebuttal Testimony of Jeremy B. Hubert, together with I&amp;E Exhibit No. 3-SR.</w:t>
      </w:r>
    </w:p>
    <w:p w:rsidR="003B79C6" w:rsidRDefault="003B79C6" w:rsidP="003B79C6">
      <w:pPr>
        <w:pStyle w:val="Heading2"/>
        <w:keepNext w:val="0"/>
        <w:keepLines/>
        <w:tabs>
          <w:tab w:val="num" w:pos="1440"/>
        </w:tabs>
        <w:spacing w:after="240"/>
        <w:ind w:left="1440" w:hanging="720"/>
      </w:pPr>
      <w:r>
        <w:tab/>
        <w:t>C.</w:t>
      </w:r>
      <w:r>
        <w:tab/>
        <w:t>OCA Statements and Exhibits.</w:t>
      </w:r>
    </w:p>
    <w:p w:rsidR="003B79C6" w:rsidRDefault="003B79C6" w:rsidP="003B79C6">
      <w:pPr>
        <w:pStyle w:val="ListNumber"/>
        <w:widowControl w:val="0"/>
        <w:numPr>
          <w:ilvl w:val="0"/>
          <w:numId w:val="10"/>
        </w:numPr>
        <w:tabs>
          <w:tab w:val="num" w:pos="2160"/>
        </w:tabs>
        <w:spacing w:after="240" w:line="240" w:lineRule="auto"/>
      </w:pPr>
      <w:r>
        <w:t>Revised OCA Statement No. 1, Revised Direct Testimony of Michael A. Bleiweis, together with Appendix A and Second Revised OCA Schedules MAB-1 through MAB-41.</w:t>
      </w:r>
    </w:p>
    <w:p w:rsidR="003B79C6" w:rsidRDefault="003B79C6" w:rsidP="003B79C6">
      <w:pPr>
        <w:pStyle w:val="ListNumber"/>
        <w:widowControl w:val="0"/>
        <w:numPr>
          <w:ilvl w:val="0"/>
          <w:numId w:val="10"/>
        </w:numPr>
        <w:tabs>
          <w:tab w:val="num" w:pos="2160"/>
        </w:tabs>
        <w:spacing w:after="240" w:line="240" w:lineRule="auto"/>
      </w:pPr>
      <w:r>
        <w:lastRenderedPageBreak/>
        <w:t>OCA Statement No. 2, Direct Testimony of David C. Parcell, together with Attachment 1 and OCA Exhibit No. DCP-1.</w:t>
      </w:r>
    </w:p>
    <w:p w:rsidR="003B79C6" w:rsidRDefault="003B79C6" w:rsidP="003B79C6">
      <w:pPr>
        <w:pStyle w:val="ListNumber"/>
        <w:widowControl w:val="0"/>
        <w:numPr>
          <w:ilvl w:val="0"/>
          <w:numId w:val="10"/>
        </w:numPr>
        <w:tabs>
          <w:tab w:val="num" w:pos="2160"/>
        </w:tabs>
        <w:spacing w:after="240" w:line="240" w:lineRule="auto"/>
      </w:pPr>
      <w:r>
        <w:t>OCA Statement No. 3, Direct Testimony of Glenn A. Watkins, together with OCA Schedules GAW-1 through GAW-4.</w:t>
      </w:r>
    </w:p>
    <w:p w:rsidR="003B79C6" w:rsidRDefault="003B79C6" w:rsidP="003B79C6">
      <w:pPr>
        <w:pStyle w:val="ListNumber"/>
        <w:widowControl w:val="0"/>
        <w:numPr>
          <w:ilvl w:val="0"/>
          <w:numId w:val="10"/>
        </w:numPr>
        <w:tabs>
          <w:tab w:val="num" w:pos="2160"/>
        </w:tabs>
        <w:spacing w:after="240" w:line="240" w:lineRule="auto"/>
      </w:pPr>
      <w:r>
        <w:t>OCA Statement No. 2-S, Surrebuttal Testimony of David C. Parcell, together with OCA Exhibit DCP-2.</w:t>
      </w:r>
    </w:p>
    <w:p w:rsidR="003B79C6" w:rsidRDefault="003B79C6" w:rsidP="003B79C6">
      <w:pPr>
        <w:pStyle w:val="ListNumber"/>
        <w:widowControl w:val="0"/>
        <w:numPr>
          <w:ilvl w:val="0"/>
          <w:numId w:val="10"/>
        </w:numPr>
        <w:tabs>
          <w:tab w:val="num" w:pos="2160"/>
        </w:tabs>
        <w:spacing w:after="240" w:line="240" w:lineRule="auto"/>
      </w:pPr>
      <w:r>
        <w:t>OCA Statement No. 3-S, Surrebuttal Testimony of Glenn A. Watkins.</w:t>
      </w:r>
    </w:p>
    <w:p w:rsidR="003B79C6" w:rsidRDefault="003B79C6" w:rsidP="003B79C6">
      <w:pPr>
        <w:pStyle w:val="Heading2"/>
        <w:keepNext w:val="0"/>
        <w:keepLines/>
        <w:tabs>
          <w:tab w:val="num" w:pos="1440"/>
        </w:tabs>
        <w:spacing w:after="240"/>
        <w:ind w:left="1440" w:hanging="720"/>
      </w:pPr>
      <w:r>
        <w:tab/>
        <w:t>D.</w:t>
      </w:r>
      <w:r>
        <w:tab/>
        <w:t>OSBA Statements and Exhibits.</w:t>
      </w:r>
    </w:p>
    <w:p w:rsidR="003B79C6" w:rsidRDefault="003B79C6" w:rsidP="003B79C6">
      <w:pPr>
        <w:pStyle w:val="ListNumber"/>
        <w:widowControl w:val="0"/>
        <w:numPr>
          <w:ilvl w:val="0"/>
          <w:numId w:val="11"/>
        </w:numPr>
        <w:tabs>
          <w:tab w:val="num" w:pos="2160"/>
        </w:tabs>
        <w:spacing w:after="240" w:line="240" w:lineRule="auto"/>
      </w:pPr>
      <w:r>
        <w:t>OSBA Statement No. 1, Direct Testimony of Brian Kalcic, together with OSBA Schedules BK-1 through BK-5.</w:t>
      </w:r>
    </w:p>
    <w:p w:rsidR="003B79C6" w:rsidRDefault="003B79C6" w:rsidP="003B79C6">
      <w:pPr>
        <w:pStyle w:val="ListNumber"/>
        <w:widowControl w:val="0"/>
        <w:numPr>
          <w:ilvl w:val="0"/>
          <w:numId w:val="11"/>
        </w:numPr>
        <w:tabs>
          <w:tab w:val="num" w:pos="2160"/>
        </w:tabs>
        <w:spacing w:after="240" w:line="240" w:lineRule="auto"/>
      </w:pPr>
      <w:r>
        <w:t>OSBA Statement No. 2, Rebuttal Testimony of Brian Kalcic.</w:t>
      </w:r>
    </w:p>
    <w:p w:rsidR="003B79C6" w:rsidRDefault="003B79C6" w:rsidP="003B79C6">
      <w:pPr>
        <w:pStyle w:val="ListNumber"/>
        <w:widowControl w:val="0"/>
        <w:numPr>
          <w:ilvl w:val="0"/>
          <w:numId w:val="11"/>
        </w:numPr>
        <w:tabs>
          <w:tab w:val="num" w:pos="2160"/>
        </w:tabs>
        <w:spacing w:after="240" w:line="240" w:lineRule="auto"/>
      </w:pPr>
      <w:r>
        <w:t>OSBA Statement No. 3, Surrebuttal Testimony of Brian Kalcic.</w:t>
      </w:r>
    </w:p>
    <w:p w:rsidR="003B79C6" w:rsidRDefault="003B79C6" w:rsidP="003B79C6">
      <w:pPr>
        <w:pStyle w:val="ListNumber"/>
        <w:numPr>
          <w:ilvl w:val="0"/>
          <w:numId w:val="0"/>
        </w:numPr>
        <w:tabs>
          <w:tab w:val="left" w:pos="720"/>
        </w:tabs>
        <w:spacing w:line="360" w:lineRule="auto"/>
        <w:ind w:left="2880" w:hanging="720"/>
      </w:pPr>
    </w:p>
    <w:p w:rsidR="003B79C6" w:rsidRDefault="003B79C6" w:rsidP="003B79C6">
      <w:pPr>
        <w:suppressAutoHyphens/>
        <w:rPr>
          <w:spacing w:val="-3"/>
        </w:rPr>
      </w:pPr>
      <w:r>
        <w:rPr>
          <w:spacing w:val="-3"/>
        </w:rPr>
        <w:t xml:space="preserve"> </w:t>
      </w:r>
      <w:r>
        <w:rPr>
          <w:spacing w:val="-3"/>
        </w:rPr>
        <w:tab/>
      </w:r>
      <w:r>
        <w:rPr>
          <w:spacing w:val="-3"/>
        </w:rPr>
        <w:tab/>
        <w:t>6.</w:t>
      </w:r>
      <w:r>
        <w:rPr>
          <w:spacing w:val="-3"/>
        </w:rPr>
        <w:tab/>
        <w:t>That the investigation at Docket R-2011-2232985 be terminated and marked closed.</w:t>
      </w:r>
    </w:p>
    <w:p w:rsidR="003B79C6" w:rsidRDefault="003B79C6" w:rsidP="003B79C6">
      <w:pPr>
        <w:suppressAutoHyphens/>
        <w:rPr>
          <w:spacing w:val="-3"/>
        </w:rPr>
      </w:pPr>
    </w:p>
    <w:p w:rsidR="003B79C6" w:rsidRDefault="003B79C6" w:rsidP="003B79C6">
      <w:pPr>
        <w:pStyle w:val="TxBrp2"/>
        <w:tabs>
          <w:tab w:val="clear" w:pos="204"/>
          <w:tab w:val="left" w:pos="720"/>
        </w:tabs>
        <w:spacing w:line="360" w:lineRule="auto"/>
        <w:jc w:val="left"/>
      </w:pPr>
      <w:r>
        <w:rPr>
          <w:spacing w:val="-3"/>
        </w:rPr>
        <w:tab/>
      </w:r>
      <w:r>
        <w:rPr>
          <w:spacing w:val="-3"/>
        </w:rPr>
        <w:tab/>
        <w:t>7</w:t>
      </w:r>
      <w:r>
        <w:t>.</w:t>
      </w:r>
      <w:r>
        <w:tab/>
        <w:t xml:space="preserve">That the complaint filed by the Office of Consumer Advocate in this proceeding at Docket Number </w:t>
      </w:r>
      <w:r>
        <w:rPr>
          <w:spacing w:val="-3"/>
        </w:rPr>
        <w:t xml:space="preserve">C-2011-2243242 </w:t>
      </w:r>
      <w:r>
        <w:t>be terminated and marked closed.</w:t>
      </w:r>
    </w:p>
    <w:p w:rsidR="003B79C6" w:rsidRDefault="003B79C6" w:rsidP="003B79C6">
      <w:pPr>
        <w:pStyle w:val="TxBrp2"/>
        <w:tabs>
          <w:tab w:val="clear" w:pos="204"/>
          <w:tab w:val="left" w:pos="720"/>
        </w:tabs>
        <w:spacing w:line="360" w:lineRule="auto"/>
        <w:jc w:val="left"/>
      </w:pPr>
    </w:p>
    <w:p w:rsidR="003B79C6" w:rsidRDefault="003B79C6" w:rsidP="003B79C6">
      <w:pPr>
        <w:pStyle w:val="TxBrp2"/>
        <w:tabs>
          <w:tab w:val="clear" w:pos="204"/>
          <w:tab w:val="left" w:pos="720"/>
        </w:tabs>
        <w:spacing w:line="360" w:lineRule="auto"/>
        <w:jc w:val="left"/>
      </w:pPr>
      <w:r>
        <w:tab/>
      </w:r>
      <w:r>
        <w:tab/>
        <w:t>8.</w:t>
      </w:r>
      <w:r>
        <w:tab/>
        <w:t xml:space="preserve">That the complaint filed by the Office of Small Business Advocate in this proceeding at Docket Number </w:t>
      </w:r>
      <w:r>
        <w:rPr>
          <w:spacing w:val="-3"/>
        </w:rPr>
        <w:t>C-2011-2243146</w:t>
      </w:r>
      <w:r>
        <w:t xml:space="preserve"> be terminated and marked closed.</w:t>
      </w:r>
    </w:p>
    <w:p w:rsidR="003B79C6" w:rsidRDefault="003B79C6" w:rsidP="003B79C6">
      <w:pPr>
        <w:pStyle w:val="TxBrp2"/>
        <w:tabs>
          <w:tab w:val="clear" w:pos="204"/>
          <w:tab w:val="left" w:pos="720"/>
        </w:tabs>
        <w:spacing w:line="360" w:lineRule="auto"/>
        <w:jc w:val="left"/>
      </w:pPr>
      <w:r>
        <w:rPr>
          <w:spacing w:val="-3"/>
        </w:rPr>
        <w:tab/>
      </w:r>
      <w:r>
        <w:rPr>
          <w:spacing w:val="-3"/>
        </w:rPr>
        <w:tab/>
      </w:r>
    </w:p>
    <w:p w:rsidR="003B79C6" w:rsidRDefault="003B79C6" w:rsidP="003B79C6"/>
    <w:p w:rsidR="003B79C6" w:rsidRDefault="003B79C6" w:rsidP="003B79C6">
      <w:pPr>
        <w:spacing w:line="240" w:lineRule="auto"/>
      </w:pPr>
      <w:r>
        <w:t>Date:</w:t>
      </w:r>
      <w:r>
        <w:tab/>
      </w:r>
      <w:r>
        <w:rPr>
          <w:u w:val="single"/>
        </w:rPr>
        <w:t>October 5, 2011</w:t>
      </w:r>
      <w:r>
        <w:tab/>
      </w:r>
      <w:r>
        <w:tab/>
      </w:r>
      <w:r>
        <w:tab/>
      </w:r>
      <w:r>
        <w:tab/>
        <w:t>___________________________</w:t>
      </w:r>
    </w:p>
    <w:p w:rsidR="003B79C6" w:rsidRDefault="003B79C6" w:rsidP="003B79C6">
      <w:pPr>
        <w:spacing w:line="240" w:lineRule="auto"/>
      </w:pPr>
      <w:r>
        <w:tab/>
      </w:r>
      <w:r>
        <w:tab/>
      </w:r>
      <w:r>
        <w:tab/>
      </w:r>
      <w:r>
        <w:tab/>
      </w:r>
      <w:r>
        <w:tab/>
      </w:r>
      <w:r>
        <w:tab/>
      </w:r>
      <w:r>
        <w:tab/>
        <w:t>David A. Salapa</w:t>
      </w:r>
    </w:p>
    <w:p w:rsidR="003B79C6" w:rsidRDefault="003B79C6" w:rsidP="003B79C6">
      <w:pPr>
        <w:spacing w:line="240" w:lineRule="auto"/>
      </w:pPr>
      <w:r>
        <w:tab/>
      </w:r>
      <w:r>
        <w:tab/>
      </w:r>
      <w:r>
        <w:tab/>
      </w:r>
      <w:r>
        <w:tab/>
      </w:r>
      <w:r>
        <w:tab/>
      </w:r>
      <w:r>
        <w:tab/>
      </w:r>
      <w:r>
        <w:tab/>
        <w:t>Administrative Law Judge</w:t>
      </w:r>
    </w:p>
    <w:p w:rsidR="003B79C6" w:rsidRDefault="003B79C6" w:rsidP="003B79C6">
      <w:pPr>
        <w:pStyle w:val="TxBrc5"/>
        <w:widowControl/>
        <w:tabs>
          <w:tab w:val="left" w:pos="1474"/>
        </w:tabs>
        <w:spacing w:line="240" w:lineRule="auto"/>
        <w:jc w:val="left"/>
        <w:rPr>
          <w:u w:val="single"/>
        </w:rPr>
      </w:pPr>
    </w:p>
    <w:p w:rsidR="003B79C6" w:rsidRDefault="003B79C6" w:rsidP="003B79C6">
      <w:pPr>
        <w:pStyle w:val="TxBrc5"/>
        <w:widowControl/>
        <w:tabs>
          <w:tab w:val="left" w:pos="1474"/>
        </w:tabs>
        <w:spacing w:line="240" w:lineRule="auto"/>
        <w:jc w:val="left"/>
        <w:rPr>
          <w:u w:val="single"/>
        </w:rPr>
      </w:pPr>
    </w:p>
    <w:p w:rsidR="003B79C6" w:rsidRDefault="003B79C6" w:rsidP="003B79C6">
      <w:pPr>
        <w:spacing w:line="240" w:lineRule="auto"/>
        <w:rPr>
          <w:u w:val="single"/>
        </w:rPr>
      </w:pPr>
      <w:r>
        <w:tab/>
      </w:r>
      <w:r>
        <w:tab/>
      </w:r>
      <w:r>
        <w:tab/>
      </w:r>
      <w:r>
        <w:tab/>
      </w:r>
      <w:r>
        <w:tab/>
      </w:r>
      <w:r>
        <w:tab/>
      </w:r>
      <w:r>
        <w:tab/>
      </w:r>
      <w:r>
        <w:rPr>
          <w:u w:val="single"/>
        </w:rPr>
        <w:tab/>
      </w:r>
      <w:r>
        <w:rPr>
          <w:u w:val="single"/>
        </w:rPr>
        <w:tab/>
      </w:r>
      <w:r>
        <w:rPr>
          <w:u w:val="single"/>
        </w:rPr>
        <w:tab/>
      </w:r>
      <w:r>
        <w:rPr>
          <w:u w:val="single"/>
        </w:rPr>
        <w:tab/>
      </w:r>
      <w:r>
        <w:rPr>
          <w:u w:val="single"/>
        </w:rPr>
        <w:tab/>
      </w:r>
    </w:p>
    <w:p w:rsidR="003B79C6" w:rsidRDefault="003B79C6" w:rsidP="003B79C6">
      <w:pPr>
        <w:spacing w:line="240" w:lineRule="auto"/>
      </w:pPr>
      <w:r>
        <w:tab/>
      </w:r>
      <w:r>
        <w:tab/>
      </w:r>
      <w:r>
        <w:tab/>
      </w:r>
      <w:r>
        <w:tab/>
      </w:r>
      <w:r>
        <w:tab/>
      </w:r>
      <w:r>
        <w:tab/>
      </w:r>
      <w:r>
        <w:tab/>
        <w:t>Mary D. Long</w:t>
      </w:r>
    </w:p>
    <w:p w:rsidR="003B79C6" w:rsidRDefault="003B79C6" w:rsidP="003B79C6">
      <w:pPr>
        <w:spacing w:line="240" w:lineRule="auto"/>
      </w:pPr>
      <w:r>
        <w:tab/>
      </w:r>
      <w:r>
        <w:tab/>
      </w:r>
      <w:r>
        <w:tab/>
      </w:r>
      <w:r>
        <w:tab/>
      </w:r>
      <w:r>
        <w:tab/>
      </w:r>
      <w:r>
        <w:tab/>
      </w:r>
      <w:r>
        <w:tab/>
        <w:t>Administrative Law Judge</w:t>
      </w:r>
    </w:p>
    <w:sectPr w:rsidR="003B79C6" w:rsidSect="005D703B">
      <w:footerReference w:type="defaul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82F" w:rsidRDefault="0015782F" w:rsidP="003F3C6F">
      <w:pPr>
        <w:spacing w:line="240" w:lineRule="auto"/>
      </w:pPr>
      <w:r>
        <w:separator/>
      </w:r>
    </w:p>
  </w:endnote>
  <w:endnote w:type="continuationSeparator" w:id="0">
    <w:p w:rsidR="0015782F" w:rsidRDefault="0015782F" w:rsidP="003F3C6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542236"/>
      <w:docPartObj>
        <w:docPartGallery w:val="Page Numbers (Bottom of Page)"/>
        <w:docPartUnique/>
      </w:docPartObj>
    </w:sdtPr>
    <w:sdtEndPr>
      <w:rPr>
        <w:sz w:val="22"/>
        <w:szCs w:val="22"/>
      </w:rPr>
    </w:sdtEndPr>
    <w:sdtContent>
      <w:p w:rsidR="00705F68" w:rsidRDefault="00B86414">
        <w:pPr>
          <w:pStyle w:val="Footer"/>
          <w:jc w:val="center"/>
        </w:pPr>
        <w:r w:rsidRPr="00D246D0">
          <w:rPr>
            <w:sz w:val="22"/>
            <w:szCs w:val="22"/>
          </w:rPr>
          <w:fldChar w:fldCharType="begin"/>
        </w:r>
        <w:r w:rsidR="00705F68" w:rsidRPr="00D246D0">
          <w:rPr>
            <w:sz w:val="22"/>
            <w:szCs w:val="22"/>
          </w:rPr>
          <w:instrText xml:space="preserve"> PAGE   \* MERGEFORMAT </w:instrText>
        </w:r>
        <w:r w:rsidRPr="00D246D0">
          <w:rPr>
            <w:sz w:val="22"/>
            <w:szCs w:val="22"/>
          </w:rPr>
          <w:fldChar w:fldCharType="separate"/>
        </w:r>
        <w:r w:rsidR="00705F68">
          <w:rPr>
            <w:noProof/>
            <w:sz w:val="22"/>
            <w:szCs w:val="22"/>
          </w:rPr>
          <w:t>ii</w:t>
        </w:r>
        <w:r w:rsidRPr="00D246D0">
          <w:rPr>
            <w:sz w:val="22"/>
            <w:szCs w:val="22"/>
          </w:rPr>
          <w:fldChar w:fldCharType="end"/>
        </w:r>
      </w:p>
    </w:sdtContent>
  </w:sdt>
  <w:p w:rsidR="00705F68" w:rsidRDefault="00705F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161985"/>
      <w:docPartObj>
        <w:docPartGallery w:val="Page Numbers (Bottom of Page)"/>
        <w:docPartUnique/>
      </w:docPartObj>
    </w:sdtPr>
    <w:sdtEndPr>
      <w:rPr>
        <w:sz w:val="22"/>
        <w:szCs w:val="22"/>
      </w:rPr>
    </w:sdtEndPr>
    <w:sdtContent>
      <w:p w:rsidR="00705F68" w:rsidRDefault="00B86414">
        <w:pPr>
          <w:pStyle w:val="Footer"/>
          <w:jc w:val="center"/>
        </w:pPr>
        <w:r w:rsidRPr="00A2234C">
          <w:rPr>
            <w:sz w:val="20"/>
          </w:rPr>
          <w:fldChar w:fldCharType="begin"/>
        </w:r>
        <w:r w:rsidR="00705F68" w:rsidRPr="00A2234C">
          <w:rPr>
            <w:sz w:val="20"/>
          </w:rPr>
          <w:instrText xml:space="preserve"> PAGE   \* MERGEFORMAT </w:instrText>
        </w:r>
        <w:r w:rsidRPr="00A2234C">
          <w:rPr>
            <w:sz w:val="20"/>
          </w:rPr>
          <w:fldChar w:fldCharType="separate"/>
        </w:r>
        <w:r w:rsidR="009D5393">
          <w:rPr>
            <w:noProof/>
            <w:sz w:val="20"/>
          </w:rPr>
          <w:t>ii</w:t>
        </w:r>
        <w:r w:rsidRPr="00A2234C">
          <w:rPr>
            <w:sz w:val="20"/>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439399"/>
      <w:docPartObj>
        <w:docPartGallery w:val="Page Numbers (Bottom of Page)"/>
        <w:docPartUnique/>
      </w:docPartObj>
    </w:sdtPr>
    <w:sdtContent>
      <w:p w:rsidR="00705F68" w:rsidRDefault="00B86414">
        <w:pPr>
          <w:pStyle w:val="Footer"/>
          <w:jc w:val="center"/>
        </w:pPr>
        <w:fldSimple w:instr=" PAGE   \* MERGEFORMAT ">
          <w:r w:rsidR="007452C5">
            <w:rPr>
              <w:noProof/>
            </w:rPr>
            <w:t>i</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439405"/>
      <w:docPartObj>
        <w:docPartGallery w:val="Page Numbers (Bottom of Page)"/>
        <w:docPartUnique/>
      </w:docPartObj>
    </w:sdtPr>
    <w:sdtEndPr>
      <w:rPr>
        <w:sz w:val="22"/>
        <w:szCs w:val="22"/>
      </w:rPr>
    </w:sdtEndPr>
    <w:sdtContent>
      <w:p w:rsidR="00705F68" w:rsidRDefault="00B86414">
        <w:pPr>
          <w:pStyle w:val="Footer"/>
          <w:jc w:val="center"/>
        </w:pPr>
        <w:r w:rsidRPr="00A2234C">
          <w:rPr>
            <w:sz w:val="20"/>
          </w:rPr>
          <w:fldChar w:fldCharType="begin"/>
        </w:r>
        <w:r w:rsidR="00705F68" w:rsidRPr="00A2234C">
          <w:rPr>
            <w:sz w:val="20"/>
          </w:rPr>
          <w:instrText xml:space="preserve"> PAGE   \* MERGEFORMAT </w:instrText>
        </w:r>
        <w:r w:rsidRPr="00A2234C">
          <w:rPr>
            <w:sz w:val="20"/>
          </w:rPr>
          <w:fldChar w:fldCharType="separate"/>
        </w:r>
        <w:r w:rsidR="007452C5">
          <w:rPr>
            <w:noProof/>
            <w:sz w:val="20"/>
          </w:rPr>
          <w:t>13</w:t>
        </w:r>
        <w:r w:rsidRPr="00A2234C">
          <w:rPr>
            <w:sz w:val="20"/>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232439401"/>
      <w:docPartObj>
        <w:docPartGallery w:val="Page Numbers (Bottom of Page)"/>
        <w:docPartUnique/>
      </w:docPartObj>
    </w:sdtPr>
    <w:sdtContent>
      <w:p w:rsidR="00705F68" w:rsidRPr="00617E16" w:rsidRDefault="00B86414">
        <w:pPr>
          <w:pStyle w:val="Footer"/>
          <w:jc w:val="center"/>
          <w:rPr>
            <w:sz w:val="20"/>
          </w:rP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82F" w:rsidRDefault="0015782F" w:rsidP="003F3C6F">
      <w:pPr>
        <w:spacing w:line="240" w:lineRule="auto"/>
      </w:pPr>
      <w:r>
        <w:separator/>
      </w:r>
    </w:p>
  </w:footnote>
  <w:footnote w:type="continuationSeparator" w:id="0">
    <w:p w:rsidR="0015782F" w:rsidRDefault="0015782F" w:rsidP="00A0161B">
      <w:pPr>
        <w:spacing w:line="240" w:lineRule="auto"/>
      </w:pPr>
      <w:r>
        <w:separator/>
      </w:r>
    </w:p>
    <w:p w:rsidR="0015782F" w:rsidRDefault="0015782F" w:rsidP="003F3C6F">
      <w:pPr>
        <w:spacing w:line="240" w:lineRule="auto"/>
      </w:pPr>
    </w:p>
  </w:footnote>
  <w:footnote w:id="1">
    <w:p w:rsidR="00AD2587" w:rsidRDefault="00AD2587">
      <w:pPr>
        <w:pStyle w:val="FootnoteText"/>
      </w:pPr>
      <w:r>
        <w:rPr>
          <w:rStyle w:val="FootnoteReference"/>
        </w:rPr>
        <w:footnoteRef/>
      </w:r>
      <w:r>
        <w:t xml:space="preserve"> </w:t>
      </w:r>
      <w:r>
        <w:tab/>
        <w:t>OSBA Statement No. 1, Direct Testimony of Brian Kalcic at 9.</w:t>
      </w:r>
    </w:p>
    <w:p w:rsidR="00AD2587" w:rsidRDefault="00AD2587">
      <w:pPr>
        <w:pStyle w:val="FootnoteText"/>
      </w:pPr>
    </w:p>
  </w:footnote>
  <w:footnote w:id="2">
    <w:p w:rsidR="00AD2587" w:rsidRDefault="00AD2587">
      <w:pPr>
        <w:pStyle w:val="FootnoteText"/>
      </w:pPr>
      <w:r>
        <w:rPr>
          <w:rStyle w:val="FootnoteReference"/>
        </w:rPr>
        <w:footnoteRef/>
      </w:r>
      <w:r>
        <w:t xml:space="preserve"> </w:t>
      </w:r>
      <w:r>
        <w:tab/>
        <w:t>Settlement at ¶ 13(a).</w:t>
      </w:r>
    </w:p>
    <w:p w:rsidR="00AD2587" w:rsidRDefault="00AD2587">
      <w:pPr>
        <w:pStyle w:val="FootnoteText"/>
      </w:pPr>
    </w:p>
  </w:footnote>
  <w:footnote w:id="3">
    <w:p w:rsidR="00900B42" w:rsidRDefault="00900B42">
      <w:pPr>
        <w:pStyle w:val="FootnoteText"/>
      </w:pPr>
      <w:r>
        <w:rPr>
          <w:rStyle w:val="FootnoteReference"/>
        </w:rPr>
        <w:footnoteRef/>
      </w:r>
      <w:r>
        <w:t xml:space="preserve"> </w:t>
      </w:r>
      <w:r>
        <w:tab/>
        <w:t>OSBA Statement No. 1, Direct Testimony of Brian Kalcic at 5.</w:t>
      </w:r>
    </w:p>
    <w:p w:rsidR="00900B42" w:rsidRDefault="00900B42">
      <w:pPr>
        <w:pStyle w:val="FootnoteText"/>
      </w:pPr>
    </w:p>
  </w:footnote>
  <w:footnote w:id="4">
    <w:p w:rsidR="00900B42" w:rsidRDefault="00900B42" w:rsidP="00900B42">
      <w:pPr>
        <w:pStyle w:val="FootnoteText"/>
      </w:pPr>
      <w:r>
        <w:rPr>
          <w:rStyle w:val="FootnoteReference"/>
        </w:rPr>
        <w:footnoteRef/>
      </w:r>
      <w:r>
        <w:t xml:space="preserve"> </w:t>
      </w:r>
      <w:r>
        <w:tab/>
        <w:t>Settlement at ¶ 13(f)(ii).</w:t>
      </w:r>
    </w:p>
    <w:p w:rsidR="00900B42" w:rsidRDefault="00900B42">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7662838"/>
    <w:lvl w:ilvl="0">
      <w:start w:val="1"/>
      <w:numFmt w:val="decimal"/>
      <w:pStyle w:val="ListNumber"/>
      <w:lvlText w:val="%1."/>
      <w:lvlJc w:val="left"/>
      <w:pPr>
        <w:tabs>
          <w:tab w:val="num" w:pos="360"/>
        </w:tabs>
        <w:ind w:left="360" w:hanging="360"/>
      </w:pPr>
    </w:lvl>
  </w:abstractNum>
  <w:abstractNum w:abstractNumId="1">
    <w:nsid w:val="03CE1BEB"/>
    <w:multiLevelType w:val="multilevel"/>
    <w:tmpl w:val="CB1CAD1C"/>
    <w:name w:val=" Numbered List23"/>
    <w:lvl w:ilvl="0">
      <w:start w:val="1"/>
      <w:numFmt w:val="lowerLetter"/>
      <w:lvlText w:val="(%1)"/>
      <w:lvlJc w:val="left"/>
      <w:pPr>
        <w:tabs>
          <w:tab w:val="num" w:pos="2880"/>
        </w:tabs>
        <w:ind w:left="288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8085A04"/>
    <w:multiLevelType w:val="hybridMultilevel"/>
    <w:tmpl w:val="1CFEAA2E"/>
    <w:lvl w:ilvl="0" w:tplc="1E9807A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7E21CC"/>
    <w:multiLevelType w:val="multilevel"/>
    <w:tmpl w:val="CB1CAD1C"/>
    <w:name w:val=" Numbered List222"/>
    <w:lvl w:ilvl="0">
      <w:start w:val="1"/>
      <w:numFmt w:val="lowerLetter"/>
      <w:lvlText w:val="(%1)"/>
      <w:lvlJc w:val="left"/>
      <w:pPr>
        <w:tabs>
          <w:tab w:val="num" w:pos="2880"/>
        </w:tabs>
        <w:ind w:left="288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7567E6D"/>
    <w:multiLevelType w:val="hybridMultilevel"/>
    <w:tmpl w:val="206888BA"/>
    <w:lvl w:ilvl="0" w:tplc="CC3E03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D84786"/>
    <w:multiLevelType w:val="multilevel"/>
    <w:tmpl w:val="CB1CAD1C"/>
    <w:name w:val=" Numbered List2222"/>
    <w:lvl w:ilvl="0">
      <w:start w:val="1"/>
      <w:numFmt w:val="lowerLetter"/>
      <w:lvlText w:val="(%1)"/>
      <w:lvlJc w:val="left"/>
      <w:pPr>
        <w:tabs>
          <w:tab w:val="num" w:pos="2880"/>
        </w:tabs>
        <w:ind w:left="288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38869B3"/>
    <w:multiLevelType w:val="hybridMultilevel"/>
    <w:tmpl w:val="048EFC0E"/>
    <w:lvl w:ilvl="0" w:tplc="3FCA94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734C1E"/>
    <w:multiLevelType w:val="hybridMultilevel"/>
    <w:tmpl w:val="2C066412"/>
    <w:lvl w:ilvl="0" w:tplc="8FF09216">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546148A9"/>
    <w:multiLevelType w:val="multilevel"/>
    <w:tmpl w:val="6C50AC98"/>
    <w:name w:val=" Numbered List24"/>
    <w:lvl w:ilvl="0">
      <w:start w:val="1"/>
      <w:numFmt w:val="lowerRoman"/>
      <w:lvlText w:val="(%1)"/>
      <w:lvlJc w:val="left"/>
      <w:pPr>
        <w:tabs>
          <w:tab w:val="num" w:pos="3600"/>
        </w:tabs>
        <w:ind w:left="360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B2A33A9"/>
    <w:multiLevelType w:val="multilevel"/>
    <w:tmpl w:val="55B21D02"/>
    <w:name w:val="zzmpPleading1||Pleading1 |2|1|1|1|0|45||1|0|36||1|0|32||1|0|32||1|0|32||1|0|32||1|0|32||1|0|32||1|0|32||"/>
    <w:lvl w:ilvl="0">
      <w:start w:val="1"/>
      <w:numFmt w:val="upperRoman"/>
      <w:pStyle w:val="Pleading1L1"/>
      <w:lvlText w:val="%1."/>
      <w:lvlJc w:val="left"/>
      <w:pPr>
        <w:tabs>
          <w:tab w:val="num" w:pos="720"/>
        </w:tabs>
        <w:ind w:left="720" w:hanging="720"/>
      </w:pPr>
      <w:rPr>
        <w:rFonts w:ascii="Times New Roman" w:hAnsi="Times New Roman" w:hint="default"/>
        <w:b/>
        <w:i w:val="0"/>
        <w:caps w:val="0"/>
        <w:smallCaps w:val="0"/>
        <w:strike w:val="0"/>
        <w:dstrike w:val="0"/>
        <w:outline w:val="0"/>
        <w:shadow w:val="0"/>
        <w:emboss w:val="0"/>
        <w:imprint w:val="0"/>
        <w:vanish w:val="0"/>
        <w:sz w:val="24"/>
        <w:u w:val="none"/>
        <w:vertAlign w:val="baseline"/>
      </w:rPr>
    </w:lvl>
    <w:lvl w:ilvl="1">
      <w:start w:val="1"/>
      <w:numFmt w:val="upperLetter"/>
      <w:lvlRestart w:val="0"/>
      <w:pStyle w:val="Pleading1L2"/>
      <w:lvlText w:val="%2."/>
      <w:lvlJc w:val="left"/>
      <w:pPr>
        <w:tabs>
          <w:tab w:val="num" w:pos="1440"/>
        </w:tabs>
        <w:ind w:left="0" w:firstLine="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2">
      <w:start w:val="1"/>
      <w:numFmt w:val="decimal"/>
      <w:lvlRestart w:val="0"/>
      <w:pStyle w:val="Pleading1L3"/>
      <w:lvlText w:val="%3."/>
      <w:lvlJc w:val="left"/>
      <w:pPr>
        <w:tabs>
          <w:tab w:val="num" w:pos="1680"/>
        </w:tabs>
        <w:ind w:left="-480" w:firstLine="144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3">
      <w:start w:val="1"/>
      <w:numFmt w:val="lowerLetter"/>
      <w:lvlRestart w:val="0"/>
      <w:pStyle w:val="Pleading1L4"/>
      <w:lvlText w:val="%4."/>
      <w:lvlJc w:val="left"/>
      <w:pPr>
        <w:tabs>
          <w:tab w:val="num" w:pos="2880"/>
        </w:tabs>
        <w:ind w:left="720" w:firstLine="144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4">
      <w:start w:val="1"/>
      <w:numFmt w:val="decimal"/>
      <w:lvlRestart w:val="0"/>
      <w:pStyle w:val="Pleading1L5"/>
      <w:lvlText w:val="(%5)"/>
      <w:lvlJc w:val="left"/>
      <w:pPr>
        <w:tabs>
          <w:tab w:val="num" w:pos="3600"/>
        </w:tabs>
        <w:ind w:left="1440" w:firstLine="144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5">
      <w:start w:val="1"/>
      <w:numFmt w:val="lowerLetter"/>
      <w:pStyle w:val="Pleading1L6"/>
      <w:lvlText w:val="(%6)"/>
      <w:lvlJc w:val="left"/>
      <w:pPr>
        <w:tabs>
          <w:tab w:val="num" w:pos="4320"/>
        </w:tabs>
        <w:ind w:left="4320" w:hanging="720"/>
      </w:pPr>
      <w:rPr>
        <w:rFonts w:ascii="Times New Roman" w:hAnsi="Times New Roman" w:hint="default"/>
        <w:b w:val="0"/>
        <w:i w:val="0"/>
        <w:caps w:val="0"/>
        <w:smallCaps w:val="0"/>
        <w:strike w:val="0"/>
        <w:dstrike w:val="0"/>
        <w:outline w:val="0"/>
        <w:shadow w:val="0"/>
        <w:emboss w:val="0"/>
        <w:imprint w:val="0"/>
        <w:vanish w:val="0"/>
        <w:sz w:val="20"/>
        <w:u w:val="none"/>
        <w:vertAlign w:val="baseline"/>
      </w:rPr>
    </w:lvl>
    <w:lvl w:ilvl="6">
      <w:start w:val="1"/>
      <w:numFmt w:val="lowerRoman"/>
      <w:pStyle w:val="Pleading1L7"/>
      <w:lvlText w:val="(%7)"/>
      <w:lvlJc w:val="left"/>
      <w:pPr>
        <w:tabs>
          <w:tab w:val="num" w:pos="5040"/>
        </w:tabs>
        <w:ind w:left="5040" w:hanging="720"/>
      </w:pPr>
      <w:rPr>
        <w:rFonts w:ascii="Times New Roman" w:hAnsi="Times New Roman" w:hint="default"/>
        <w:b w:val="0"/>
        <w:i w:val="0"/>
        <w:caps w:val="0"/>
        <w:smallCaps w:val="0"/>
        <w:strike w:val="0"/>
        <w:dstrike w:val="0"/>
        <w:outline w:val="0"/>
        <w:shadow w:val="0"/>
        <w:emboss w:val="0"/>
        <w:imprint w:val="0"/>
        <w:vanish w:val="0"/>
        <w:sz w:val="20"/>
        <w:u w:val="none"/>
        <w:vertAlign w:val="baseline"/>
      </w:rPr>
    </w:lvl>
    <w:lvl w:ilvl="7">
      <w:start w:val="1"/>
      <w:numFmt w:val="lowerLetter"/>
      <w:pStyle w:val="Pleading1L8"/>
      <w:lvlText w:val="%8)"/>
      <w:lvlJc w:val="left"/>
      <w:pPr>
        <w:tabs>
          <w:tab w:val="num" w:pos="5760"/>
        </w:tabs>
        <w:ind w:left="5760" w:hanging="720"/>
      </w:pPr>
      <w:rPr>
        <w:rFonts w:ascii="Times New Roman" w:hAnsi="Times New Roman" w:hint="default"/>
        <w:b w:val="0"/>
        <w:i w:val="0"/>
        <w:caps w:val="0"/>
        <w:smallCaps w:val="0"/>
        <w:strike w:val="0"/>
        <w:dstrike w:val="0"/>
        <w:outline w:val="0"/>
        <w:shadow w:val="0"/>
        <w:emboss w:val="0"/>
        <w:imprint w:val="0"/>
        <w:vanish w:val="0"/>
        <w:sz w:val="20"/>
        <w:u w:val="none"/>
        <w:vertAlign w:val="baseline"/>
      </w:rPr>
    </w:lvl>
    <w:lvl w:ilvl="8">
      <w:start w:val="1"/>
      <w:numFmt w:val="lowerRoman"/>
      <w:pStyle w:val="Pleading1L9"/>
      <w:lvlText w:val="%9)"/>
      <w:lvlJc w:val="left"/>
      <w:pPr>
        <w:tabs>
          <w:tab w:val="num" w:pos="6480"/>
        </w:tabs>
        <w:ind w:left="6480" w:hanging="720"/>
      </w:pPr>
      <w:rPr>
        <w:rFonts w:ascii="Times New Roman" w:hAnsi="Times New Roman" w:hint="default"/>
        <w:b w:val="0"/>
        <w:i w:val="0"/>
        <w:caps w:val="0"/>
        <w:smallCaps w:val="0"/>
        <w:strike w:val="0"/>
        <w:dstrike w:val="0"/>
        <w:outline w:val="0"/>
        <w:shadow w:val="0"/>
        <w:emboss w:val="0"/>
        <w:imprint w:val="0"/>
        <w:vanish w:val="0"/>
        <w:sz w:val="20"/>
        <w:u w:val="none"/>
        <w:vertAlign w:val="baseline"/>
      </w:rPr>
    </w:lvl>
  </w:abstractNum>
  <w:abstractNum w:abstractNumId="10">
    <w:nsid w:val="798704F2"/>
    <w:multiLevelType w:val="hybridMultilevel"/>
    <w:tmpl w:val="430226EC"/>
    <w:lvl w:ilvl="0" w:tplc="771AC0FE">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4"/>
  </w:num>
  <w:num w:numId="2">
    <w:abstractNumId w:val="2"/>
  </w:num>
  <w:num w:numId="3">
    <w:abstractNumId w:val="6"/>
  </w:num>
  <w:num w:numId="4">
    <w:abstractNumId w:val="7"/>
  </w:num>
  <w:num w:numId="5">
    <w:abstractNumId w:val="10"/>
  </w:num>
  <w:num w:numId="6">
    <w:abstractNumId w:val="9"/>
  </w:num>
  <w:num w:numId="7">
    <w:abstractNumId w:val="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E85D64"/>
    <w:rsid w:val="00000FF5"/>
    <w:rsid w:val="0001124B"/>
    <w:rsid w:val="0001297E"/>
    <w:rsid w:val="00015065"/>
    <w:rsid w:val="0001597C"/>
    <w:rsid w:val="00023638"/>
    <w:rsid w:val="00036C6D"/>
    <w:rsid w:val="000437A0"/>
    <w:rsid w:val="00055BAD"/>
    <w:rsid w:val="000610CD"/>
    <w:rsid w:val="0007317F"/>
    <w:rsid w:val="00083F2E"/>
    <w:rsid w:val="000863BB"/>
    <w:rsid w:val="0008685B"/>
    <w:rsid w:val="00090258"/>
    <w:rsid w:val="00091068"/>
    <w:rsid w:val="00091509"/>
    <w:rsid w:val="000A15DB"/>
    <w:rsid w:val="000A339B"/>
    <w:rsid w:val="000B44E4"/>
    <w:rsid w:val="000C2755"/>
    <w:rsid w:val="000C2C16"/>
    <w:rsid w:val="000C55DE"/>
    <w:rsid w:val="000D3668"/>
    <w:rsid w:val="000D4B38"/>
    <w:rsid w:val="000D4FEF"/>
    <w:rsid w:val="000D67FD"/>
    <w:rsid w:val="000E0263"/>
    <w:rsid w:val="000F7742"/>
    <w:rsid w:val="00103967"/>
    <w:rsid w:val="001050F9"/>
    <w:rsid w:val="00105B01"/>
    <w:rsid w:val="0010637D"/>
    <w:rsid w:val="001169EA"/>
    <w:rsid w:val="00120592"/>
    <w:rsid w:val="00122C66"/>
    <w:rsid w:val="0012503E"/>
    <w:rsid w:val="00130DC6"/>
    <w:rsid w:val="001310B9"/>
    <w:rsid w:val="001337BF"/>
    <w:rsid w:val="001375AF"/>
    <w:rsid w:val="0014082B"/>
    <w:rsid w:val="001429E4"/>
    <w:rsid w:val="0014372E"/>
    <w:rsid w:val="00144E27"/>
    <w:rsid w:val="00146F7F"/>
    <w:rsid w:val="001529F7"/>
    <w:rsid w:val="00155A74"/>
    <w:rsid w:val="0015782F"/>
    <w:rsid w:val="0016449B"/>
    <w:rsid w:val="001837A1"/>
    <w:rsid w:val="001905C6"/>
    <w:rsid w:val="00192509"/>
    <w:rsid w:val="001945B1"/>
    <w:rsid w:val="001A21E9"/>
    <w:rsid w:val="001A4218"/>
    <w:rsid w:val="001B03C8"/>
    <w:rsid w:val="001B176C"/>
    <w:rsid w:val="001B7189"/>
    <w:rsid w:val="001C051F"/>
    <w:rsid w:val="001C102B"/>
    <w:rsid w:val="001C34AC"/>
    <w:rsid w:val="001D1DD6"/>
    <w:rsid w:val="001E2D14"/>
    <w:rsid w:val="001E2E94"/>
    <w:rsid w:val="001E4DAF"/>
    <w:rsid w:val="001F0F09"/>
    <w:rsid w:val="00207814"/>
    <w:rsid w:val="00214485"/>
    <w:rsid w:val="0022168C"/>
    <w:rsid w:val="002326C8"/>
    <w:rsid w:val="00240673"/>
    <w:rsid w:val="0024243A"/>
    <w:rsid w:val="00246040"/>
    <w:rsid w:val="002522D4"/>
    <w:rsid w:val="00253CF9"/>
    <w:rsid w:val="002676FF"/>
    <w:rsid w:val="00272ABD"/>
    <w:rsid w:val="0028123B"/>
    <w:rsid w:val="00281414"/>
    <w:rsid w:val="002A485C"/>
    <w:rsid w:val="002A634F"/>
    <w:rsid w:val="002A769F"/>
    <w:rsid w:val="002B5A13"/>
    <w:rsid w:val="002C4338"/>
    <w:rsid w:val="002C7BDE"/>
    <w:rsid w:val="002D0C73"/>
    <w:rsid w:val="002D6283"/>
    <w:rsid w:val="002E27F0"/>
    <w:rsid w:val="002E6068"/>
    <w:rsid w:val="00303A0A"/>
    <w:rsid w:val="00317BD9"/>
    <w:rsid w:val="003222E0"/>
    <w:rsid w:val="003335F7"/>
    <w:rsid w:val="00337D71"/>
    <w:rsid w:val="00341861"/>
    <w:rsid w:val="00345EC4"/>
    <w:rsid w:val="00350632"/>
    <w:rsid w:val="00351E8B"/>
    <w:rsid w:val="00355EA7"/>
    <w:rsid w:val="003560A8"/>
    <w:rsid w:val="00357ED9"/>
    <w:rsid w:val="003763E0"/>
    <w:rsid w:val="00376808"/>
    <w:rsid w:val="00380854"/>
    <w:rsid w:val="003857A1"/>
    <w:rsid w:val="00396E05"/>
    <w:rsid w:val="003A1B83"/>
    <w:rsid w:val="003A41DA"/>
    <w:rsid w:val="003A79AB"/>
    <w:rsid w:val="003B79C6"/>
    <w:rsid w:val="003C10B2"/>
    <w:rsid w:val="003C3039"/>
    <w:rsid w:val="003C3A97"/>
    <w:rsid w:val="003C7C56"/>
    <w:rsid w:val="003D284F"/>
    <w:rsid w:val="003D5372"/>
    <w:rsid w:val="003E0746"/>
    <w:rsid w:val="003F3C6F"/>
    <w:rsid w:val="003F6452"/>
    <w:rsid w:val="00404BB0"/>
    <w:rsid w:val="00404CFD"/>
    <w:rsid w:val="004144B2"/>
    <w:rsid w:val="00416C25"/>
    <w:rsid w:val="0041757F"/>
    <w:rsid w:val="00420852"/>
    <w:rsid w:val="004229FB"/>
    <w:rsid w:val="004270FC"/>
    <w:rsid w:val="00427DD7"/>
    <w:rsid w:val="00437C6C"/>
    <w:rsid w:val="00443033"/>
    <w:rsid w:val="00443DD5"/>
    <w:rsid w:val="00444146"/>
    <w:rsid w:val="00461358"/>
    <w:rsid w:val="00470A03"/>
    <w:rsid w:val="00491DB0"/>
    <w:rsid w:val="00496C77"/>
    <w:rsid w:val="004B52A0"/>
    <w:rsid w:val="004B7DCB"/>
    <w:rsid w:val="004C00F7"/>
    <w:rsid w:val="004C3F82"/>
    <w:rsid w:val="004C509C"/>
    <w:rsid w:val="004D1F03"/>
    <w:rsid w:val="004D3935"/>
    <w:rsid w:val="004D7BCA"/>
    <w:rsid w:val="004E174F"/>
    <w:rsid w:val="004E323B"/>
    <w:rsid w:val="004E7ABB"/>
    <w:rsid w:val="00502C0C"/>
    <w:rsid w:val="0051125D"/>
    <w:rsid w:val="00521712"/>
    <w:rsid w:val="005221D7"/>
    <w:rsid w:val="00535E8C"/>
    <w:rsid w:val="00540E48"/>
    <w:rsid w:val="00541D97"/>
    <w:rsid w:val="005425B0"/>
    <w:rsid w:val="0054772F"/>
    <w:rsid w:val="00560D36"/>
    <w:rsid w:val="005614F5"/>
    <w:rsid w:val="00564DC5"/>
    <w:rsid w:val="005719FF"/>
    <w:rsid w:val="005724EB"/>
    <w:rsid w:val="00572B83"/>
    <w:rsid w:val="005843DF"/>
    <w:rsid w:val="005913C3"/>
    <w:rsid w:val="00594CBA"/>
    <w:rsid w:val="005A312C"/>
    <w:rsid w:val="005A62B6"/>
    <w:rsid w:val="005B0567"/>
    <w:rsid w:val="005B5FE1"/>
    <w:rsid w:val="005D28CA"/>
    <w:rsid w:val="005D703B"/>
    <w:rsid w:val="005E0F71"/>
    <w:rsid w:val="005E483C"/>
    <w:rsid w:val="005F2EBA"/>
    <w:rsid w:val="005F6194"/>
    <w:rsid w:val="00611926"/>
    <w:rsid w:val="00614438"/>
    <w:rsid w:val="00617E16"/>
    <w:rsid w:val="00622E30"/>
    <w:rsid w:val="00630551"/>
    <w:rsid w:val="00641549"/>
    <w:rsid w:val="006432FE"/>
    <w:rsid w:val="0065080A"/>
    <w:rsid w:val="00656869"/>
    <w:rsid w:val="00657CF3"/>
    <w:rsid w:val="006602A5"/>
    <w:rsid w:val="006629ED"/>
    <w:rsid w:val="00662BC4"/>
    <w:rsid w:val="00673B7D"/>
    <w:rsid w:val="006772F0"/>
    <w:rsid w:val="00681321"/>
    <w:rsid w:val="006840FF"/>
    <w:rsid w:val="00686C47"/>
    <w:rsid w:val="00687C61"/>
    <w:rsid w:val="00696D25"/>
    <w:rsid w:val="006C04DC"/>
    <w:rsid w:val="006C16EA"/>
    <w:rsid w:val="006D47EB"/>
    <w:rsid w:val="006D5C0F"/>
    <w:rsid w:val="006E7356"/>
    <w:rsid w:val="006F363F"/>
    <w:rsid w:val="006F66D2"/>
    <w:rsid w:val="006F75EE"/>
    <w:rsid w:val="006F78AD"/>
    <w:rsid w:val="0070171B"/>
    <w:rsid w:val="00702CAA"/>
    <w:rsid w:val="00705F68"/>
    <w:rsid w:val="00711324"/>
    <w:rsid w:val="00715495"/>
    <w:rsid w:val="00721434"/>
    <w:rsid w:val="00721E0B"/>
    <w:rsid w:val="00724CC5"/>
    <w:rsid w:val="00725DB0"/>
    <w:rsid w:val="00732B9E"/>
    <w:rsid w:val="00737210"/>
    <w:rsid w:val="00741B94"/>
    <w:rsid w:val="00743EFC"/>
    <w:rsid w:val="0074525C"/>
    <w:rsid w:val="007452C5"/>
    <w:rsid w:val="0075143F"/>
    <w:rsid w:val="00755A99"/>
    <w:rsid w:val="0076730C"/>
    <w:rsid w:val="007740F5"/>
    <w:rsid w:val="00774973"/>
    <w:rsid w:val="0078002A"/>
    <w:rsid w:val="00782F5D"/>
    <w:rsid w:val="007A4346"/>
    <w:rsid w:val="007A7E94"/>
    <w:rsid w:val="007B02A3"/>
    <w:rsid w:val="007C3513"/>
    <w:rsid w:val="007C4DCD"/>
    <w:rsid w:val="007E44F4"/>
    <w:rsid w:val="007E59FD"/>
    <w:rsid w:val="007F0CEF"/>
    <w:rsid w:val="007F5BAB"/>
    <w:rsid w:val="008024E7"/>
    <w:rsid w:val="00802D4A"/>
    <w:rsid w:val="008230AA"/>
    <w:rsid w:val="00823844"/>
    <w:rsid w:val="00825B08"/>
    <w:rsid w:val="008309B1"/>
    <w:rsid w:val="00831834"/>
    <w:rsid w:val="008348AD"/>
    <w:rsid w:val="008539B0"/>
    <w:rsid w:val="00855EE7"/>
    <w:rsid w:val="008646FB"/>
    <w:rsid w:val="0086640D"/>
    <w:rsid w:val="0086782E"/>
    <w:rsid w:val="00867DE5"/>
    <w:rsid w:val="008712E3"/>
    <w:rsid w:val="00874308"/>
    <w:rsid w:val="00887FCD"/>
    <w:rsid w:val="008901EE"/>
    <w:rsid w:val="00890CE3"/>
    <w:rsid w:val="00896515"/>
    <w:rsid w:val="008B4037"/>
    <w:rsid w:val="008C6598"/>
    <w:rsid w:val="008C65E2"/>
    <w:rsid w:val="008C71F8"/>
    <w:rsid w:val="008C74C9"/>
    <w:rsid w:val="008E081B"/>
    <w:rsid w:val="008E37C7"/>
    <w:rsid w:val="008E4522"/>
    <w:rsid w:val="008F0A29"/>
    <w:rsid w:val="008F5457"/>
    <w:rsid w:val="00900B42"/>
    <w:rsid w:val="009016BE"/>
    <w:rsid w:val="00911CE8"/>
    <w:rsid w:val="00914542"/>
    <w:rsid w:val="009171C1"/>
    <w:rsid w:val="0092169E"/>
    <w:rsid w:val="00925CB9"/>
    <w:rsid w:val="00927ED9"/>
    <w:rsid w:val="00941A50"/>
    <w:rsid w:val="009475FB"/>
    <w:rsid w:val="009501EC"/>
    <w:rsid w:val="00955913"/>
    <w:rsid w:val="00955CF8"/>
    <w:rsid w:val="00956EDE"/>
    <w:rsid w:val="009575E8"/>
    <w:rsid w:val="00961C4B"/>
    <w:rsid w:val="00970434"/>
    <w:rsid w:val="00974C25"/>
    <w:rsid w:val="00985630"/>
    <w:rsid w:val="009A4582"/>
    <w:rsid w:val="009A46E7"/>
    <w:rsid w:val="009A54B4"/>
    <w:rsid w:val="009B38D3"/>
    <w:rsid w:val="009C44A8"/>
    <w:rsid w:val="009C4751"/>
    <w:rsid w:val="009C6F44"/>
    <w:rsid w:val="009D5393"/>
    <w:rsid w:val="009E0192"/>
    <w:rsid w:val="009E5506"/>
    <w:rsid w:val="009E7330"/>
    <w:rsid w:val="009E7B6C"/>
    <w:rsid w:val="009F0116"/>
    <w:rsid w:val="009F0EC0"/>
    <w:rsid w:val="009F1F55"/>
    <w:rsid w:val="009F2FA4"/>
    <w:rsid w:val="009F57C0"/>
    <w:rsid w:val="00A0161B"/>
    <w:rsid w:val="00A07AA1"/>
    <w:rsid w:val="00A12AF6"/>
    <w:rsid w:val="00A13013"/>
    <w:rsid w:val="00A17F02"/>
    <w:rsid w:val="00A2078D"/>
    <w:rsid w:val="00A21414"/>
    <w:rsid w:val="00A2234C"/>
    <w:rsid w:val="00A2289C"/>
    <w:rsid w:val="00A27267"/>
    <w:rsid w:val="00A27E30"/>
    <w:rsid w:val="00A334C3"/>
    <w:rsid w:val="00A35649"/>
    <w:rsid w:val="00A367CD"/>
    <w:rsid w:val="00A368EC"/>
    <w:rsid w:val="00A40037"/>
    <w:rsid w:val="00A42E20"/>
    <w:rsid w:val="00A46D93"/>
    <w:rsid w:val="00A47DC6"/>
    <w:rsid w:val="00A52D68"/>
    <w:rsid w:val="00A53A53"/>
    <w:rsid w:val="00A54AF7"/>
    <w:rsid w:val="00A566DD"/>
    <w:rsid w:val="00A60413"/>
    <w:rsid w:val="00A654DC"/>
    <w:rsid w:val="00A72287"/>
    <w:rsid w:val="00A7357D"/>
    <w:rsid w:val="00A74D0D"/>
    <w:rsid w:val="00A76192"/>
    <w:rsid w:val="00A82D57"/>
    <w:rsid w:val="00A95553"/>
    <w:rsid w:val="00A96847"/>
    <w:rsid w:val="00AA1F58"/>
    <w:rsid w:val="00AA7F67"/>
    <w:rsid w:val="00AB0727"/>
    <w:rsid w:val="00AB1B9E"/>
    <w:rsid w:val="00AB3996"/>
    <w:rsid w:val="00AB42BD"/>
    <w:rsid w:val="00AC7910"/>
    <w:rsid w:val="00AD1F42"/>
    <w:rsid w:val="00AD2587"/>
    <w:rsid w:val="00AD2CFB"/>
    <w:rsid w:val="00AD373A"/>
    <w:rsid w:val="00AD41BC"/>
    <w:rsid w:val="00B03564"/>
    <w:rsid w:val="00B06D1E"/>
    <w:rsid w:val="00B07D49"/>
    <w:rsid w:val="00B07E03"/>
    <w:rsid w:val="00B24D1E"/>
    <w:rsid w:val="00B313B2"/>
    <w:rsid w:val="00B33325"/>
    <w:rsid w:val="00B4153D"/>
    <w:rsid w:val="00B4281E"/>
    <w:rsid w:val="00B5241F"/>
    <w:rsid w:val="00B611A1"/>
    <w:rsid w:val="00B626DC"/>
    <w:rsid w:val="00B64091"/>
    <w:rsid w:val="00B778C0"/>
    <w:rsid w:val="00B8235C"/>
    <w:rsid w:val="00B86414"/>
    <w:rsid w:val="00B86ADE"/>
    <w:rsid w:val="00B92B40"/>
    <w:rsid w:val="00B92D60"/>
    <w:rsid w:val="00B97193"/>
    <w:rsid w:val="00BA1EFE"/>
    <w:rsid w:val="00BA3A30"/>
    <w:rsid w:val="00BA7659"/>
    <w:rsid w:val="00BB17C0"/>
    <w:rsid w:val="00BC2185"/>
    <w:rsid w:val="00BD4B9C"/>
    <w:rsid w:val="00BE16A5"/>
    <w:rsid w:val="00BE1EEA"/>
    <w:rsid w:val="00BE2F5B"/>
    <w:rsid w:val="00BE6195"/>
    <w:rsid w:val="00BE6D1F"/>
    <w:rsid w:val="00BF3E49"/>
    <w:rsid w:val="00BF5020"/>
    <w:rsid w:val="00BF67BB"/>
    <w:rsid w:val="00C0296B"/>
    <w:rsid w:val="00C07890"/>
    <w:rsid w:val="00C1077D"/>
    <w:rsid w:val="00C1117D"/>
    <w:rsid w:val="00C1530F"/>
    <w:rsid w:val="00C23AE5"/>
    <w:rsid w:val="00C27062"/>
    <w:rsid w:val="00C3344B"/>
    <w:rsid w:val="00C336BD"/>
    <w:rsid w:val="00C33875"/>
    <w:rsid w:val="00C378B1"/>
    <w:rsid w:val="00C50177"/>
    <w:rsid w:val="00C54937"/>
    <w:rsid w:val="00C578F6"/>
    <w:rsid w:val="00C64975"/>
    <w:rsid w:val="00C730D6"/>
    <w:rsid w:val="00C77990"/>
    <w:rsid w:val="00C84388"/>
    <w:rsid w:val="00C940A5"/>
    <w:rsid w:val="00CA51C1"/>
    <w:rsid w:val="00CA7D87"/>
    <w:rsid w:val="00CC0040"/>
    <w:rsid w:val="00CD1821"/>
    <w:rsid w:val="00CF413B"/>
    <w:rsid w:val="00CF4243"/>
    <w:rsid w:val="00CF4D64"/>
    <w:rsid w:val="00CF503C"/>
    <w:rsid w:val="00CF584A"/>
    <w:rsid w:val="00D06B3C"/>
    <w:rsid w:val="00D11993"/>
    <w:rsid w:val="00D218FF"/>
    <w:rsid w:val="00D27CDD"/>
    <w:rsid w:val="00D302C2"/>
    <w:rsid w:val="00D30CF0"/>
    <w:rsid w:val="00D40023"/>
    <w:rsid w:val="00D430C9"/>
    <w:rsid w:val="00D4716F"/>
    <w:rsid w:val="00D51307"/>
    <w:rsid w:val="00D528C3"/>
    <w:rsid w:val="00D6049F"/>
    <w:rsid w:val="00D6156D"/>
    <w:rsid w:val="00D6201F"/>
    <w:rsid w:val="00D70AC7"/>
    <w:rsid w:val="00D7482E"/>
    <w:rsid w:val="00D8033D"/>
    <w:rsid w:val="00D82814"/>
    <w:rsid w:val="00D86D67"/>
    <w:rsid w:val="00D87121"/>
    <w:rsid w:val="00D93BF1"/>
    <w:rsid w:val="00D94619"/>
    <w:rsid w:val="00D95DD4"/>
    <w:rsid w:val="00DB0597"/>
    <w:rsid w:val="00DB0D71"/>
    <w:rsid w:val="00DC4DDA"/>
    <w:rsid w:val="00DC6590"/>
    <w:rsid w:val="00DC7B3E"/>
    <w:rsid w:val="00DD3811"/>
    <w:rsid w:val="00DD436D"/>
    <w:rsid w:val="00DD491F"/>
    <w:rsid w:val="00DD79C6"/>
    <w:rsid w:val="00DE0833"/>
    <w:rsid w:val="00DE3E05"/>
    <w:rsid w:val="00DE63ED"/>
    <w:rsid w:val="00DE6F43"/>
    <w:rsid w:val="00DF68B2"/>
    <w:rsid w:val="00DF7283"/>
    <w:rsid w:val="00E123A4"/>
    <w:rsid w:val="00E152AC"/>
    <w:rsid w:val="00E164CE"/>
    <w:rsid w:val="00E22F30"/>
    <w:rsid w:val="00E24D16"/>
    <w:rsid w:val="00E277D1"/>
    <w:rsid w:val="00E41FF0"/>
    <w:rsid w:val="00E43D66"/>
    <w:rsid w:val="00E444DD"/>
    <w:rsid w:val="00E45BC0"/>
    <w:rsid w:val="00E529BE"/>
    <w:rsid w:val="00E61541"/>
    <w:rsid w:val="00E63C6B"/>
    <w:rsid w:val="00E6747D"/>
    <w:rsid w:val="00E7378C"/>
    <w:rsid w:val="00E80C9D"/>
    <w:rsid w:val="00E83162"/>
    <w:rsid w:val="00E85D64"/>
    <w:rsid w:val="00E948FD"/>
    <w:rsid w:val="00EA22C1"/>
    <w:rsid w:val="00EA58A8"/>
    <w:rsid w:val="00EB68DB"/>
    <w:rsid w:val="00EC6592"/>
    <w:rsid w:val="00EC7305"/>
    <w:rsid w:val="00ED0502"/>
    <w:rsid w:val="00ED0B1D"/>
    <w:rsid w:val="00ED6696"/>
    <w:rsid w:val="00ED6888"/>
    <w:rsid w:val="00EE2317"/>
    <w:rsid w:val="00EE2EAA"/>
    <w:rsid w:val="00EF7B3D"/>
    <w:rsid w:val="00F02536"/>
    <w:rsid w:val="00F10C36"/>
    <w:rsid w:val="00F14F89"/>
    <w:rsid w:val="00F21E85"/>
    <w:rsid w:val="00F32AFA"/>
    <w:rsid w:val="00F348F9"/>
    <w:rsid w:val="00F350A7"/>
    <w:rsid w:val="00F4646E"/>
    <w:rsid w:val="00F576D6"/>
    <w:rsid w:val="00F629C1"/>
    <w:rsid w:val="00F641C5"/>
    <w:rsid w:val="00F7740B"/>
    <w:rsid w:val="00F82022"/>
    <w:rsid w:val="00F85A41"/>
    <w:rsid w:val="00F92A4F"/>
    <w:rsid w:val="00F92FCA"/>
    <w:rsid w:val="00F93D90"/>
    <w:rsid w:val="00F95CD7"/>
    <w:rsid w:val="00FA16D5"/>
    <w:rsid w:val="00FA5F25"/>
    <w:rsid w:val="00FA6164"/>
    <w:rsid w:val="00FA74CE"/>
    <w:rsid w:val="00FB0200"/>
    <w:rsid w:val="00FB7B50"/>
    <w:rsid w:val="00FC29DE"/>
    <w:rsid w:val="00FC49F7"/>
    <w:rsid w:val="00FE2DBB"/>
    <w:rsid w:val="00FE4C2F"/>
    <w:rsid w:val="00FE79D5"/>
    <w:rsid w:val="00FF306F"/>
    <w:rsid w:val="00FF45A2"/>
    <w:rsid w:val="00FF50F4"/>
    <w:rsid w:val="00FF5162"/>
    <w:rsid w:val="00FF7D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heme="minorBidi"/>
        <w:sz w:val="26"/>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List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1BC"/>
    <w:pPr>
      <w:spacing w:after="0"/>
    </w:pPr>
    <w:rPr>
      <w:rFonts w:cs="Times New Roman"/>
      <w:sz w:val="24"/>
      <w:szCs w:val="20"/>
    </w:rPr>
  </w:style>
  <w:style w:type="paragraph" w:styleId="Heading2">
    <w:name w:val="heading 2"/>
    <w:basedOn w:val="Normal"/>
    <w:next w:val="Normal"/>
    <w:link w:val="Heading2Char"/>
    <w:semiHidden/>
    <w:unhideWhenUsed/>
    <w:qFormat/>
    <w:rsid w:val="003B79C6"/>
    <w:pPr>
      <w:keepNext/>
      <w:spacing w:line="240" w:lineRule="auto"/>
      <w:outlineLvl w:val="1"/>
    </w:pPr>
    <w:rPr>
      <w:sz w:val="26"/>
    </w:rPr>
  </w:style>
  <w:style w:type="paragraph" w:styleId="Heading5">
    <w:name w:val="heading 5"/>
    <w:basedOn w:val="Normal"/>
    <w:next w:val="Normal"/>
    <w:link w:val="Heading5Char"/>
    <w:semiHidden/>
    <w:unhideWhenUsed/>
    <w:qFormat/>
    <w:rsid w:val="003B79C6"/>
    <w:pPr>
      <w:spacing w:before="240" w:after="60" w:line="240" w:lineRule="auto"/>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D6201F"/>
    <w:rPr>
      <w:rFonts w:ascii="Times New Roman" w:hAnsi="Times New Roman"/>
      <w:vertAlign w:val="superscript"/>
    </w:rPr>
  </w:style>
  <w:style w:type="paragraph" w:styleId="FootnoteText">
    <w:name w:val="footnote text"/>
    <w:aliases w:val="Car"/>
    <w:basedOn w:val="Normal"/>
    <w:link w:val="FootnoteTextChar"/>
    <w:autoRedefine/>
    <w:unhideWhenUsed/>
    <w:qFormat/>
    <w:rsid w:val="00ED6696"/>
    <w:pPr>
      <w:spacing w:line="240" w:lineRule="auto"/>
      <w:ind w:firstLine="720"/>
    </w:pPr>
    <w:rPr>
      <w:sz w:val="20"/>
    </w:rPr>
  </w:style>
  <w:style w:type="character" w:customStyle="1" w:styleId="FootnoteTextChar">
    <w:name w:val="Footnote Text Char"/>
    <w:aliases w:val="Car Char"/>
    <w:basedOn w:val="DefaultParagraphFont"/>
    <w:link w:val="FootnoteText"/>
    <w:rsid w:val="00ED6696"/>
    <w:rPr>
      <w:rFonts w:cs="Times New Roman"/>
      <w:sz w:val="20"/>
      <w:szCs w:val="20"/>
    </w:rPr>
  </w:style>
  <w:style w:type="paragraph" w:styleId="ListParagraph">
    <w:name w:val="List Paragraph"/>
    <w:basedOn w:val="Normal"/>
    <w:autoRedefine/>
    <w:uiPriority w:val="34"/>
    <w:qFormat/>
    <w:rsid w:val="00FA16D5"/>
    <w:pPr>
      <w:spacing w:after="240"/>
      <w:ind w:firstLine="1440"/>
    </w:pPr>
    <w:rPr>
      <w:szCs w:val="24"/>
    </w:rPr>
  </w:style>
  <w:style w:type="paragraph" w:styleId="Quote">
    <w:name w:val="Quote"/>
    <w:basedOn w:val="Normal"/>
    <w:next w:val="Normal"/>
    <w:link w:val="QuoteChar"/>
    <w:uiPriority w:val="29"/>
    <w:qFormat/>
    <w:rsid w:val="003F3C6F"/>
    <w:pPr>
      <w:spacing w:after="120" w:line="240" w:lineRule="auto"/>
    </w:pPr>
    <w:rPr>
      <w:iCs/>
      <w:color w:val="000000" w:themeColor="text1"/>
    </w:rPr>
  </w:style>
  <w:style w:type="character" w:customStyle="1" w:styleId="QuoteChar">
    <w:name w:val="Quote Char"/>
    <w:basedOn w:val="DefaultParagraphFont"/>
    <w:link w:val="Quote"/>
    <w:uiPriority w:val="29"/>
    <w:rsid w:val="003F3C6F"/>
    <w:rPr>
      <w:rFonts w:cs="Times New Roman"/>
      <w:iCs/>
      <w:color w:val="000000" w:themeColor="text1"/>
      <w:sz w:val="24"/>
      <w:szCs w:val="20"/>
    </w:rPr>
  </w:style>
  <w:style w:type="paragraph" w:styleId="Header">
    <w:name w:val="header"/>
    <w:basedOn w:val="Normal"/>
    <w:link w:val="HeaderChar"/>
    <w:uiPriority w:val="99"/>
    <w:semiHidden/>
    <w:unhideWhenUsed/>
    <w:rsid w:val="0001297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1297E"/>
    <w:rPr>
      <w:rFonts w:cs="Times New Roman"/>
      <w:sz w:val="24"/>
      <w:szCs w:val="20"/>
    </w:rPr>
  </w:style>
  <w:style w:type="paragraph" w:styleId="Footer">
    <w:name w:val="footer"/>
    <w:basedOn w:val="Normal"/>
    <w:link w:val="FooterChar"/>
    <w:uiPriority w:val="99"/>
    <w:unhideWhenUsed/>
    <w:rsid w:val="0001297E"/>
    <w:pPr>
      <w:tabs>
        <w:tab w:val="center" w:pos="4680"/>
        <w:tab w:val="right" w:pos="9360"/>
      </w:tabs>
      <w:spacing w:line="240" w:lineRule="auto"/>
    </w:pPr>
  </w:style>
  <w:style w:type="character" w:customStyle="1" w:styleId="FooterChar">
    <w:name w:val="Footer Char"/>
    <w:basedOn w:val="DefaultParagraphFont"/>
    <w:link w:val="Footer"/>
    <w:uiPriority w:val="99"/>
    <w:rsid w:val="0001297E"/>
    <w:rPr>
      <w:rFonts w:cs="Times New Roman"/>
      <w:sz w:val="24"/>
      <w:szCs w:val="20"/>
    </w:rPr>
  </w:style>
  <w:style w:type="paragraph" w:styleId="BalloonText">
    <w:name w:val="Balloon Text"/>
    <w:basedOn w:val="Normal"/>
    <w:link w:val="BalloonTextChar"/>
    <w:uiPriority w:val="99"/>
    <w:semiHidden/>
    <w:unhideWhenUsed/>
    <w:rsid w:val="00724C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CC5"/>
    <w:rPr>
      <w:rFonts w:ascii="Tahoma" w:hAnsi="Tahoma" w:cs="Tahoma"/>
      <w:sz w:val="16"/>
      <w:szCs w:val="16"/>
    </w:rPr>
  </w:style>
  <w:style w:type="paragraph" w:styleId="Title">
    <w:name w:val="Title"/>
    <w:basedOn w:val="Normal"/>
    <w:link w:val="TitleChar"/>
    <w:qFormat/>
    <w:rsid w:val="00FF50F4"/>
    <w:pPr>
      <w:tabs>
        <w:tab w:val="left" w:pos="360"/>
      </w:tabs>
      <w:spacing w:line="233" w:lineRule="auto"/>
      <w:jc w:val="center"/>
    </w:pPr>
    <w:rPr>
      <w:b/>
    </w:rPr>
  </w:style>
  <w:style w:type="character" w:customStyle="1" w:styleId="TitleChar">
    <w:name w:val="Title Char"/>
    <w:basedOn w:val="DefaultParagraphFont"/>
    <w:link w:val="Title"/>
    <w:rsid w:val="00FF50F4"/>
    <w:rPr>
      <w:rFonts w:cs="Times New Roman"/>
      <w:b/>
      <w:sz w:val="24"/>
      <w:szCs w:val="20"/>
    </w:rPr>
  </w:style>
  <w:style w:type="paragraph" w:customStyle="1" w:styleId="IndentedQuote">
    <w:name w:val="Indented Quote"/>
    <w:basedOn w:val="Normal"/>
    <w:qFormat/>
    <w:rsid w:val="005F6194"/>
    <w:pPr>
      <w:spacing w:line="240" w:lineRule="auto"/>
      <w:ind w:left="720" w:right="720"/>
    </w:pPr>
    <w:rPr>
      <w:szCs w:val="24"/>
    </w:rPr>
  </w:style>
  <w:style w:type="paragraph" w:customStyle="1" w:styleId="Indentedquote0">
    <w:name w:val="Indented quote"/>
    <w:basedOn w:val="Normal"/>
    <w:qFormat/>
    <w:rsid w:val="00B03564"/>
    <w:pPr>
      <w:widowControl w:val="0"/>
      <w:autoSpaceDE w:val="0"/>
      <w:autoSpaceDN w:val="0"/>
      <w:adjustRightInd w:val="0"/>
      <w:spacing w:after="120" w:line="240" w:lineRule="auto"/>
      <w:ind w:left="1440" w:right="1440"/>
    </w:pPr>
    <w:rPr>
      <w:szCs w:val="24"/>
    </w:rPr>
  </w:style>
  <w:style w:type="paragraph" w:customStyle="1" w:styleId="TxBrp3">
    <w:name w:val="TxBr_p3"/>
    <w:basedOn w:val="Normal"/>
    <w:rsid w:val="00AB0727"/>
    <w:pPr>
      <w:widowControl w:val="0"/>
      <w:tabs>
        <w:tab w:val="left" w:pos="1474"/>
      </w:tabs>
      <w:autoSpaceDE w:val="0"/>
      <w:autoSpaceDN w:val="0"/>
      <w:adjustRightInd w:val="0"/>
      <w:spacing w:line="425" w:lineRule="atLeast"/>
      <w:ind w:firstLine="1474"/>
    </w:pPr>
    <w:rPr>
      <w:szCs w:val="24"/>
    </w:rPr>
  </w:style>
  <w:style w:type="paragraph" w:customStyle="1" w:styleId="Pleading1L1">
    <w:name w:val="Pleading1_L1"/>
    <w:basedOn w:val="Normal"/>
    <w:rsid w:val="00AB0727"/>
    <w:pPr>
      <w:numPr>
        <w:numId w:val="6"/>
      </w:numPr>
      <w:spacing w:line="480" w:lineRule="auto"/>
      <w:outlineLvl w:val="0"/>
    </w:pPr>
    <w:rPr>
      <w:b/>
      <w:caps/>
      <w:u w:val="single"/>
    </w:rPr>
  </w:style>
  <w:style w:type="paragraph" w:customStyle="1" w:styleId="Pleading1L2">
    <w:name w:val="Pleading1_L2"/>
    <w:basedOn w:val="Pleading1L1"/>
    <w:rsid w:val="00AB0727"/>
    <w:pPr>
      <w:numPr>
        <w:ilvl w:val="1"/>
      </w:numPr>
      <w:outlineLvl w:val="1"/>
    </w:pPr>
    <w:rPr>
      <w:b w:val="0"/>
      <w:caps w:val="0"/>
    </w:rPr>
  </w:style>
  <w:style w:type="paragraph" w:customStyle="1" w:styleId="Pleading1L3">
    <w:name w:val="Pleading1_L3"/>
    <w:basedOn w:val="Pleading1L2"/>
    <w:rsid w:val="00AB0727"/>
    <w:pPr>
      <w:numPr>
        <w:ilvl w:val="2"/>
      </w:numPr>
      <w:outlineLvl w:val="2"/>
    </w:pPr>
    <w:rPr>
      <w:szCs w:val="24"/>
      <w:u w:val="none"/>
    </w:rPr>
  </w:style>
  <w:style w:type="paragraph" w:customStyle="1" w:styleId="Pleading1L4">
    <w:name w:val="Pleading1_L4"/>
    <w:basedOn w:val="Pleading1L3"/>
    <w:rsid w:val="00AB0727"/>
    <w:pPr>
      <w:numPr>
        <w:ilvl w:val="3"/>
      </w:numPr>
      <w:outlineLvl w:val="3"/>
    </w:pPr>
  </w:style>
  <w:style w:type="paragraph" w:customStyle="1" w:styleId="Pleading1L5">
    <w:name w:val="Pleading1_L5"/>
    <w:basedOn w:val="Pleading1L4"/>
    <w:rsid w:val="00AB0727"/>
    <w:pPr>
      <w:numPr>
        <w:ilvl w:val="4"/>
      </w:numPr>
      <w:outlineLvl w:val="4"/>
    </w:pPr>
  </w:style>
  <w:style w:type="paragraph" w:customStyle="1" w:styleId="Pleading1L6">
    <w:name w:val="Pleading1_L6"/>
    <w:basedOn w:val="Pleading1L5"/>
    <w:rsid w:val="00AB0727"/>
    <w:pPr>
      <w:keepNext/>
      <w:keepLines/>
      <w:widowControl w:val="0"/>
      <w:numPr>
        <w:ilvl w:val="5"/>
      </w:numPr>
      <w:spacing w:after="240" w:line="240" w:lineRule="auto"/>
      <w:outlineLvl w:val="5"/>
    </w:pPr>
    <w:rPr>
      <w:sz w:val="20"/>
    </w:rPr>
  </w:style>
  <w:style w:type="paragraph" w:customStyle="1" w:styleId="Pleading1L7">
    <w:name w:val="Pleading1_L7"/>
    <w:basedOn w:val="Pleading1L6"/>
    <w:rsid w:val="00AB0727"/>
    <w:pPr>
      <w:numPr>
        <w:ilvl w:val="6"/>
      </w:numPr>
      <w:outlineLvl w:val="6"/>
    </w:pPr>
  </w:style>
  <w:style w:type="paragraph" w:customStyle="1" w:styleId="Pleading1L8">
    <w:name w:val="Pleading1_L8"/>
    <w:basedOn w:val="Pleading1L7"/>
    <w:rsid w:val="00AB0727"/>
    <w:pPr>
      <w:numPr>
        <w:ilvl w:val="7"/>
      </w:numPr>
      <w:outlineLvl w:val="7"/>
    </w:pPr>
  </w:style>
  <w:style w:type="paragraph" w:customStyle="1" w:styleId="Pleading1L9">
    <w:name w:val="Pleading1_L9"/>
    <w:basedOn w:val="Pleading1L8"/>
    <w:rsid w:val="00AB0727"/>
    <w:pPr>
      <w:numPr>
        <w:ilvl w:val="8"/>
      </w:numPr>
      <w:outlineLvl w:val="8"/>
    </w:pPr>
  </w:style>
  <w:style w:type="paragraph" w:styleId="ListNumber">
    <w:name w:val="List Number"/>
    <w:basedOn w:val="Normal"/>
    <w:rsid w:val="00AB0727"/>
    <w:pPr>
      <w:numPr>
        <w:numId w:val="7"/>
      </w:numPr>
      <w:tabs>
        <w:tab w:val="clear" w:pos="360"/>
      </w:tabs>
      <w:spacing w:line="480" w:lineRule="auto"/>
      <w:ind w:left="0" w:firstLine="720"/>
    </w:pPr>
    <w:rPr>
      <w:szCs w:val="24"/>
    </w:rPr>
  </w:style>
  <w:style w:type="character" w:customStyle="1" w:styleId="Heading2Char">
    <w:name w:val="Heading 2 Char"/>
    <w:basedOn w:val="DefaultParagraphFont"/>
    <w:link w:val="Heading2"/>
    <w:semiHidden/>
    <w:rsid w:val="003B79C6"/>
    <w:rPr>
      <w:rFonts w:cs="Times New Roman"/>
      <w:szCs w:val="20"/>
    </w:rPr>
  </w:style>
  <w:style w:type="character" w:customStyle="1" w:styleId="Heading5Char">
    <w:name w:val="Heading 5 Char"/>
    <w:basedOn w:val="DefaultParagraphFont"/>
    <w:link w:val="Heading5"/>
    <w:semiHidden/>
    <w:rsid w:val="003B79C6"/>
    <w:rPr>
      <w:rFonts w:cs="Times New Roman"/>
      <w:b/>
      <w:bCs/>
      <w:i/>
      <w:iCs/>
      <w:szCs w:val="26"/>
    </w:rPr>
  </w:style>
  <w:style w:type="paragraph" w:styleId="BodyText3">
    <w:name w:val="Body Text 3"/>
    <w:basedOn w:val="Normal"/>
    <w:link w:val="BodyText3Char"/>
    <w:semiHidden/>
    <w:unhideWhenUsed/>
    <w:rsid w:val="003B79C6"/>
    <w:pPr>
      <w:spacing w:after="120" w:line="240" w:lineRule="auto"/>
    </w:pPr>
    <w:rPr>
      <w:sz w:val="16"/>
      <w:szCs w:val="16"/>
    </w:rPr>
  </w:style>
  <w:style w:type="character" w:customStyle="1" w:styleId="BodyText3Char">
    <w:name w:val="Body Text 3 Char"/>
    <w:basedOn w:val="DefaultParagraphFont"/>
    <w:link w:val="BodyText3"/>
    <w:semiHidden/>
    <w:rsid w:val="003B79C6"/>
    <w:rPr>
      <w:rFonts w:cs="Times New Roman"/>
      <w:sz w:val="16"/>
      <w:szCs w:val="16"/>
    </w:rPr>
  </w:style>
  <w:style w:type="paragraph" w:customStyle="1" w:styleId="TxBrc5">
    <w:name w:val="TxBr_c5"/>
    <w:basedOn w:val="Normal"/>
    <w:rsid w:val="003B79C6"/>
    <w:pPr>
      <w:widowControl w:val="0"/>
      <w:autoSpaceDE w:val="0"/>
      <w:autoSpaceDN w:val="0"/>
      <w:adjustRightInd w:val="0"/>
      <w:spacing w:line="240" w:lineRule="atLeast"/>
      <w:jc w:val="center"/>
    </w:pPr>
    <w:rPr>
      <w:szCs w:val="24"/>
    </w:rPr>
  </w:style>
  <w:style w:type="paragraph" w:customStyle="1" w:styleId="TxBrp2">
    <w:name w:val="TxBr_p2"/>
    <w:basedOn w:val="Normal"/>
    <w:rsid w:val="003B79C6"/>
    <w:pPr>
      <w:widowControl w:val="0"/>
      <w:tabs>
        <w:tab w:val="left" w:pos="204"/>
      </w:tabs>
      <w:autoSpaceDE w:val="0"/>
      <w:autoSpaceDN w:val="0"/>
      <w:adjustRightInd w:val="0"/>
      <w:spacing w:line="215" w:lineRule="atLeast"/>
      <w:jc w:val="both"/>
    </w:pPr>
    <w:rPr>
      <w:szCs w:val="24"/>
    </w:rPr>
  </w:style>
  <w:style w:type="table" w:styleId="TableGrid">
    <w:name w:val="Table Grid"/>
    <w:basedOn w:val="TableNormal"/>
    <w:rsid w:val="00EE2317"/>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D27CDD"/>
    <w:pPr>
      <w:autoSpaceDE w:val="0"/>
      <w:autoSpaceDN w:val="0"/>
      <w:spacing w:after="120" w:line="480" w:lineRule="auto"/>
    </w:pPr>
    <w:rPr>
      <w:rFonts w:ascii="CG Times" w:hAnsi="CG Times" w:cs="CG Times"/>
      <w:szCs w:val="24"/>
    </w:rPr>
  </w:style>
  <w:style w:type="character" w:customStyle="1" w:styleId="BodyText2Char">
    <w:name w:val="Body Text 2 Char"/>
    <w:basedOn w:val="DefaultParagraphFont"/>
    <w:link w:val="BodyText2"/>
    <w:rsid w:val="00D27CDD"/>
    <w:rPr>
      <w:rFonts w:ascii="CG Times" w:hAnsi="CG Times" w:cs="CG Times"/>
      <w:sz w:val="24"/>
      <w:szCs w:val="24"/>
    </w:rPr>
  </w:style>
</w:styles>
</file>

<file path=word/webSettings.xml><?xml version="1.0" encoding="utf-8"?>
<w:webSettings xmlns:r="http://schemas.openxmlformats.org/officeDocument/2006/relationships" xmlns:w="http://schemas.openxmlformats.org/wordprocessingml/2006/main">
  <w:divs>
    <w:div w:id="787167795">
      <w:bodyDiv w:val="1"/>
      <w:marLeft w:val="0"/>
      <w:marRight w:val="0"/>
      <w:marTop w:val="0"/>
      <w:marBottom w:val="0"/>
      <w:divBdr>
        <w:top w:val="none" w:sz="0" w:space="0" w:color="auto"/>
        <w:left w:val="none" w:sz="0" w:space="0" w:color="auto"/>
        <w:bottom w:val="none" w:sz="0" w:space="0" w:color="auto"/>
        <w:right w:val="none" w:sz="0" w:space="0" w:color="auto"/>
      </w:divBdr>
    </w:div>
    <w:div w:id="930358230">
      <w:bodyDiv w:val="1"/>
      <w:marLeft w:val="0"/>
      <w:marRight w:val="0"/>
      <w:marTop w:val="0"/>
      <w:marBottom w:val="0"/>
      <w:divBdr>
        <w:top w:val="none" w:sz="0" w:space="0" w:color="auto"/>
        <w:left w:val="none" w:sz="0" w:space="0" w:color="auto"/>
        <w:bottom w:val="none" w:sz="0" w:space="0" w:color="auto"/>
        <w:right w:val="none" w:sz="0" w:space="0" w:color="auto"/>
      </w:divBdr>
    </w:div>
    <w:div w:id="1186209296">
      <w:bodyDiv w:val="1"/>
      <w:marLeft w:val="0"/>
      <w:marRight w:val="0"/>
      <w:marTop w:val="0"/>
      <w:marBottom w:val="0"/>
      <w:divBdr>
        <w:top w:val="none" w:sz="0" w:space="0" w:color="auto"/>
        <w:left w:val="none" w:sz="0" w:space="0" w:color="auto"/>
        <w:bottom w:val="none" w:sz="0" w:space="0" w:color="auto"/>
        <w:right w:val="none" w:sz="0" w:space="0" w:color="auto"/>
      </w:divBdr>
    </w:div>
    <w:div w:id="1297026198">
      <w:bodyDiv w:val="1"/>
      <w:marLeft w:val="0"/>
      <w:marRight w:val="0"/>
      <w:marTop w:val="0"/>
      <w:marBottom w:val="0"/>
      <w:divBdr>
        <w:top w:val="none" w:sz="0" w:space="0" w:color="auto"/>
        <w:left w:val="none" w:sz="0" w:space="0" w:color="auto"/>
        <w:bottom w:val="none" w:sz="0" w:space="0" w:color="auto"/>
        <w:right w:val="none" w:sz="0" w:space="0" w:color="auto"/>
      </w:divBdr>
    </w:div>
    <w:div w:id="142529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B71D5-1A66-4687-9957-4BCB27556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25</Pages>
  <Words>6659</Words>
  <Characters>37957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 Long</dc:creator>
  <cp:keywords/>
  <dc:description/>
  <cp:lastModifiedBy>shoffner</cp:lastModifiedBy>
  <cp:revision>3</cp:revision>
  <cp:lastPrinted>2011-10-12T14:12:00Z</cp:lastPrinted>
  <dcterms:created xsi:type="dcterms:W3CDTF">2011-10-11T12:01:00Z</dcterms:created>
  <dcterms:modified xsi:type="dcterms:W3CDTF">2011-10-12T14:13:00Z</dcterms:modified>
</cp:coreProperties>
</file>