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CD8" w:rsidRPr="00CA511D" w:rsidRDefault="00864CD8" w:rsidP="00864CD8">
      <w:pPr>
        <w:tabs>
          <w:tab w:val="center" w:pos="4680"/>
        </w:tabs>
        <w:suppressAutoHyphens/>
        <w:jc w:val="center"/>
        <w:rPr>
          <w:rFonts w:ascii="Times New Roman" w:hAnsi="Times New Roman"/>
          <w:b/>
          <w:spacing w:val="-3"/>
          <w:sz w:val="26"/>
          <w:szCs w:val="26"/>
        </w:rPr>
      </w:pPr>
      <w:smartTag w:uri="urn:schemas-microsoft-com:office:smarttags" w:element="place">
        <w:smartTag w:uri="urn:schemas-microsoft-com:office:smarttags" w:element="State">
          <w:r w:rsidRPr="00CA511D">
            <w:rPr>
              <w:rFonts w:ascii="Times New Roman" w:hAnsi="Times New Roman"/>
              <w:b/>
              <w:spacing w:val="-3"/>
              <w:sz w:val="26"/>
              <w:szCs w:val="26"/>
            </w:rPr>
            <w:t>PENNSYLVANIA</w:t>
          </w:r>
        </w:smartTag>
      </w:smartTag>
    </w:p>
    <w:p w:rsidR="00864CD8" w:rsidRPr="00CA511D" w:rsidRDefault="00864CD8" w:rsidP="00864CD8">
      <w:pPr>
        <w:tabs>
          <w:tab w:val="center" w:pos="4680"/>
        </w:tabs>
        <w:suppressAutoHyphens/>
        <w:jc w:val="center"/>
        <w:rPr>
          <w:rFonts w:ascii="Times New Roman" w:hAnsi="Times New Roman"/>
          <w:b/>
          <w:spacing w:val="-3"/>
          <w:sz w:val="26"/>
          <w:szCs w:val="26"/>
        </w:rPr>
      </w:pPr>
      <w:r w:rsidRPr="00CA511D">
        <w:rPr>
          <w:rFonts w:ascii="Times New Roman" w:hAnsi="Times New Roman"/>
          <w:b/>
          <w:spacing w:val="-3"/>
          <w:sz w:val="26"/>
          <w:szCs w:val="26"/>
        </w:rPr>
        <w:t>PUBLIC UTILITY COMMISSION</w:t>
      </w:r>
    </w:p>
    <w:p w:rsidR="00864CD8" w:rsidRPr="00CA511D" w:rsidRDefault="00864CD8" w:rsidP="00864CD8">
      <w:pPr>
        <w:tabs>
          <w:tab w:val="center" w:pos="4680"/>
        </w:tabs>
        <w:suppressAutoHyphens/>
        <w:jc w:val="center"/>
        <w:rPr>
          <w:rFonts w:ascii="Times New Roman" w:hAnsi="Times New Roman"/>
          <w:b/>
          <w:spacing w:val="-3"/>
          <w:sz w:val="26"/>
          <w:szCs w:val="26"/>
        </w:rPr>
      </w:pPr>
      <w:smartTag w:uri="urn:schemas-microsoft-com:office:smarttags" w:element="place">
        <w:smartTag w:uri="urn:schemas-microsoft-com:office:smarttags" w:element="PlaceName">
          <w:smartTag w:uri="urn:schemas-microsoft-com:office:smarttags" w:element="City">
            <w:r w:rsidRPr="00CA511D">
              <w:rPr>
                <w:rFonts w:ascii="Times New Roman" w:hAnsi="Times New Roman"/>
                <w:b/>
                <w:spacing w:val="-3"/>
                <w:sz w:val="26"/>
                <w:szCs w:val="26"/>
              </w:rPr>
              <w:t>Harrisburg</w:t>
            </w:r>
          </w:smartTag>
          <w:r w:rsidRPr="00CA511D">
            <w:rPr>
              <w:rFonts w:ascii="Times New Roman" w:hAnsi="Times New Roman"/>
              <w:b/>
              <w:spacing w:val="-3"/>
              <w:sz w:val="26"/>
              <w:szCs w:val="26"/>
            </w:rPr>
            <w:t xml:space="preserve">, </w:t>
          </w:r>
          <w:smartTag w:uri="urn:schemas-microsoft-com:office:smarttags" w:element="State">
            <w:r w:rsidRPr="00CA511D">
              <w:rPr>
                <w:rFonts w:ascii="Times New Roman" w:hAnsi="Times New Roman"/>
                <w:b/>
                <w:spacing w:val="-3"/>
                <w:sz w:val="26"/>
                <w:szCs w:val="26"/>
              </w:rPr>
              <w:t>PA</w:t>
            </w:r>
          </w:smartTag>
          <w:r w:rsidRPr="00CA511D">
            <w:rPr>
              <w:rFonts w:ascii="Times New Roman" w:hAnsi="Times New Roman"/>
              <w:b/>
              <w:spacing w:val="-3"/>
              <w:sz w:val="26"/>
              <w:szCs w:val="26"/>
            </w:rPr>
            <w:t xml:space="preserve"> </w:t>
          </w:r>
          <w:smartTag w:uri="urn:schemas-microsoft-com:office:smarttags" w:element="PostalCode">
            <w:r w:rsidRPr="00CA511D">
              <w:rPr>
                <w:rFonts w:ascii="Times New Roman" w:hAnsi="Times New Roman"/>
                <w:b/>
                <w:spacing w:val="-3"/>
                <w:sz w:val="26"/>
                <w:szCs w:val="26"/>
              </w:rPr>
              <w:t>17105-3265</w:t>
            </w:r>
          </w:smartTag>
        </w:smartTag>
      </w:smartTag>
    </w:p>
    <w:p w:rsidR="00864CD8" w:rsidRPr="00CA511D" w:rsidRDefault="00864CD8" w:rsidP="00864CD8">
      <w:pPr>
        <w:tabs>
          <w:tab w:val="left" w:pos="-720"/>
        </w:tabs>
        <w:suppressAutoHyphens/>
        <w:jc w:val="both"/>
        <w:rPr>
          <w:rFonts w:ascii="Times New Roman" w:hAnsi="Times New Roman"/>
          <w:spacing w:val="-3"/>
          <w:sz w:val="26"/>
          <w:szCs w:val="26"/>
        </w:rPr>
      </w:pPr>
    </w:p>
    <w:p w:rsidR="00864CD8" w:rsidRPr="00CA511D" w:rsidRDefault="00590D41" w:rsidP="00A60134">
      <w:pPr>
        <w:tabs>
          <w:tab w:val="left" w:pos="-720"/>
        </w:tabs>
        <w:suppressAutoHyphens/>
        <w:jc w:val="right"/>
        <w:rPr>
          <w:rFonts w:ascii="Times New Roman" w:hAnsi="Times New Roman"/>
          <w:sz w:val="26"/>
          <w:szCs w:val="26"/>
        </w:rPr>
      </w:pPr>
      <w:r>
        <w:rPr>
          <w:rFonts w:ascii="Times New Roman" w:hAnsi="Times New Roman"/>
          <w:sz w:val="26"/>
          <w:szCs w:val="26"/>
        </w:rPr>
        <w:t>Public Meeting held</w:t>
      </w:r>
      <w:r w:rsidR="009C2AD7">
        <w:rPr>
          <w:rFonts w:ascii="Times New Roman" w:hAnsi="Times New Roman"/>
          <w:sz w:val="26"/>
          <w:szCs w:val="26"/>
        </w:rPr>
        <w:t xml:space="preserve"> October 14</w:t>
      </w:r>
      <w:r w:rsidR="006D463B">
        <w:rPr>
          <w:rFonts w:ascii="Times New Roman" w:hAnsi="Times New Roman"/>
          <w:sz w:val="26"/>
          <w:szCs w:val="26"/>
        </w:rPr>
        <w:t>, 2011</w:t>
      </w:r>
    </w:p>
    <w:p w:rsidR="00864CD8" w:rsidRPr="00CA511D" w:rsidRDefault="00864CD8" w:rsidP="00864CD8">
      <w:pPr>
        <w:tabs>
          <w:tab w:val="left" w:pos="-720"/>
        </w:tabs>
        <w:suppressAutoHyphens/>
        <w:rPr>
          <w:rFonts w:ascii="Times New Roman" w:hAnsi="Times New Roman"/>
          <w:sz w:val="26"/>
          <w:szCs w:val="26"/>
        </w:rPr>
      </w:pPr>
    </w:p>
    <w:p w:rsidR="00864CD8" w:rsidRPr="00CA511D" w:rsidRDefault="00864CD8" w:rsidP="00864CD8">
      <w:pPr>
        <w:tabs>
          <w:tab w:val="left" w:pos="-720"/>
        </w:tabs>
        <w:suppressAutoHyphens/>
        <w:rPr>
          <w:rFonts w:ascii="Times New Roman" w:hAnsi="Times New Roman"/>
          <w:sz w:val="26"/>
          <w:szCs w:val="26"/>
        </w:rPr>
      </w:pPr>
    </w:p>
    <w:p w:rsidR="00864CD8" w:rsidRPr="00CA511D" w:rsidRDefault="00864CD8" w:rsidP="00864CD8">
      <w:pPr>
        <w:tabs>
          <w:tab w:val="left" w:pos="-720"/>
        </w:tabs>
        <w:suppressAutoHyphens/>
        <w:rPr>
          <w:rFonts w:ascii="Times New Roman" w:hAnsi="Times New Roman"/>
          <w:sz w:val="26"/>
          <w:szCs w:val="26"/>
        </w:rPr>
      </w:pPr>
      <w:r w:rsidRPr="00CA511D">
        <w:rPr>
          <w:rFonts w:ascii="Times New Roman" w:hAnsi="Times New Roman"/>
          <w:sz w:val="26"/>
          <w:szCs w:val="26"/>
        </w:rPr>
        <w:t xml:space="preserve">Commissioners Present: </w:t>
      </w:r>
    </w:p>
    <w:p w:rsidR="00864CD8" w:rsidRPr="00CA511D" w:rsidRDefault="00864CD8" w:rsidP="00864CD8">
      <w:pPr>
        <w:tabs>
          <w:tab w:val="left" w:pos="-720"/>
        </w:tabs>
        <w:suppressAutoHyphens/>
        <w:rPr>
          <w:rFonts w:ascii="Times New Roman" w:hAnsi="Times New Roman"/>
          <w:sz w:val="26"/>
          <w:szCs w:val="26"/>
        </w:rPr>
      </w:pPr>
    </w:p>
    <w:p w:rsidR="00864CD8" w:rsidRPr="006D75EA" w:rsidRDefault="00864CD8" w:rsidP="00864CD8">
      <w:pPr>
        <w:tabs>
          <w:tab w:val="left" w:pos="-720"/>
        </w:tabs>
        <w:suppressAutoHyphens/>
        <w:rPr>
          <w:rFonts w:ascii="Times New Roman" w:hAnsi="Times New Roman"/>
          <w:sz w:val="26"/>
          <w:szCs w:val="26"/>
        </w:rPr>
      </w:pPr>
      <w:r w:rsidRPr="00CA511D">
        <w:rPr>
          <w:rFonts w:ascii="Times New Roman" w:hAnsi="Times New Roman"/>
          <w:sz w:val="26"/>
          <w:szCs w:val="26"/>
        </w:rPr>
        <w:tab/>
      </w:r>
      <w:r w:rsidR="000219DF">
        <w:rPr>
          <w:rFonts w:ascii="Times New Roman" w:hAnsi="Times New Roman"/>
          <w:sz w:val="26"/>
          <w:szCs w:val="26"/>
        </w:rPr>
        <w:t>Robert F. Powelson</w:t>
      </w:r>
      <w:r w:rsidRPr="006D75EA">
        <w:rPr>
          <w:rFonts w:ascii="Times New Roman" w:hAnsi="Times New Roman"/>
          <w:sz w:val="26"/>
          <w:szCs w:val="26"/>
        </w:rPr>
        <w:t>, Chairman</w:t>
      </w:r>
    </w:p>
    <w:p w:rsidR="000219DF" w:rsidRDefault="00864CD8" w:rsidP="00864CD8">
      <w:pPr>
        <w:tabs>
          <w:tab w:val="left" w:pos="-720"/>
        </w:tabs>
        <w:suppressAutoHyphens/>
        <w:rPr>
          <w:rFonts w:ascii="Times New Roman" w:hAnsi="Times New Roman"/>
          <w:sz w:val="26"/>
          <w:szCs w:val="26"/>
        </w:rPr>
      </w:pPr>
      <w:r>
        <w:rPr>
          <w:rFonts w:ascii="Times New Roman" w:hAnsi="Times New Roman"/>
          <w:sz w:val="26"/>
          <w:szCs w:val="26"/>
        </w:rPr>
        <w:tab/>
      </w:r>
      <w:r w:rsidR="000219DF">
        <w:rPr>
          <w:rFonts w:ascii="Times New Roman" w:hAnsi="Times New Roman"/>
          <w:sz w:val="26"/>
          <w:szCs w:val="26"/>
        </w:rPr>
        <w:t>John F. Coleman, Jr.</w:t>
      </w:r>
      <w:r>
        <w:rPr>
          <w:rFonts w:ascii="Times New Roman" w:hAnsi="Times New Roman"/>
          <w:sz w:val="26"/>
          <w:szCs w:val="26"/>
        </w:rPr>
        <w:t>, Vice Chairman</w:t>
      </w:r>
    </w:p>
    <w:p w:rsidR="00864CD8" w:rsidRDefault="00864CD8" w:rsidP="00864CD8">
      <w:pPr>
        <w:tabs>
          <w:tab w:val="left" w:pos="-720"/>
        </w:tabs>
        <w:suppressAutoHyphens/>
        <w:rPr>
          <w:rFonts w:ascii="Times New Roman" w:hAnsi="Times New Roman"/>
          <w:sz w:val="26"/>
          <w:szCs w:val="26"/>
        </w:rPr>
      </w:pPr>
      <w:r>
        <w:rPr>
          <w:rFonts w:ascii="Times New Roman" w:hAnsi="Times New Roman"/>
          <w:sz w:val="26"/>
          <w:szCs w:val="26"/>
        </w:rPr>
        <w:tab/>
        <w:t>Wayne E. Gardner</w:t>
      </w:r>
    </w:p>
    <w:p w:rsidR="00864CD8" w:rsidRDefault="00864CD8" w:rsidP="00864CD8">
      <w:pPr>
        <w:tabs>
          <w:tab w:val="left" w:pos="-720"/>
        </w:tabs>
        <w:suppressAutoHyphens/>
        <w:rPr>
          <w:rFonts w:ascii="Times New Roman" w:hAnsi="Times New Roman"/>
          <w:sz w:val="26"/>
          <w:szCs w:val="26"/>
        </w:rPr>
      </w:pPr>
      <w:r>
        <w:rPr>
          <w:rFonts w:ascii="Times New Roman" w:hAnsi="Times New Roman"/>
          <w:sz w:val="26"/>
          <w:szCs w:val="26"/>
        </w:rPr>
        <w:tab/>
      </w:r>
      <w:r w:rsidR="000219DF">
        <w:rPr>
          <w:rFonts w:ascii="Times New Roman" w:hAnsi="Times New Roman"/>
          <w:sz w:val="26"/>
          <w:szCs w:val="26"/>
        </w:rPr>
        <w:t xml:space="preserve">James H. </w:t>
      </w:r>
      <w:proofErr w:type="spellStart"/>
      <w:r w:rsidR="000219DF">
        <w:rPr>
          <w:rFonts w:ascii="Times New Roman" w:hAnsi="Times New Roman"/>
          <w:sz w:val="26"/>
          <w:szCs w:val="26"/>
        </w:rPr>
        <w:t>Cawley</w:t>
      </w:r>
      <w:proofErr w:type="spellEnd"/>
      <w:r w:rsidR="00AB2281">
        <w:rPr>
          <w:rFonts w:ascii="Times New Roman" w:hAnsi="Times New Roman"/>
          <w:sz w:val="26"/>
          <w:szCs w:val="26"/>
        </w:rPr>
        <w:t xml:space="preserve"> - Absent</w:t>
      </w:r>
    </w:p>
    <w:p w:rsidR="00590D41" w:rsidRPr="006D75EA" w:rsidRDefault="00590D41" w:rsidP="00864CD8">
      <w:pPr>
        <w:tabs>
          <w:tab w:val="left" w:pos="-720"/>
        </w:tabs>
        <w:suppressAutoHyphens/>
        <w:rPr>
          <w:rFonts w:ascii="Times New Roman" w:hAnsi="Times New Roman"/>
          <w:sz w:val="26"/>
          <w:szCs w:val="26"/>
        </w:rPr>
      </w:pPr>
      <w:r>
        <w:rPr>
          <w:rFonts w:ascii="Times New Roman" w:hAnsi="Times New Roman"/>
          <w:sz w:val="26"/>
          <w:szCs w:val="26"/>
        </w:rPr>
        <w:tab/>
        <w:t>Pamela A. Witmer</w:t>
      </w:r>
    </w:p>
    <w:p w:rsidR="00864CD8" w:rsidRPr="00CA511D" w:rsidRDefault="00864CD8" w:rsidP="00864CD8">
      <w:pPr>
        <w:tabs>
          <w:tab w:val="left" w:pos="-720"/>
        </w:tabs>
        <w:suppressAutoHyphens/>
        <w:rPr>
          <w:rFonts w:ascii="Times New Roman" w:hAnsi="Times New Roman"/>
          <w:sz w:val="26"/>
          <w:szCs w:val="26"/>
        </w:rPr>
      </w:pPr>
    </w:p>
    <w:p w:rsidR="00864CD8" w:rsidRDefault="00864CD8" w:rsidP="00864CD8">
      <w:pPr>
        <w:tabs>
          <w:tab w:val="left" w:pos="-720"/>
        </w:tabs>
        <w:suppressAutoHyphens/>
        <w:rPr>
          <w:rFonts w:ascii="Times New Roman" w:hAnsi="Times New Roman"/>
          <w:sz w:val="26"/>
          <w:szCs w:val="26"/>
        </w:rPr>
      </w:pPr>
    </w:p>
    <w:p w:rsidR="00521D68" w:rsidRPr="00CA511D" w:rsidRDefault="00521D68" w:rsidP="00864CD8">
      <w:pPr>
        <w:tabs>
          <w:tab w:val="left" w:pos="-720"/>
        </w:tabs>
        <w:suppressAutoHyphens/>
        <w:rPr>
          <w:rFonts w:ascii="Times New Roman" w:hAnsi="Times New Roman"/>
          <w:sz w:val="26"/>
          <w:szCs w:val="26"/>
        </w:rPr>
      </w:pPr>
    </w:p>
    <w:tbl>
      <w:tblPr>
        <w:tblW w:w="9648" w:type="dxa"/>
        <w:tblLayout w:type="fixed"/>
        <w:tblLook w:val="0000" w:firstRow="0" w:lastRow="0" w:firstColumn="0" w:lastColumn="0" w:noHBand="0" w:noVBand="0"/>
      </w:tblPr>
      <w:tblGrid>
        <w:gridCol w:w="5238"/>
        <w:gridCol w:w="1080"/>
        <w:gridCol w:w="3330"/>
      </w:tblGrid>
      <w:tr w:rsidR="00864CD8" w:rsidRPr="00CA511D" w:rsidTr="00A60134">
        <w:tc>
          <w:tcPr>
            <w:tcW w:w="5238" w:type="dxa"/>
          </w:tcPr>
          <w:p w:rsidR="009D1E77" w:rsidRDefault="00A70755" w:rsidP="009F79C5">
            <w:pPr>
              <w:rPr>
                <w:rFonts w:ascii="Times New Roman" w:hAnsi="Times New Roman"/>
                <w:sz w:val="26"/>
                <w:szCs w:val="26"/>
              </w:rPr>
            </w:pPr>
            <w:r>
              <w:rPr>
                <w:rFonts w:ascii="Times New Roman" w:hAnsi="Times New Roman"/>
                <w:sz w:val="26"/>
                <w:szCs w:val="26"/>
              </w:rPr>
              <w:t xml:space="preserve">Pennsylvania </w:t>
            </w:r>
            <w:r w:rsidR="009D1E77">
              <w:rPr>
                <w:rFonts w:ascii="Times New Roman" w:hAnsi="Times New Roman"/>
                <w:sz w:val="26"/>
                <w:szCs w:val="26"/>
              </w:rPr>
              <w:t>Public Utility Commission</w:t>
            </w:r>
          </w:p>
          <w:p w:rsidR="00864CD8" w:rsidRDefault="000219DF" w:rsidP="009F79C5">
            <w:pPr>
              <w:rPr>
                <w:rFonts w:ascii="Times New Roman" w:hAnsi="Times New Roman"/>
                <w:sz w:val="26"/>
                <w:szCs w:val="26"/>
              </w:rPr>
            </w:pPr>
            <w:r>
              <w:rPr>
                <w:rFonts w:ascii="Times New Roman" w:hAnsi="Times New Roman"/>
                <w:sz w:val="26"/>
                <w:szCs w:val="26"/>
              </w:rPr>
              <w:t>Law Bureau Prosecutory Staff</w:t>
            </w:r>
          </w:p>
          <w:p w:rsidR="00864CD8" w:rsidRDefault="00864CD8" w:rsidP="009F79C5">
            <w:pPr>
              <w:rPr>
                <w:rFonts w:ascii="Times New Roman" w:hAnsi="Times New Roman"/>
                <w:sz w:val="26"/>
                <w:szCs w:val="26"/>
              </w:rPr>
            </w:pPr>
          </w:p>
          <w:p w:rsidR="00864CD8" w:rsidRDefault="00864CD8" w:rsidP="009F79C5">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v.</w:t>
            </w:r>
          </w:p>
          <w:p w:rsidR="00864CD8" w:rsidRDefault="00864CD8" w:rsidP="009F79C5">
            <w:pPr>
              <w:rPr>
                <w:rFonts w:ascii="Times New Roman" w:hAnsi="Times New Roman"/>
                <w:sz w:val="26"/>
                <w:szCs w:val="26"/>
              </w:rPr>
            </w:pPr>
          </w:p>
          <w:p w:rsidR="00864CD8" w:rsidRDefault="00590D41" w:rsidP="009F79C5">
            <w:pPr>
              <w:rPr>
                <w:rFonts w:ascii="Times New Roman" w:hAnsi="Times New Roman"/>
                <w:sz w:val="26"/>
                <w:szCs w:val="26"/>
              </w:rPr>
            </w:pPr>
            <w:r>
              <w:rPr>
                <w:rFonts w:ascii="Times New Roman" w:hAnsi="Times New Roman"/>
                <w:sz w:val="26"/>
                <w:szCs w:val="26"/>
              </w:rPr>
              <w:t>PPL Electric Utilities Corporation</w:t>
            </w:r>
          </w:p>
          <w:p w:rsidR="00864CD8" w:rsidRPr="00CA511D" w:rsidRDefault="00864CD8" w:rsidP="009F79C5">
            <w:pPr>
              <w:rPr>
                <w:rFonts w:ascii="Times New Roman" w:hAnsi="Times New Roman"/>
                <w:sz w:val="26"/>
                <w:szCs w:val="26"/>
              </w:rPr>
            </w:pPr>
          </w:p>
        </w:tc>
        <w:tc>
          <w:tcPr>
            <w:tcW w:w="1080" w:type="dxa"/>
          </w:tcPr>
          <w:p w:rsidR="00864CD8" w:rsidRPr="00CA511D" w:rsidRDefault="00864CD8" w:rsidP="009F79C5">
            <w:pPr>
              <w:suppressAutoHyphens/>
              <w:rPr>
                <w:rFonts w:ascii="Times New Roman" w:hAnsi="Times New Roman"/>
                <w:sz w:val="26"/>
                <w:szCs w:val="26"/>
              </w:rPr>
            </w:pPr>
          </w:p>
        </w:tc>
        <w:tc>
          <w:tcPr>
            <w:tcW w:w="3330" w:type="dxa"/>
          </w:tcPr>
          <w:p w:rsidR="00864CD8" w:rsidRDefault="00A60134" w:rsidP="00A60134">
            <w:pPr>
              <w:suppressAutoHyphens/>
              <w:ind w:right="252"/>
              <w:jc w:val="right"/>
              <w:rPr>
                <w:rFonts w:ascii="Times New Roman" w:hAnsi="Times New Roman"/>
                <w:sz w:val="26"/>
                <w:szCs w:val="26"/>
              </w:rPr>
            </w:pPr>
            <w:r>
              <w:rPr>
                <w:rFonts w:ascii="Times New Roman" w:hAnsi="Times New Roman"/>
                <w:sz w:val="26"/>
                <w:szCs w:val="26"/>
              </w:rPr>
              <w:t>M-2011-2196342</w:t>
            </w:r>
          </w:p>
          <w:p w:rsidR="00864CD8" w:rsidRPr="00CA511D" w:rsidRDefault="00864CD8" w:rsidP="00A60134">
            <w:pPr>
              <w:suppressAutoHyphens/>
              <w:rPr>
                <w:rFonts w:ascii="Times New Roman" w:hAnsi="Times New Roman"/>
                <w:sz w:val="26"/>
                <w:szCs w:val="26"/>
              </w:rPr>
            </w:pPr>
          </w:p>
        </w:tc>
      </w:tr>
    </w:tbl>
    <w:p w:rsidR="00521D68" w:rsidRDefault="00521D68" w:rsidP="00864CD8">
      <w:pPr>
        <w:pStyle w:val="Heading1"/>
        <w:spacing w:line="360" w:lineRule="auto"/>
      </w:pPr>
    </w:p>
    <w:p w:rsidR="00864CD8" w:rsidRDefault="00864CD8" w:rsidP="00864CD8">
      <w:pPr>
        <w:pStyle w:val="Heading1"/>
        <w:spacing w:line="360" w:lineRule="auto"/>
      </w:pPr>
      <w:r w:rsidRPr="00CA511D">
        <w:tab/>
      </w:r>
    </w:p>
    <w:p w:rsidR="00864CD8" w:rsidRPr="00E467A5" w:rsidRDefault="00864CD8" w:rsidP="00864CD8">
      <w:pPr>
        <w:pStyle w:val="Heading1"/>
        <w:spacing w:line="360" w:lineRule="auto"/>
        <w:jc w:val="center"/>
        <w:rPr>
          <w:rFonts w:ascii="Times New Roman" w:hAnsi="Times New Roman"/>
          <w:caps/>
        </w:rPr>
      </w:pPr>
      <w:r w:rsidRPr="00E467A5">
        <w:rPr>
          <w:rFonts w:ascii="Times New Roman" w:hAnsi="Times New Roman"/>
          <w:caps/>
        </w:rPr>
        <w:t>Opinion and Order</w:t>
      </w:r>
    </w:p>
    <w:p w:rsidR="00BC78F3" w:rsidRDefault="00BC78F3" w:rsidP="00864CD8">
      <w:pPr>
        <w:tabs>
          <w:tab w:val="left" w:pos="-720"/>
        </w:tabs>
        <w:suppressAutoHyphens/>
        <w:spacing w:line="360" w:lineRule="auto"/>
        <w:rPr>
          <w:rFonts w:ascii="Times New Roman" w:hAnsi="Times New Roman"/>
          <w:b/>
          <w:sz w:val="26"/>
          <w:szCs w:val="26"/>
        </w:rPr>
      </w:pPr>
    </w:p>
    <w:p w:rsidR="00864CD8" w:rsidRPr="00AC73E4" w:rsidRDefault="00864CD8" w:rsidP="00864CD8">
      <w:pPr>
        <w:tabs>
          <w:tab w:val="left" w:pos="-720"/>
        </w:tabs>
        <w:suppressAutoHyphens/>
        <w:spacing w:line="360" w:lineRule="auto"/>
        <w:rPr>
          <w:rFonts w:ascii="Times New Roman" w:hAnsi="Times New Roman"/>
          <w:sz w:val="26"/>
          <w:szCs w:val="26"/>
        </w:rPr>
      </w:pPr>
      <w:r w:rsidRPr="00CA511D">
        <w:rPr>
          <w:rFonts w:ascii="Times New Roman" w:hAnsi="Times New Roman"/>
          <w:b/>
          <w:sz w:val="26"/>
          <w:szCs w:val="26"/>
        </w:rPr>
        <w:t>BY THE COMMISSION:</w:t>
      </w:r>
    </w:p>
    <w:p w:rsidR="00864CD8" w:rsidRPr="00CA511D" w:rsidRDefault="00864CD8" w:rsidP="00864CD8">
      <w:pPr>
        <w:tabs>
          <w:tab w:val="left" w:pos="-720"/>
        </w:tabs>
        <w:suppressAutoHyphens/>
        <w:spacing w:line="360" w:lineRule="auto"/>
        <w:rPr>
          <w:rFonts w:ascii="Times New Roman" w:hAnsi="Times New Roman"/>
          <w:sz w:val="26"/>
          <w:szCs w:val="26"/>
        </w:rPr>
      </w:pPr>
    </w:p>
    <w:p w:rsidR="00CD20D2" w:rsidRDefault="00864CD8" w:rsidP="00864CD8">
      <w:pPr>
        <w:tabs>
          <w:tab w:val="left" w:pos="-720"/>
        </w:tabs>
        <w:suppressAutoHyphens/>
        <w:spacing w:line="360" w:lineRule="auto"/>
        <w:rPr>
          <w:rFonts w:ascii="Times New Roman" w:hAnsi="Times New Roman"/>
          <w:sz w:val="26"/>
          <w:szCs w:val="26"/>
        </w:rPr>
      </w:pPr>
      <w:r w:rsidRPr="00CA511D">
        <w:rPr>
          <w:rFonts w:ascii="Times New Roman" w:hAnsi="Times New Roman"/>
          <w:sz w:val="26"/>
          <w:szCs w:val="26"/>
        </w:rPr>
        <w:tab/>
      </w:r>
      <w:r w:rsidRPr="00CA511D">
        <w:rPr>
          <w:rFonts w:ascii="Times New Roman" w:hAnsi="Times New Roman"/>
          <w:sz w:val="26"/>
          <w:szCs w:val="26"/>
        </w:rPr>
        <w:tab/>
        <w:t xml:space="preserve">Before the </w:t>
      </w:r>
      <w:r w:rsidR="00795D16">
        <w:rPr>
          <w:rFonts w:ascii="Times New Roman" w:hAnsi="Times New Roman"/>
          <w:sz w:val="26"/>
          <w:szCs w:val="26"/>
        </w:rPr>
        <w:t>Pennsylvania Public Utility Commission (</w:t>
      </w:r>
      <w:r w:rsidRPr="00CA511D">
        <w:rPr>
          <w:rFonts w:ascii="Times New Roman" w:hAnsi="Times New Roman"/>
          <w:sz w:val="26"/>
          <w:szCs w:val="26"/>
        </w:rPr>
        <w:t>Commission</w:t>
      </w:r>
      <w:r w:rsidR="00795D16">
        <w:rPr>
          <w:rFonts w:ascii="Times New Roman" w:hAnsi="Times New Roman"/>
          <w:sz w:val="26"/>
          <w:szCs w:val="26"/>
        </w:rPr>
        <w:t>)</w:t>
      </w:r>
      <w:r w:rsidRPr="00CA511D">
        <w:rPr>
          <w:rFonts w:ascii="Times New Roman" w:hAnsi="Times New Roman"/>
          <w:sz w:val="26"/>
          <w:szCs w:val="26"/>
        </w:rPr>
        <w:t xml:space="preserve"> for consideration and disposition </w:t>
      </w:r>
      <w:r>
        <w:rPr>
          <w:rFonts w:ascii="Times New Roman" w:hAnsi="Times New Roman"/>
          <w:sz w:val="26"/>
          <w:szCs w:val="26"/>
        </w:rPr>
        <w:t xml:space="preserve">is a </w:t>
      </w:r>
      <w:r w:rsidR="00AF7ADA">
        <w:rPr>
          <w:rFonts w:ascii="Times New Roman" w:hAnsi="Times New Roman"/>
          <w:sz w:val="26"/>
          <w:szCs w:val="26"/>
        </w:rPr>
        <w:t xml:space="preserve">proposed </w:t>
      </w:r>
      <w:r>
        <w:rPr>
          <w:rFonts w:ascii="Times New Roman" w:hAnsi="Times New Roman"/>
          <w:sz w:val="26"/>
          <w:szCs w:val="26"/>
        </w:rPr>
        <w:t>Settlement Agreement (Se</w:t>
      </w:r>
      <w:r w:rsidR="009F15A9">
        <w:rPr>
          <w:rFonts w:ascii="Times New Roman" w:hAnsi="Times New Roman"/>
          <w:sz w:val="26"/>
          <w:szCs w:val="26"/>
        </w:rPr>
        <w:t>ttlement</w:t>
      </w:r>
      <w:r>
        <w:rPr>
          <w:rFonts w:ascii="Times New Roman" w:hAnsi="Times New Roman"/>
          <w:sz w:val="26"/>
          <w:szCs w:val="26"/>
        </w:rPr>
        <w:t xml:space="preserve">) filed on </w:t>
      </w:r>
      <w:r w:rsidR="00590D41">
        <w:rPr>
          <w:rFonts w:ascii="Times New Roman" w:hAnsi="Times New Roman"/>
          <w:sz w:val="26"/>
          <w:szCs w:val="26"/>
        </w:rPr>
        <w:t>May 20</w:t>
      </w:r>
      <w:r w:rsidR="000219DF">
        <w:rPr>
          <w:rFonts w:ascii="Times New Roman" w:hAnsi="Times New Roman"/>
          <w:sz w:val="26"/>
          <w:szCs w:val="26"/>
        </w:rPr>
        <w:t>, 2011</w:t>
      </w:r>
      <w:r>
        <w:rPr>
          <w:rFonts w:ascii="Times New Roman" w:hAnsi="Times New Roman"/>
          <w:sz w:val="26"/>
          <w:szCs w:val="26"/>
        </w:rPr>
        <w:t xml:space="preserve">, by </w:t>
      </w:r>
      <w:r w:rsidR="000219DF">
        <w:rPr>
          <w:rFonts w:ascii="Times New Roman" w:hAnsi="Times New Roman"/>
          <w:sz w:val="26"/>
          <w:szCs w:val="26"/>
        </w:rPr>
        <w:t>the Commission’s Law Bureau Prosecutory Staff (Prosecutory Staff)</w:t>
      </w:r>
      <w:r w:rsidR="009F6357">
        <w:rPr>
          <w:rStyle w:val="FootnoteReference"/>
          <w:rFonts w:ascii="Times New Roman" w:hAnsi="Times New Roman"/>
          <w:sz w:val="26"/>
          <w:szCs w:val="26"/>
        </w:rPr>
        <w:footnoteReference w:id="1"/>
      </w:r>
      <w:r w:rsidR="000219DF">
        <w:rPr>
          <w:rFonts w:ascii="Times New Roman" w:hAnsi="Times New Roman"/>
          <w:sz w:val="26"/>
          <w:szCs w:val="26"/>
        </w:rPr>
        <w:t xml:space="preserve"> </w:t>
      </w:r>
      <w:r w:rsidR="00A574C9">
        <w:rPr>
          <w:rFonts w:ascii="Times New Roman" w:hAnsi="Times New Roman"/>
          <w:sz w:val="26"/>
          <w:szCs w:val="26"/>
        </w:rPr>
        <w:t xml:space="preserve">and </w:t>
      </w:r>
      <w:r w:rsidR="00590D41">
        <w:rPr>
          <w:rFonts w:ascii="Times New Roman" w:hAnsi="Times New Roman"/>
          <w:sz w:val="26"/>
          <w:szCs w:val="26"/>
        </w:rPr>
        <w:t>PPL Electric Utilities Corporation (PPL</w:t>
      </w:r>
      <w:r>
        <w:rPr>
          <w:rFonts w:ascii="Times New Roman" w:hAnsi="Times New Roman"/>
          <w:sz w:val="26"/>
          <w:szCs w:val="26"/>
        </w:rPr>
        <w:t xml:space="preserve"> or the Company) </w:t>
      </w:r>
      <w:r w:rsidR="00A574C9">
        <w:rPr>
          <w:rFonts w:ascii="Times New Roman" w:hAnsi="Times New Roman"/>
          <w:sz w:val="26"/>
          <w:szCs w:val="26"/>
        </w:rPr>
        <w:t>(</w:t>
      </w:r>
      <w:r>
        <w:rPr>
          <w:rFonts w:ascii="Times New Roman" w:hAnsi="Times New Roman"/>
          <w:sz w:val="26"/>
          <w:szCs w:val="26"/>
        </w:rPr>
        <w:t>collectively, the Parties</w:t>
      </w:r>
      <w:r w:rsidR="00A574C9">
        <w:rPr>
          <w:rFonts w:ascii="Times New Roman" w:hAnsi="Times New Roman"/>
          <w:sz w:val="26"/>
          <w:szCs w:val="26"/>
        </w:rPr>
        <w:t>)</w:t>
      </w:r>
      <w:r>
        <w:rPr>
          <w:rFonts w:ascii="Times New Roman" w:hAnsi="Times New Roman"/>
          <w:sz w:val="26"/>
          <w:szCs w:val="26"/>
        </w:rPr>
        <w:t>,</w:t>
      </w:r>
      <w:r w:rsidR="00A574C9">
        <w:rPr>
          <w:rFonts w:ascii="Times New Roman" w:hAnsi="Times New Roman"/>
          <w:sz w:val="26"/>
          <w:szCs w:val="26"/>
        </w:rPr>
        <w:t xml:space="preserve"> </w:t>
      </w:r>
      <w:r>
        <w:rPr>
          <w:rFonts w:ascii="Times New Roman" w:hAnsi="Times New Roman"/>
          <w:sz w:val="26"/>
          <w:szCs w:val="26"/>
        </w:rPr>
        <w:t xml:space="preserve">with respect to </w:t>
      </w:r>
      <w:r w:rsidR="000E6850">
        <w:rPr>
          <w:rFonts w:ascii="Times New Roman" w:hAnsi="Times New Roman"/>
          <w:sz w:val="26"/>
          <w:szCs w:val="26"/>
        </w:rPr>
        <w:t>an informal i</w:t>
      </w:r>
      <w:r>
        <w:rPr>
          <w:rFonts w:ascii="Times New Roman" w:hAnsi="Times New Roman"/>
          <w:sz w:val="26"/>
          <w:szCs w:val="26"/>
        </w:rPr>
        <w:t xml:space="preserve">nvestigation conducted by the Prosecutory Staff.   </w:t>
      </w:r>
      <w:r w:rsidR="00261CB1">
        <w:rPr>
          <w:rFonts w:ascii="Times New Roman" w:hAnsi="Times New Roman"/>
          <w:sz w:val="26"/>
          <w:szCs w:val="26"/>
        </w:rPr>
        <w:t>Both</w:t>
      </w:r>
      <w:r w:rsidR="0041134A">
        <w:rPr>
          <w:rFonts w:ascii="Times New Roman" w:hAnsi="Times New Roman"/>
          <w:sz w:val="26"/>
          <w:szCs w:val="26"/>
        </w:rPr>
        <w:t xml:space="preserve"> </w:t>
      </w:r>
      <w:r w:rsidR="0041134A">
        <w:rPr>
          <w:rFonts w:ascii="Times New Roman" w:hAnsi="Times New Roman"/>
          <w:sz w:val="26"/>
          <w:szCs w:val="26"/>
        </w:rPr>
        <w:lastRenderedPageBreak/>
        <w:t xml:space="preserve">Parties </w:t>
      </w:r>
      <w:r w:rsidR="00261CB1">
        <w:rPr>
          <w:rFonts w:ascii="Times New Roman" w:hAnsi="Times New Roman"/>
          <w:sz w:val="26"/>
          <w:szCs w:val="26"/>
        </w:rPr>
        <w:t xml:space="preserve">submitted a </w:t>
      </w:r>
      <w:r w:rsidR="0041134A">
        <w:rPr>
          <w:rFonts w:ascii="Times New Roman" w:hAnsi="Times New Roman"/>
          <w:sz w:val="26"/>
          <w:szCs w:val="26"/>
        </w:rPr>
        <w:t>Statement in Suppor</w:t>
      </w:r>
      <w:r w:rsidR="007E3DE6">
        <w:rPr>
          <w:rFonts w:ascii="Times New Roman" w:hAnsi="Times New Roman"/>
          <w:sz w:val="26"/>
          <w:szCs w:val="26"/>
        </w:rPr>
        <w:t>t of the Settlement</w:t>
      </w:r>
      <w:r w:rsidR="00844906">
        <w:rPr>
          <w:rFonts w:ascii="Times New Roman" w:hAnsi="Times New Roman"/>
          <w:sz w:val="26"/>
          <w:szCs w:val="26"/>
        </w:rPr>
        <w:t>, which w</w:t>
      </w:r>
      <w:r w:rsidR="00121777">
        <w:rPr>
          <w:rFonts w:ascii="Times New Roman" w:hAnsi="Times New Roman"/>
          <w:sz w:val="26"/>
          <w:szCs w:val="26"/>
        </w:rPr>
        <w:t xml:space="preserve">e issued </w:t>
      </w:r>
      <w:r w:rsidR="00CD20D2">
        <w:rPr>
          <w:rFonts w:ascii="Times New Roman" w:hAnsi="Times New Roman"/>
          <w:sz w:val="26"/>
          <w:szCs w:val="26"/>
        </w:rPr>
        <w:t xml:space="preserve">for </w:t>
      </w:r>
      <w:r w:rsidR="00605BAF">
        <w:rPr>
          <w:rFonts w:ascii="Times New Roman" w:hAnsi="Times New Roman"/>
          <w:sz w:val="26"/>
          <w:szCs w:val="26"/>
        </w:rPr>
        <w:t xml:space="preserve">public comment </w:t>
      </w:r>
      <w:r w:rsidR="00664CDF">
        <w:rPr>
          <w:rFonts w:ascii="Times New Roman" w:hAnsi="Times New Roman"/>
          <w:sz w:val="26"/>
          <w:szCs w:val="26"/>
        </w:rPr>
        <w:t>by an Opinion and Order entered on August 11, 2011</w:t>
      </w:r>
      <w:r w:rsidR="007E3DE6">
        <w:rPr>
          <w:rFonts w:ascii="Times New Roman" w:hAnsi="Times New Roman"/>
          <w:sz w:val="26"/>
          <w:szCs w:val="26"/>
        </w:rPr>
        <w:t>.  The Dollar Energy Fund (DEF) and</w:t>
      </w:r>
      <w:r w:rsidR="00664CDF">
        <w:rPr>
          <w:rFonts w:ascii="Times New Roman" w:hAnsi="Times New Roman"/>
          <w:sz w:val="26"/>
          <w:szCs w:val="26"/>
        </w:rPr>
        <w:t xml:space="preserve"> the Pennsylvania Utility Law Project (PULP)</w:t>
      </w:r>
      <w:r w:rsidR="001C46D6">
        <w:rPr>
          <w:rStyle w:val="FootnoteReference"/>
          <w:rFonts w:ascii="Times New Roman" w:hAnsi="Times New Roman"/>
          <w:sz w:val="26"/>
          <w:szCs w:val="26"/>
        </w:rPr>
        <w:footnoteReference w:id="2"/>
      </w:r>
      <w:r w:rsidR="00664CDF">
        <w:rPr>
          <w:rFonts w:ascii="Times New Roman" w:hAnsi="Times New Roman"/>
          <w:sz w:val="26"/>
          <w:szCs w:val="26"/>
        </w:rPr>
        <w:t xml:space="preserve"> filed timely comments on August 19 and August 31, </w:t>
      </w:r>
      <w:r w:rsidR="00CE0D83">
        <w:rPr>
          <w:rFonts w:ascii="Times New Roman" w:hAnsi="Times New Roman"/>
          <w:sz w:val="26"/>
          <w:szCs w:val="26"/>
        </w:rPr>
        <w:t>2011, respectively</w:t>
      </w:r>
      <w:r w:rsidR="00664CDF">
        <w:rPr>
          <w:rFonts w:ascii="Times New Roman" w:hAnsi="Times New Roman"/>
          <w:sz w:val="26"/>
          <w:szCs w:val="26"/>
        </w:rPr>
        <w:t>.</w:t>
      </w:r>
      <w:r w:rsidR="008D1694">
        <w:rPr>
          <w:rFonts w:ascii="Times New Roman" w:hAnsi="Times New Roman"/>
          <w:sz w:val="26"/>
          <w:szCs w:val="26"/>
        </w:rPr>
        <w:t xml:space="preserve">  PPL filed a Reply</w:t>
      </w:r>
      <w:r w:rsidR="009A7CF6">
        <w:rPr>
          <w:rFonts w:ascii="Times New Roman" w:hAnsi="Times New Roman"/>
          <w:sz w:val="26"/>
          <w:szCs w:val="26"/>
        </w:rPr>
        <w:t xml:space="preserve"> to PULP’s Comments on September 19, 2011.</w:t>
      </w:r>
      <w:r w:rsidR="00494A3C">
        <w:rPr>
          <w:rStyle w:val="FootnoteReference"/>
          <w:rFonts w:ascii="Times New Roman" w:hAnsi="Times New Roman"/>
          <w:sz w:val="26"/>
          <w:szCs w:val="26"/>
        </w:rPr>
        <w:footnoteReference w:id="3"/>
      </w:r>
    </w:p>
    <w:p w:rsidR="00795D16" w:rsidRDefault="00795D16" w:rsidP="00864CD8">
      <w:pPr>
        <w:tabs>
          <w:tab w:val="left" w:pos="-720"/>
        </w:tabs>
        <w:suppressAutoHyphens/>
        <w:spacing w:line="360" w:lineRule="auto"/>
        <w:rPr>
          <w:rFonts w:ascii="Times New Roman" w:hAnsi="Times New Roman"/>
          <w:sz w:val="26"/>
          <w:szCs w:val="26"/>
        </w:rPr>
      </w:pPr>
    </w:p>
    <w:p w:rsidR="00864CD8" w:rsidRDefault="00795D16" w:rsidP="00864CD8">
      <w:pPr>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4C7796">
        <w:rPr>
          <w:rFonts w:ascii="Times New Roman" w:hAnsi="Times New Roman"/>
          <w:sz w:val="26"/>
          <w:szCs w:val="26"/>
        </w:rPr>
        <w:t>T</w:t>
      </w:r>
      <w:r w:rsidR="00864CD8">
        <w:rPr>
          <w:rFonts w:ascii="Times New Roman" w:hAnsi="Times New Roman"/>
          <w:sz w:val="26"/>
          <w:szCs w:val="26"/>
        </w:rPr>
        <w:t>he prop</w:t>
      </w:r>
      <w:r w:rsidR="004C7796">
        <w:rPr>
          <w:rFonts w:ascii="Times New Roman" w:hAnsi="Times New Roman"/>
          <w:sz w:val="26"/>
          <w:szCs w:val="26"/>
        </w:rPr>
        <w:t>osed Settlement is conditioned</w:t>
      </w:r>
      <w:r w:rsidR="00864CD8">
        <w:rPr>
          <w:rFonts w:ascii="Times New Roman" w:hAnsi="Times New Roman"/>
          <w:sz w:val="26"/>
          <w:szCs w:val="26"/>
        </w:rPr>
        <w:t xml:space="preserve"> on </w:t>
      </w:r>
      <w:r w:rsidR="00AA4D66">
        <w:rPr>
          <w:rFonts w:ascii="Times New Roman" w:hAnsi="Times New Roman"/>
          <w:sz w:val="26"/>
          <w:szCs w:val="26"/>
        </w:rPr>
        <w:t xml:space="preserve">the </w:t>
      </w:r>
      <w:r w:rsidR="00864CD8">
        <w:rPr>
          <w:rFonts w:ascii="Times New Roman" w:hAnsi="Times New Roman"/>
          <w:sz w:val="26"/>
          <w:szCs w:val="26"/>
        </w:rPr>
        <w:t>Commission</w:t>
      </w:r>
      <w:r w:rsidR="0041134A">
        <w:rPr>
          <w:rFonts w:ascii="Times New Roman" w:hAnsi="Times New Roman"/>
          <w:sz w:val="26"/>
          <w:szCs w:val="26"/>
        </w:rPr>
        <w:t>’s</w:t>
      </w:r>
      <w:r w:rsidR="004C7796">
        <w:rPr>
          <w:rFonts w:ascii="Times New Roman" w:hAnsi="Times New Roman"/>
          <w:sz w:val="26"/>
          <w:szCs w:val="26"/>
        </w:rPr>
        <w:t xml:space="preserve"> approval without </w:t>
      </w:r>
      <w:r w:rsidR="0041134A">
        <w:rPr>
          <w:rFonts w:ascii="Times New Roman" w:hAnsi="Times New Roman"/>
          <w:sz w:val="26"/>
          <w:szCs w:val="26"/>
        </w:rPr>
        <w:t>modification</w:t>
      </w:r>
      <w:r w:rsidR="004C7796">
        <w:rPr>
          <w:rFonts w:ascii="Times New Roman" w:hAnsi="Times New Roman"/>
          <w:sz w:val="26"/>
          <w:szCs w:val="26"/>
        </w:rPr>
        <w:t xml:space="preserve"> of any </w:t>
      </w:r>
      <w:r w:rsidR="00AF7ADA">
        <w:rPr>
          <w:rFonts w:ascii="Times New Roman" w:hAnsi="Times New Roman"/>
          <w:sz w:val="26"/>
          <w:szCs w:val="26"/>
        </w:rPr>
        <w:t xml:space="preserve">of its </w:t>
      </w:r>
      <w:r w:rsidR="004C7796">
        <w:rPr>
          <w:rFonts w:ascii="Times New Roman" w:hAnsi="Times New Roman"/>
          <w:sz w:val="26"/>
          <w:szCs w:val="26"/>
        </w:rPr>
        <w:t>term</w:t>
      </w:r>
      <w:r w:rsidR="00AF7ADA">
        <w:rPr>
          <w:rFonts w:ascii="Times New Roman" w:hAnsi="Times New Roman"/>
          <w:sz w:val="26"/>
          <w:szCs w:val="26"/>
        </w:rPr>
        <w:t>s</w:t>
      </w:r>
      <w:r w:rsidR="004C7796">
        <w:rPr>
          <w:rFonts w:ascii="Times New Roman" w:hAnsi="Times New Roman"/>
          <w:sz w:val="26"/>
          <w:szCs w:val="26"/>
        </w:rPr>
        <w:t xml:space="preserve"> or condition</w:t>
      </w:r>
      <w:r w:rsidR="00AF7ADA">
        <w:rPr>
          <w:rFonts w:ascii="Times New Roman" w:hAnsi="Times New Roman"/>
          <w:sz w:val="26"/>
          <w:szCs w:val="26"/>
        </w:rPr>
        <w:t>s</w:t>
      </w:r>
      <w:r w:rsidR="00864CD8">
        <w:rPr>
          <w:rFonts w:ascii="Times New Roman" w:hAnsi="Times New Roman"/>
          <w:sz w:val="26"/>
          <w:szCs w:val="26"/>
        </w:rPr>
        <w:t xml:space="preserve">. </w:t>
      </w:r>
      <w:r w:rsidR="00AA4D66">
        <w:rPr>
          <w:rFonts w:ascii="Times New Roman" w:hAnsi="Times New Roman"/>
          <w:sz w:val="26"/>
          <w:szCs w:val="26"/>
        </w:rPr>
        <w:t xml:space="preserve"> </w:t>
      </w:r>
      <w:r w:rsidR="00864CD8">
        <w:rPr>
          <w:rFonts w:ascii="Times New Roman" w:hAnsi="Times New Roman"/>
          <w:sz w:val="26"/>
          <w:szCs w:val="26"/>
        </w:rPr>
        <w:t xml:space="preserve">Settlement at </w:t>
      </w:r>
      <w:r w:rsidR="004C7796">
        <w:rPr>
          <w:rFonts w:ascii="Times New Roman" w:hAnsi="Times New Roman"/>
          <w:sz w:val="26"/>
          <w:szCs w:val="26"/>
        </w:rPr>
        <w:t>15-16</w:t>
      </w:r>
      <w:r w:rsidR="00D20B90">
        <w:rPr>
          <w:rFonts w:ascii="Times New Roman" w:hAnsi="Times New Roman"/>
          <w:sz w:val="26"/>
          <w:szCs w:val="26"/>
        </w:rPr>
        <w:t>,</w:t>
      </w:r>
      <w:r w:rsidR="004C7796">
        <w:rPr>
          <w:rFonts w:ascii="Times New Roman" w:hAnsi="Times New Roman"/>
          <w:sz w:val="26"/>
          <w:szCs w:val="26"/>
        </w:rPr>
        <w:t xml:space="preserve"> ¶ 36</w:t>
      </w:r>
      <w:r w:rsidR="00864CD8">
        <w:rPr>
          <w:rFonts w:ascii="Times New Roman" w:hAnsi="Times New Roman"/>
          <w:sz w:val="26"/>
          <w:szCs w:val="26"/>
        </w:rPr>
        <w:t xml:space="preserve">.  If the Commission </w:t>
      </w:r>
      <w:r w:rsidR="00AA4D66">
        <w:rPr>
          <w:rFonts w:ascii="Times New Roman" w:hAnsi="Times New Roman"/>
          <w:sz w:val="26"/>
          <w:szCs w:val="26"/>
        </w:rPr>
        <w:t>propose</w:t>
      </w:r>
      <w:r w:rsidR="004C7796">
        <w:rPr>
          <w:rFonts w:ascii="Times New Roman" w:hAnsi="Times New Roman"/>
          <w:sz w:val="26"/>
          <w:szCs w:val="26"/>
        </w:rPr>
        <w:t>s or make</w:t>
      </w:r>
      <w:r w:rsidR="00AF7ADA">
        <w:rPr>
          <w:rFonts w:ascii="Times New Roman" w:hAnsi="Times New Roman"/>
          <w:sz w:val="26"/>
          <w:szCs w:val="26"/>
        </w:rPr>
        <w:t>s any change or modification to the proposed Settlement</w:t>
      </w:r>
      <w:r w:rsidR="00864CD8">
        <w:rPr>
          <w:rFonts w:ascii="Times New Roman" w:hAnsi="Times New Roman"/>
          <w:sz w:val="26"/>
          <w:szCs w:val="26"/>
        </w:rPr>
        <w:t xml:space="preserve">, either </w:t>
      </w:r>
      <w:r w:rsidR="00281DB1">
        <w:rPr>
          <w:rFonts w:ascii="Times New Roman" w:hAnsi="Times New Roman"/>
          <w:sz w:val="26"/>
          <w:szCs w:val="26"/>
        </w:rPr>
        <w:t>P</w:t>
      </w:r>
      <w:r w:rsidR="00864CD8">
        <w:rPr>
          <w:rFonts w:ascii="Times New Roman" w:hAnsi="Times New Roman"/>
          <w:sz w:val="26"/>
          <w:szCs w:val="26"/>
        </w:rPr>
        <w:t xml:space="preserve">arty may elect to withdraw from the Settlement. </w:t>
      </w:r>
      <w:r w:rsidR="00891822">
        <w:rPr>
          <w:rFonts w:ascii="Times New Roman" w:hAnsi="Times New Roman"/>
          <w:sz w:val="26"/>
          <w:szCs w:val="26"/>
        </w:rPr>
        <w:t xml:space="preserve"> Settlement at 16</w:t>
      </w:r>
      <w:r w:rsidR="00D20B90">
        <w:rPr>
          <w:rFonts w:ascii="Times New Roman" w:hAnsi="Times New Roman"/>
          <w:sz w:val="26"/>
          <w:szCs w:val="26"/>
        </w:rPr>
        <w:t>,</w:t>
      </w:r>
      <w:r w:rsidR="00864CD8">
        <w:rPr>
          <w:rFonts w:ascii="Times New Roman" w:hAnsi="Times New Roman"/>
          <w:sz w:val="26"/>
          <w:szCs w:val="26"/>
        </w:rPr>
        <w:t xml:space="preserve"> ¶ </w:t>
      </w:r>
      <w:r w:rsidR="00891822">
        <w:rPr>
          <w:rFonts w:ascii="Times New Roman" w:hAnsi="Times New Roman"/>
          <w:sz w:val="26"/>
          <w:szCs w:val="26"/>
        </w:rPr>
        <w:t>37</w:t>
      </w:r>
      <w:r w:rsidR="00864CD8">
        <w:rPr>
          <w:rFonts w:ascii="Times New Roman" w:hAnsi="Times New Roman"/>
          <w:sz w:val="26"/>
          <w:szCs w:val="26"/>
        </w:rPr>
        <w:t>.</w:t>
      </w:r>
    </w:p>
    <w:p w:rsidR="00864CD8" w:rsidRDefault="00864CD8" w:rsidP="00864CD8">
      <w:pPr>
        <w:tabs>
          <w:tab w:val="left" w:pos="-720"/>
        </w:tabs>
        <w:suppressAutoHyphens/>
        <w:spacing w:line="360" w:lineRule="auto"/>
        <w:rPr>
          <w:rFonts w:ascii="Times New Roman" w:hAnsi="Times New Roman"/>
          <w:sz w:val="26"/>
          <w:szCs w:val="26"/>
        </w:rPr>
      </w:pPr>
    </w:p>
    <w:p w:rsidR="00864CD8" w:rsidRPr="00040C3A" w:rsidRDefault="00742294" w:rsidP="006D463B">
      <w:pPr>
        <w:tabs>
          <w:tab w:val="left" w:pos="-720"/>
        </w:tabs>
        <w:suppressAutoHyphens/>
        <w:ind w:left="1440" w:hanging="1440"/>
        <w:jc w:val="center"/>
        <w:rPr>
          <w:rFonts w:ascii="Times New Roman" w:hAnsi="Times New Roman"/>
          <w:sz w:val="26"/>
          <w:szCs w:val="26"/>
        </w:rPr>
      </w:pPr>
      <w:r w:rsidRPr="00742294">
        <w:rPr>
          <w:rFonts w:ascii="Times New Roman" w:hAnsi="Times New Roman"/>
          <w:b/>
          <w:sz w:val="26"/>
          <w:szCs w:val="26"/>
        </w:rPr>
        <w:t>History of the Case</w:t>
      </w:r>
    </w:p>
    <w:p w:rsidR="00864CD8" w:rsidRDefault="00864CD8" w:rsidP="00864CD8">
      <w:pPr>
        <w:tabs>
          <w:tab w:val="center" w:pos="0"/>
        </w:tabs>
        <w:suppressAutoHyphens/>
        <w:spacing w:line="360" w:lineRule="auto"/>
        <w:rPr>
          <w:rFonts w:ascii="Times New Roman" w:hAnsi="Times New Roman"/>
          <w:sz w:val="26"/>
          <w:szCs w:val="26"/>
        </w:rPr>
      </w:pPr>
    </w:p>
    <w:p w:rsidR="00F25814" w:rsidRDefault="00864CD8" w:rsidP="00864CD8">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DA50F0">
        <w:rPr>
          <w:rFonts w:ascii="Times New Roman" w:hAnsi="Times New Roman"/>
          <w:sz w:val="26"/>
          <w:szCs w:val="26"/>
        </w:rPr>
        <w:t xml:space="preserve">The </w:t>
      </w:r>
      <w:r w:rsidR="00891822">
        <w:rPr>
          <w:rFonts w:ascii="Times New Roman" w:hAnsi="Times New Roman"/>
          <w:sz w:val="26"/>
          <w:szCs w:val="26"/>
        </w:rPr>
        <w:t>Commission’s Bureau of Consumer Services</w:t>
      </w:r>
      <w:r w:rsidR="00DA50F0">
        <w:rPr>
          <w:rFonts w:ascii="Times New Roman" w:hAnsi="Times New Roman"/>
          <w:sz w:val="26"/>
          <w:szCs w:val="26"/>
        </w:rPr>
        <w:t xml:space="preserve"> </w:t>
      </w:r>
      <w:r w:rsidR="00A00AD4">
        <w:rPr>
          <w:rFonts w:ascii="Times New Roman" w:hAnsi="Times New Roman"/>
          <w:sz w:val="26"/>
          <w:szCs w:val="26"/>
        </w:rPr>
        <w:t xml:space="preserve">(BCS) </w:t>
      </w:r>
      <w:r w:rsidR="00AF7ADA">
        <w:rPr>
          <w:rFonts w:ascii="Times New Roman" w:hAnsi="Times New Roman"/>
          <w:sz w:val="26"/>
          <w:szCs w:val="26"/>
        </w:rPr>
        <w:t xml:space="preserve">instituted an </w:t>
      </w:r>
      <w:r w:rsidR="00DA50F0">
        <w:rPr>
          <w:rFonts w:ascii="Times New Roman" w:hAnsi="Times New Roman"/>
          <w:sz w:val="26"/>
          <w:szCs w:val="26"/>
        </w:rPr>
        <w:t xml:space="preserve">informal investigation following </w:t>
      </w:r>
      <w:r w:rsidR="00891822">
        <w:rPr>
          <w:rFonts w:ascii="Times New Roman" w:hAnsi="Times New Roman"/>
          <w:sz w:val="26"/>
          <w:szCs w:val="26"/>
        </w:rPr>
        <w:t xml:space="preserve">PPL’s submission of a report on July 1, 2010, </w:t>
      </w:r>
      <w:r w:rsidR="00CD5504">
        <w:rPr>
          <w:rFonts w:ascii="Times New Roman" w:hAnsi="Times New Roman"/>
          <w:sz w:val="26"/>
          <w:szCs w:val="26"/>
        </w:rPr>
        <w:t xml:space="preserve">pursuant to the Commission’s Secretarial Letter of January 16, 2009, regarding </w:t>
      </w:r>
      <w:r w:rsidR="00CD5504" w:rsidRPr="00612C36">
        <w:rPr>
          <w:rFonts w:ascii="Times New Roman" w:hAnsi="Times New Roman"/>
          <w:i/>
          <w:sz w:val="26"/>
          <w:szCs w:val="26"/>
        </w:rPr>
        <w:t xml:space="preserve">Interim Reporting Requirements for Regulated Electric and Gas Utilities to File Reports Regarding any Incidents Involving Death </w:t>
      </w:r>
      <w:r w:rsidR="00C32095">
        <w:rPr>
          <w:rFonts w:ascii="Times New Roman" w:hAnsi="Times New Roman"/>
          <w:i/>
          <w:sz w:val="26"/>
          <w:szCs w:val="26"/>
        </w:rPr>
        <w:t xml:space="preserve">at Locations </w:t>
      </w:r>
      <w:r w:rsidR="00CD5504" w:rsidRPr="00612C36">
        <w:rPr>
          <w:rFonts w:ascii="Times New Roman" w:hAnsi="Times New Roman"/>
          <w:i/>
          <w:sz w:val="26"/>
          <w:szCs w:val="26"/>
        </w:rPr>
        <w:t xml:space="preserve">Where Residential </w:t>
      </w:r>
      <w:r w:rsidR="00C32095">
        <w:rPr>
          <w:rFonts w:ascii="Times New Roman" w:hAnsi="Times New Roman"/>
          <w:i/>
          <w:sz w:val="26"/>
          <w:szCs w:val="26"/>
        </w:rPr>
        <w:t xml:space="preserve">Utility </w:t>
      </w:r>
      <w:r w:rsidR="00CD5504" w:rsidRPr="00612C36">
        <w:rPr>
          <w:rFonts w:ascii="Times New Roman" w:hAnsi="Times New Roman"/>
          <w:i/>
          <w:sz w:val="26"/>
          <w:szCs w:val="26"/>
        </w:rPr>
        <w:t>Service Has Been Terminated</w:t>
      </w:r>
      <w:r w:rsidR="00612C36">
        <w:rPr>
          <w:rFonts w:ascii="Times New Roman" w:hAnsi="Times New Roman"/>
          <w:sz w:val="26"/>
          <w:szCs w:val="26"/>
        </w:rPr>
        <w:t xml:space="preserve"> at</w:t>
      </w:r>
      <w:r w:rsidR="00CD5504">
        <w:rPr>
          <w:rFonts w:ascii="Times New Roman" w:hAnsi="Times New Roman"/>
          <w:sz w:val="26"/>
          <w:szCs w:val="26"/>
        </w:rPr>
        <w:t xml:space="preserve"> Docket No. M-2009-2084013.</w:t>
      </w:r>
      <w:r w:rsidR="00612C36">
        <w:rPr>
          <w:rFonts w:ascii="Times New Roman" w:hAnsi="Times New Roman"/>
          <w:sz w:val="26"/>
          <w:szCs w:val="26"/>
        </w:rPr>
        <w:t xml:space="preserve">  The informal investigation concerned a residential account that had been terminated for non-payment on June 10, 2010.  PPL was informed by the customer’s daughter that the customer passed away at his residence on </w:t>
      </w:r>
      <w:r w:rsidR="00A00AD4">
        <w:rPr>
          <w:rFonts w:ascii="Times New Roman" w:hAnsi="Times New Roman"/>
          <w:sz w:val="26"/>
          <w:szCs w:val="26"/>
        </w:rPr>
        <w:t>June 25</w:t>
      </w:r>
      <w:r w:rsidR="00795D16">
        <w:rPr>
          <w:rFonts w:ascii="Times New Roman" w:hAnsi="Times New Roman"/>
          <w:sz w:val="26"/>
          <w:szCs w:val="26"/>
        </w:rPr>
        <w:t>, 2010.</w:t>
      </w:r>
    </w:p>
    <w:p w:rsidR="00F25814" w:rsidRDefault="00F25814" w:rsidP="00864CD8">
      <w:pPr>
        <w:tabs>
          <w:tab w:val="center" w:pos="0"/>
        </w:tabs>
        <w:suppressAutoHyphens/>
        <w:spacing w:line="360" w:lineRule="auto"/>
        <w:rPr>
          <w:rFonts w:ascii="Times New Roman" w:hAnsi="Times New Roman"/>
          <w:sz w:val="26"/>
          <w:szCs w:val="26"/>
        </w:rPr>
      </w:pPr>
    </w:p>
    <w:p w:rsidR="00DA50F0" w:rsidRDefault="00F25814" w:rsidP="00864CD8">
      <w:pPr>
        <w:tabs>
          <w:tab w:val="center" w:pos="0"/>
        </w:tabs>
        <w:suppressAutoHyphens/>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sidR="00A00AD4">
        <w:rPr>
          <w:rFonts w:ascii="Times New Roman" w:hAnsi="Times New Roman"/>
          <w:sz w:val="26"/>
          <w:szCs w:val="26"/>
        </w:rPr>
        <w:t>BCS determine</w:t>
      </w:r>
      <w:r w:rsidR="00AF7ADA">
        <w:rPr>
          <w:rFonts w:ascii="Times New Roman" w:hAnsi="Times New Roman"/>
          <w:sz w:val="26"/>
          <w:szCs w:val="26"/>
        </w:rPr>
        <w:t>d that PPL may have violated Section 1501 of the Public Utility Code</w:t>
      </w:r>
      <w:r w:rsidR="00E95384">
        <w:rPr>
          <w:rFonts w:ascii="Times New Roman" w:hAnsi="Times New Roman"/>
          <w:sz w:val="26"/>
          <w:szCs w:val="26"/>
        </w:rPr>
        <w:t xml:space="preserve"> (Code)</w:t>
      </w:r>
      <w:r w:rsidR="00AF7ADA">
        <w:rPr>
          <w:rFonts w:ascii="Times New Roman" w:hAnsi="Times New Roman"/>
          <w:sz w:val="26"/>
          <w:szCs w:val="26"/>
        </w:rPr>
        <w:t xml:space="preserve">, 66 Pa. C.S. § 1501, and certain </w:t>
      </w:r>
      <w:r w:rsidR="00CA033B">
        <w:rPr>
          <w:rFonts w:ascii="Times New Roman" w:hAnsi="Times New Roman"/>
          <w:sz w:val="26"/>
          <w:szCs w:val="26"/>
        </w:rPr>
        <w:t xml:space="preserve">provisions of Title 52, Chapter 56 of the Pennsylvania Code, </w:t>
      </w:r>
      <w:r w:rsidR="00A00AD4">
        <w:rPr>
          <w:rFonts w:ascii="Times New Roman" w:hAnsi="Times New Roman"/>
          <w:sz w:val="26"/>
          <w:szCs w:val="26"/>
        </w:rPr>
        <w:t>during contacts with the customer</w:t>
      </w:r>
      <w:r w:rsidR="007E3F48">
        <w:rPr>
          <w:rFonts w:ascii="Times New Roman" w:hAnsi="Times New Roman"/>
          <w:sz w:val="26"/>
          <w:szCs w:val="26"/>
        </w:rPr>
        <w:t xml:space="preserve"> prior to termination of service. </w:t>
      </w:r>
      <w:r w:rsidR="00DA50F0">
        <w:rPr>
          <w:rFonts w:ascii="Times New Roman" w:hAnsi="Times New Roman"/>
          <w:sz w:val="26"/>
          <w:szCs w:val="26"/>
        </w:rPr>
        <w:t xml:space="preserve"> As a result of negotiations</w:t>
      </w:r>
      <w:r w:rsidR="007E3F48">
        <w:rPr>
          <w:rFonts w:ascii="Times New Roman" w:hAnsi="Times New Roman"/>
          <w:sz w:val="26"/>
          <w:szCs w:val="26"/>
        </w:rPr>
        <w:t xml:space="preserve"> between the Prosecutory Staff and PPL</w:t>
      </w:r>
      <w:r w:rsidR="00DA50F0">
        <w:rPr>
          <w:rFonts w:ascii="Times New Roman" w:hAnsi="Times New Roman"/>
          <w:sz w:val="26"/>
          <w:szCs w:val="26"/>
        </w:rPr>
        <w:t xml:space="preserve">, the Parties </w:t>
      </w:r>
      <w:r w:rsidR="007E3F48">
        <w:rPr>
          <w:rFonts w:ascii="Times New Roman" w:hAnsi="Times New Roman"/>
          <w:sz w:val="26"/>
          <w:szCs w:val="26"/>
        </w:rPr>
        <w:t>agreed to resolve</w:t>
      </w:r>
      <w:r w:rsidR="00DA50F0">
        <w:rPr>
          <w:rFonts w:ascii="Times New Roman" w:hAnsi="Times New Roman"/>
          <w:sz w:val="26"/>
          <w:szCs w:val="26"/>
        </w:rPr>
        <w:t xml:space="preserve"> their differences</w:t>
      </w:r>
      <w:r w:rsidR="007E3F48">
        <w:rPr>
          <w:rFonts w:ascii="Times New Roman" w:hAnsi="Times New Roman"/>
          <w:sz w:val="26"/>
          <w:szCs w:val="26"/>
        </w:rPr>
        <w:t xml:space="preserve">, and urge the Commission to approve </w:t>
      </w:r>
      <w:r w:rsidR="00DA50F0">
        <w:rPr>
          <w:rFonts w:ascii="Times New Roman" w:hAnsi="Times New Roman"/>
          <w:sz w:val="26"/>
          <w:szCs w:val="26"/>
        </w:rPr>
        <w:t>the Settlement</w:t>
      </w:r>
      <w:r w:rsidR="007E3F48">
        <w:rPr>
          <w:rFonts w:ascii="Times New Roman" w:hAnsi="Times New Roman"/>
          <w:sz w:val="26"/>
          <w:szCs w:val="26"/>
        </w:rPr>
        <w:t xml:space="preserve"> as being in the public interest.  Settlement at 2-3, ¶ 8. </w:t>
      </w:r>
    </w:p>
    <w:p w:rsidR="00DA50F0" w:rsidRDefault="00DA50F0" w:rsidP="00864CD8">
      <w:pPr>
        <w:tabs>
          <w:tab w:val="center" w:pos="0"/>
        </w:tabs>
        <w:suppressAutoHyphens/>
        <w:spacing w:line="360" w:lineRule="auto"/>
        <w:rPr>
          <w:rFonts w:ascii="Times New Roman" w:hAnsi="Times New Roman"/>
          <w:sz w:val="26"/>
          <w:szCs w:val="26"/>
        </w:rPr>
      </w:pPr>
    </w:p>
    <w:p w:rsidR="00742294" w:rsidRDefault="006833DF" w:rsidP="00795D16">
      <w:pPr>
        <w:keepNext/>
        <w:tabs>
          <w:tab w:val="center" w:pos="0"/>
        </w:tabs>
        <w:suppressAutoHyphens/>
        <w:spacing w:line="360" w:lineRule="auto"/>
        <w:jc w:val="center"/>
        <w:rPr>
          <w:rFonts w:ascii="Times New Roman" w:hAnsi="Times New Roman"/>
          <w:b/>
          <w:sz w:val="26"/>
          <w:szCs w:val="26"/>
        </w:rPr>
      </w:pPr>
      <w:r>
        <w:rPr>
          <w:rFonts w:ascii="Times New Roman" w:hAnsi="Times New Roman"/>
          <w:b/>
          <w:sz w:val="26"/>
          <w:szCs w:val="26"/>
        </w:rPr>
        <w:t>Background</w:t>
      </w:r>
    </w:p>
    <w:p w:rsidR="00742294" w:rsidRPr="00742294" w:rsidRDefault="00742294" w:rsidP="00795D16">
      <w:pPr>
        <w:keepNext/>
        <w:tabs>
          <w:tab w:val="center" w:pos="0"/>
        </w:tabs>
        <w:suppressAutoHyphens/>
        <w:spacing w:line="360" w:lineRule="auto"/>
        <w:jc w:val="center"/>
        <w:rPr>
          <w:rFonts w:ascii="Times New Roman" w:hAnsi="Times New Roman"/>
          <w:b/>
          <w:sz w:val="26"/>
          <w:szCs w:val="26"/>
        </w:rPr>
      </w:pPr>
    </w:p>
    <w:p w:rsidR="00146E54" w:rsidRDefault="00864CD8" w:rsidP="00A43EE9">
      <w:pPr>
        <w:tabs>
          <w:tab w:val="center" w:pos="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The </w:t>
      </w:r>
      <w:r w:rsidR="00465606">
        <w:rPr>
          <w:rFonts w:ascii="Times New Roman" w:hAnsi="Times New Roman"/>
          <w:sz w:val="26"/>
          <w:szCs w:val="26"/>
        </w:rPr>
        <w:t xml:space="preserve">proposed </w:t>
      </w:r>
      <w:r w:rsidR="008A57E9">
        <w:rPr>
          <w:rFonts w:ascii="Times New Roman" w:hAnsi="Times New Roman"/>
          <w:sz w:val="26"/>
          <w:szCs w:val="26"/>
        </w:rPr>
        <w:t>Settlement</w:t>
      </w:r>
      <w:r w:rsidR="00BF60F1">
        <w:rPr>
          <w:rFonts w:ascii="Times New Roman" w:hAnsi="Times New Roman"/>
          <w:sz w:val="26"/>
          <w:szCs w:val="26"/>
        </w:rPr>
        <w:t xml:space="preserve"> </w:t>
      </w:r>
      <w:r>
        <w:rPr>
          <w:rFonts w:ascii="Times New Roman" w:hAnsi="Times New Roman"/>
          <w:sz w:val="26"/>
          <w:szCs w:val="26"/>
        </w:rPr>
        <w:t>has bee</w:t>
      </w:r>
      <w:r w:rsidR="008A57E9">
        <w:rPr>
          <w:rFonts w:ascii="Times New Roman" w:hAnsi="Times New Roman"/>
          <w:sz w:val="26"/>
          <w:szCs w:val="26"/>
        </w:rPr>
        <w:t xml:space="preserve">n filed </w:t>
      </w:r>
      <w:r>
        <w:rPr>
          <w:rFonts w:ascii="Times New Roman" w:hAnsi="Times New Roman"/>
          <w:sz w:val="26"/>
          <w:szCs w:val="26"/>
        </w:rPr>
        <w:t xml:space="preserve">by the Parties in order to resolve allegations of </w:t>
      </w:r>
      <w:r w:rsidR="008A57E9">
        <w:rPr>
          <w:rFonts w:ascii="Times New Roman" w:hAnsi="Times New Roman"/>
          <w:sz w:val="26"/>
          <w:szCs w:val="26"/>
        </w:rPr>
        <w:t xml:space="preserve">certain </w:t>
      </w:r>
      <w:r>
        <w:rPr>
          <w:rFonts w:ascii="Times New Roman" w:hAnsi="Times New Roman"/>
          <w:sz w:val="26"/>
          <w:szCs w:val="26"/>
        </w:rPr>
        <w:t xml:space="preserve">violations of </w:t>
      </w:r>
      <w:r w:rsidR="007D36A9">
        <w:rPr>
          <w:rFonts w:ascii="Times New Roman" w:hAnsi="Times New Roman"/>
          <w:sz w:val="26"/>
          <w:szCs w:val="26"/>
        </w:rPr>
        <w:t>Section</w:t>
      </w:r>
      <w:r w:rsidR="00E95384">
        <w:rPr>
          <w:rFonts w:ascii="Times New Roman" w:hAnsi="Times New Roman"/>
          <w:sz w:val="26"/>
          <w:szCs w:val="26"/>
        </w:rPr>
        <w:t xml:space="preserve"> 1501 of the Code</w:t>
      </w:r>
      <w:r w:rsidR="004F00C9">
        <w:rPr>
          <w:rFonts w:ascii="Times New Roman" w:hAnsi="Times New Roman"/>
          <w:sz w:val="26"/>
          <w:szCs w:val="26"/>
        </w:rPr>
        <w:t xml:space="preserve">, 66 Pa. C.S. § 1501, </w:t>
      </w:r>
      <w:r w:rsidR="007D36A9">
        <w:rPr>
          <w:rFonts w:ascii="Times New Roman" w:hAnsi="Times New Roman"/>
          <w:sz w:val="26"/>
          <w:szCs w:val="26"/>
        </w:rPr>
        <w:t>relating to the failure to provide adequate</w:t>
      </w:r>
      <w:r w:rsidR="00AE3781">
        <w:rPr>
          <w:rFonts w:ascii="Times New Roman" w:hAnsi="Times New Roman"/>
          <w:sz w:val="26"/>
          <w:szCs w:val="26"/>
        </w:rPr>
        <w:t>, efficient, safe and reasonable service</w:t>
      </w:r>
      <w:r w:rsidR="00277241">
        <w:rPr>
          <w:rFonts w:ascii="Times New Roman" w:hAnsi="Times New Roman"/>
          <w:sz w:val="26"/>
          <w:szCs w:val="26"/>
        </w:rPr>
        <w:t xml:space="preserve">, and several </w:t>
      </w:r>
      <w:r w:rsidR="00B80A02">
        <w:rPr>
          <w:rFonts w:ascii="Times New Roman" w:hAnsi="Times New Roman"/>
          <w:sz w:val="26"/>
          <w:szCs w:val="26"/>
        </w:rPr>
        <w:t>provisions of Title 52, Chapter 56</w:t>
      </w:r>
      <w:r w:rsidR="00820D41">
        <w:rPr>
          <w:rFonts w:ascii="Times New Roman" w:hAnsi="Times New Roman"/>
          <w:sz w:val="26"/>
          <w:szCs w:val="26"/>
        </w:rPr>
        <w:t>,</w:t>
      </w:r>
      <w:r w:rsidR="00B80A02">
        <w:rPr>
          <w:rFonts w:ascii="Times New Roman" w:hAnsi="Times New Roman"/>
          <w:sz w:val="26"/>
          <w:szCs w:val="26"/>
        </w:rPr>
        <w:t xml:space="preserve"> of the Pennsylvania Code.</w:t>
      </w:r>
      <w:r>
        <w:rPr>
          <w:rFonts w:ascii="Times New Roman" w:hAnsi="Times New Roman"/>
          <w:sz w:val="26"/>
          <w:szCs w:val="26"/>
        </w:rPr>
        <w:t xml:space="preserve">  The </w:t>
      </w:r>
      <w:r w:rsidR="00F25814">
        <w:rPr>
          <w:rFonts w:ascii="Times New Roman" w:hAnsi="Times New Roman"/>
          <w:sz w:val="26"/>
          <w:szCs w:val="26"/>
        </w:rPr>
        <w:t>events that</w:t>
      </w:r>
      <w:r w:rsidR="00AE3781">
        <w:rPr>
          <w:rFonts w:ascii="Times New Roman" w:hAnsi="Times New Roman"/>
          <w:sz w:val="26"/>
          <w:szCs w:val="26"/>
        </w:rPr>
        <w:t xml:space="preserve"> are </w:t>
      </w:r>
      <w:r>
        <w:rPr>
          <w:rFonts w:ascii="Times New Roman" w:hAnsi="Times New Roman"/>
          <w:sz w:val="26"/>
          <w:szCs w:val="26"/>
        </w:rPr>
        <w:t xml:space="preserve">the subject of the </w:t>
      </w:r>
      <w:r w:rsidR="00A076F5">
        <w:rPr>
          <w:rFonts w:ascii="Times New Roman" w:hAnsi="Times New Roman"/>
          <w:sz w:val="26"/>
          <w:szCs w:val="26"/>
        </w:rPr>
        <w:t xml:space="preserve">proposed </w:t>
      </w:r>
      <w:r w:rsidR="00B80A02">
        <w:rPr>
          <w:rFonts w:ascii="Times New Roman" w:hAnsi="Times New Roman"/>
          <w:sz w:val="26"/>
          <w:szCs w:val="26"/>
        </w:rPr>
        <w:t xml:space="preserve">Settlement </w:t>
      </w:r>
      <w:r>
        <w:rPr>
          <w:rFonts w:ascii="Times New Roman" w:hAnsi="Times New Roman"/>
          <w:sz w:val="26"/>
          <w:szCs w:val="26"/>
        </w:rPr>
        <w:t xml:space="preserve">occurred </w:t>
      </w:r>
      <w:r w:rsidR="00277241">
        <w:rPr>
          <w:rFonts w:ascii="Times New Roman" w:hAnsi="Times New Roman"/>
          <w:sz w:val="26"/>
          <w:szCs w:val="26"/>
        </w:rPr>
        <w:t xml:space="preserve">from March to June </w:t>
      </w:r>
      <w:r w:rsidR="00AE3781">
        <w:rPr>
          <w:rFonts w:ascii="Times New Roman" w:hAnsi="Times New Roman"/>
          <w:sz w:val="26"/>
          <w:szCs w:val="26"/>
        </w:rPr>
        <w:t>2010.</w:t>
      </w:r>
      <w:r w:rsidR="00E95384">
        <w:rPr>
          <w:rFonts w:ascii="Times New Roman" w:hAnsi="Times New Roman"/>
          <w:sz w:val="26"/>
          <w:szCs w:val="26"/>
        </w:rPr>
        <w:t xml:space="preserve">  </w:t>
      </w:r>
    </w:p>
    <w:p w:rsidR="00146E54" w:rsidRDefault="00E95384" w:rsidP="00146E54">
      <w:pPr>
        <w:tabs>
          <w:tab w:val="center" w:pos="0"/>
        </w:tabs>
        <w:suppressAutoHyphens/>
        <w:spacing w:line="360" w:lineRule="auto"/>
        <w:rPr>
          <w:rFonts w:ascii="Times New Roman" w:hAnsi="Times New Roman"/>
          <w:sz w:val="26"/>
          <w:szCs w:val="26"/>
        </w:rPr>
      </w:pPr>
      <w:r>
        <w:rPr>
          <w:rFonts w:ascii="Times New Roman" w:hAnsi="Times New Roman"/>
          <w:sz w:val="26"/>
          <w:szCs w:val="26"/>
        </w:rPr>
        <w:t>Settlement at 5-6, ¶¶ 21</w:t>
      </w:r>
      <w:r w:rsidR="00277241">
        <w:rPr>
          <w:rFonts w:ascii="Times New Roman" w:hAnsi="Times New Roman"/>
          <w:sz w:val="26"/>
          <w:szCs w:val="26"/>
        </w:rPr>
        <w:t>-23.</w:t>
      </w:r>
      <w:r w:rsidR="00CA033B">
        <w:rPr>
          <w:rFonts w:ascii="Times New Roman" w:hAnsi="Times New Roman"/>
          <w:sz w:val="26"/>
          <w:szCs w:val="26"/>
        </w:rPr>
        <w:t xml:space="preserve">  H</w:t>
      </w:r>
      <w:r w:rsidR="00DE37C9">
        <w:rPr>
          <w:rFonts w:ascii="Times New Roman" w:hAnsi="Times New Roman"/>
          <w:sz w:val="26"/>
          <w:szCs w:val="26"/>
        </w:rPr>
        <w:t>ad this matter been litigated, the Prosecutory Staff</w:t>
      </w:r>
      <w:r w:rsidR="00864CD8">
        <w:rPr>
          <w:rFonts w:ascii="Times New Roman" w:hAnsi="Times New Roman"/>
          <w:sz w:val="26"/>
          <w:szCs w:val="26"/>
        </w:rPr>
        <w:t xml:space="preserve">  </w:t>
      </w:r>
      <w:r w:rsidR="00DE37C9">
        <w:rPr>
          <w:rFonts w:ascii="Times New Roman" w:hAnsi="Times New Roman"/>
          <w:sz w:val="26"/>
          <w:szCs w:val="26"/>
        </w:rPr>
        <w:t xml:space="preserve">would have alleged, </w:t>
      </w:r>
      <w:r w:rsidR="00DE37C9" w:rsidRPr="00F7124B">
        <w:rPr>
          <w:rFonts w:ascii="Times New Roman" w:hAnsi="Times New Roman"/>
          <w:i/>
          <w:sz w:val="26"/>
          <w:szCs w:val="26"/>
        </w:rPr>
        <w:t>inter alia</w:t>
      </w:r>
      <w:r w:rsidR="00DE37C9">
        <w:rPr>
          <w:rFonts w:ascii="Times New Roman" w:hAnsi="Times New Roman"/>
          <w:sz w:val="26"/>
          <w:szCs w:val="26"/>
        </w:rPr>
        <w:t>, that PPL failed</w:t>
      </w:r>
      <w:r w:rsidR="00F25814">
        <w:rPr>
          <w:rFonts w:ascii="Times New Roman" w:hAnsi="Times New Roman"/>
          <w:sz w:val="26"/>
          <w:szCs w:val="26"/>
        </w:rPr>
        <w:t xml:space="preserve"> to</w:t>
      </w:r>
      <w:r w:rsidR="005629E0">
        <w:rPr>
          <w:rFonts w:ascii="Times New Roman" w:hAnsi="Times New Roman"/>
          <w:sz w:val="26"/>
          <w:szCs w:val="26"/>
        </w:rPr>
        <w:t xml:space="preserve">: (1) </w:t>
      </w:r>
      <w:r w:rsidR="00DE37C9">
        <w:rPr>
          <w:rFonts w:ascii="Times New Roman" w:hAnsi="Times New Roman"/>
          <w:sz w:val="26"/>
          <w:szCs w:val="26"/>
        </w:rPr>
        <w:t xml:space="preserve">advise the customer of available assistance programs </w:t>
      </w:r>
      <w:r w:rsidR="00F7124B">
        <w:rPr>
          <w:rFonts w:ascii="Times New Roman" w:hAnsi="Times New Roman"/>
          <w:sz w:val="26"/>
          <w:szCs w:val="26"/>
        </w:rPr>
        <w:t xml:space="preserve">on more than one telephone contact; </w:t>
      </w:r>
      <w:r w:rsidR="005629E0">
        <w:rPr>
          <w:rFonts w:ascii="Times New Roman" w:hAnsi="Times New Roman"/>
          <w:sz w:val="26"/>
          <w:szCs w:val="26"/>
        </w:rPr>
        <w:t xml:space="preserve">(2) </w:t>
      </w:r>
      <w:r w:rsidR="00DE37C9">
        <w:rPr>
          <w:rFonts w:ascii="Times New Roman" w:hAnsi="Times New Roman"/>
          <w:sz w:val="26"/>
          <w:szCs w:val="26"/>
        </w:rPr>
        <w:t>determine whether the customer was satisfied</w:t>
      </w:r>
      <w:r w:rsidR="00F7124B">
        <w:rPr>
          <w:rFonts w:ascii="Times New Roman" w:hAnsi="Times New Roman"/>
          <w:sz w:val="26"/>
          <w:szCs w:val="26"/>
        </w:rPr>
        <w:t xml:space="preserve"> at the conclusion of some of the contacts between PPL and the customer; </w:t>
      </w:r>
    </w:p>
    <w:p w:rsidR="00A43EE9" w:rsidRDefault="005629E0" w:rsidP="00146E54">
      <w:pPr>
        <w:tabs>
          <w:tab w:val="center" w:pos="0"/>
        </w:tabs>
        <w:suppressAutoHyphens/>
        <w:spacing w:line="360" w:lineRule="auto"/>
        <w:rPr>
          <w:rFonts w:ascii="Times New Roman" w:hAnsi="Times New Roman"/>
          <w:sz w:val="26"/>
          <w:szCs w:val="26"/>
        </w:rPr>
      </w:pPr>
      <w:r>
        <w:rPr>
          <w:rFonts w:ascii="Times New Roman" w:hAnsi="Times New Roman"/>
          <w:sz w:val="26"/>
          <w:szCs w:val="26"/>
        </w:rPr>
        <w:t xml:space="preserve">(3) </w:t>
      </w:r>
      <w:r w:rsidR="00F7124B">
        <w:rPr>
          <w:rFonts w:ascii="Times New Roman" w:hAnsi="Times New Roman"/>
          <w:sz w:val="26"/>
          <w:szCs w:val="26"/>
        </w:rPr>
        <w:t xml:space="preserve">initiate dispute procedures </w:t>
      </w:r>
      <w:r w:rsidR="000A2C31">
        <w:rPr>
          <w:rFonts w:ascii="Times New Roman" w:hAnsi="Times New Roman"/>
          <w:sz w:val="26"/>
          <w:szCs w:val="26"/>
        </w:rPr>
        <w:t xml:space="preserve">prior to </w:t>
      </w:r>
      <w:r>
        <w:rPr>
          <w:rFonts w:ascii="Times New Roman" w:hAnsi="Times New Roman"/>
          <w:sz w:val="26"/>
          <w:szCs w:val="26"/>
        </w:rPr>
        <w:t xml:space="preserve">termination of service; (4) </w:t>
      </w:r>
      <w:r w:rsidR="000A2C31">
        <w:rPr>
          <w:rFonts w:ascii="Times New Roman" w:hAnsi="Times New Roman"/>
          <w:sz w:val="26"/>
          <w:szCs w:val="26"/>
        </w:rPr>
        <w:t xml:space="preserve">make a diligent attempt to negotiate a reasonable payment arrangement; </w:t>
      </w:r>
      <w:r>
        <w:rPr>
          <w:rFonts w:ascii="Times New Roman" w:hAnsi="Times New Roman"/>
          <w:sz w:val="26"/>
          <w:szCs w:val="26"/>
        </w:rPr>
        <w:t xml:space="preserve">and (5) discuss the customer’s account with a representative of the local Area Agency on Aging </w:t>
      </w:r>
      <w:r w:rsidR="00D00240">
        <w:rPr>
          <w:rFonts w:ascii="Times New Roman" w:hAnsi="Times New Roman"/>
          <w:sz w:val="26"/>
          <w:szCs w:val="26"/>
        </w:rPr>
        <w:t xml:space="preserve">(AAA) </w:t>
      </w:r>
      <w:r>
        <w:rPr>
          <w:rFonts w:ascii="Times New Roman" w:hAnsi="Times New Roman"/>
          <w:sz w:val="26"/>
          <w:szCs w:val="26"/>
        </w:rPr>
        <w:t>who called PPL on the customer’s behalf.  Settlement at 6-7, ¶ 24.</w:t>
      </w:r>
      <w:r w:rsidR="00135684">
        <w:rPr>
          <w:rFonts w:ascii="Times New Roman" w:hAnsi="Times New Roman"/>
          <w:sz w:val="26"/>
          <w:szCs w:val="26"/>
        </w:rPr>
        <w:t xml:space="preserve">  Although PPL fully cooperated with the investigation, PPL does not admit to any of these allegations.  However, PPL acknowledges the serious</w:t>
      </w:r>
      <w:r w:rsidR="00C32095">
        <w:rPr>
          <w:rFonts w:ascii="Times New Roman" w:hAnsi="Times New Roman"/>
          <w:sz w:val="26"/>
          <w:szCs w:val="26"/>
        </w:rPr>
        <w:t>ness</w:t>
      </w:r>
      <w:r w:rsidR="00135684">
        <w:rPr>
          <w:rFonts w:ascii="Times New Roman" w:hAnsi="Times New Roman"/>
          <w:sz w:val="26"/>
          <w:szCs w:val="26"/>
        </w:rPr>
        <w:t xml:space="preserve"> of the allegations and asserts that</w:t>
      </w:r>
      <w:r w:rsidR="007D115E">
        <w:rPr>
          <w:rFonts w:ascii="Times New Roman" w:hAnsi="Times New Roman"/>
          <w:sz w:val="26"/>
          <w:szCs w:val="26"/>
        </w:rPr>
        <w:t xml:space="preserve"> any violations it may have committed were unintentional and inadvertent.  Settlement at 8, ¶ 27.</w:t>
      </w:r>
    </w:p>
    <w:p w:rsidR="00A43EE9" w:rsidRDefault="00A43EE9" w:rsidP="00A43EE9">
      <w:pPr>
        <w:tabs>
          <w:tab w:val="center" w:pos="0"/>
        </w:tabs>
        <w:suppressAutoHyphens/>
        <w:spacing w:line="360" w:lineRule="auto"/>
        <w:ind w:firstLine="1440"/>
        <w:rPr>
          <w:rFonts w:ascii="Times New Roman" w:hAnsi="Times New Roman"/>
          <w:sz w:val="26"/>
          <w:szCs w:val="26"/>
        </w:rPr>
      </w:pPr>
    </w:p>
    <w:p w:rsidR="00A43EE9" w:rsidRDefault="00742294" w:rsidP="005B0CE8">
      <w:pPr>
        <w:keepNext/>
        <w:tabs>
          <w:tab w:val="center" w:pos="0"/>
        </w:tabs>
        <w:suppressAutoHyphens/>
        <w:spacing w:line="360" w:lineRule="auto"/>
        <w:jc w:val="center"/>
        <w:rPr>
          <w:rFonts w:ascii="Times New Roman" w:hAnsi="Times New Roman"/>
          <w:sz w:val="26"/>
          <w:szCs w:val="26"/>
        </w:rPr>
      </w:pPr>
      <w:r w:rsidRPr="00742294">
        <w:rPr>
          <w:rFonts w:ascii="Times New Roman" w:hAnsi="Times New Roman"/>
          <w:b/>
          <w:sz w:val="26"/>
          <w:szCs w:val="26"/>
        </w:rPr>
        <w:lastRenderedPageBreak/>
        <w:t>T</w:t>
      </w:r>
      <w:r w:rsidR="007D115E">
        <w:rPr>
          <w:rFonts w:ascii="Times New Roman" w:hAnsi="Times New Roman"/>
          <w:b/>
          <w:sz w:val="26"/>
          <w:szCs w:val="26"/>
        </w:rPr>
        <w:t>erms of the Settlement</w:t>
      </w:r>
    </w:p>
    <w:p w:rsidR="00A43EE9" w:rsidRDefault="00A43EE9" w:rsidP="005B0CE8">
      <w:pPr>
        <w:keepNext/>
        <w:tabs>
          <w:tab w:val="center" w:pos="0"/>
        </w:tabs>
        <w:suppressAutoHyphens/>
        <w:spacing w:line="360" w:lineRule="auto"/>
        <w:jc w:val="center"/>
        <w:rPr>
          <w:rFonts w:ascii="Times New Roman" w:hAnsi="Times New Roman"/>
          <w:sz w:val="26"/>
          <w:szCs w:val="26"/>
        </w:rPr>
      </w:pPr>
    </w:p>
    <w:p w:rsidR="00CB7F18" w:rsidRDefault="00A43EE9" w:rsidP="00A43EE9">
      <w:pPr>
        <w:tabs>
          <w:tab w:val="center" w:pos="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E8615F">
        <w:rPr>
          <w:rFonts w:ascii="Times New Roman" w:hAnsi="Times New Roman"/>
          <w:sz w:val="26"/>
          <w:szCs w:val="26"/>
        </w:rPr>
        <w:t xml:space="preserve">Pursuant to the </w:t>
      </w:r>
      <w:r w:rsidR="00864CD8">
        <w:rPr>
          <w:rFonts w:ascii="Times New Roman" w:hAnsi="Times New Roman"/>
          <w:sz w:val="26"/>
          <w:szCs w:val="26"/>
        </w:rPr>
        <w:t>proposed Settlement</w:t>
      </w:r>
      <w:r w:rsidR="00E8615F">
        <w:rPr>
          <w:rFonts w:ascii="Times New Roman" w:hAnsi="Times New Roman"/>
          <w:sz w:val="26"/>
          <w:szCs w:val="26"/>
        </w:rPr>
        <w:t>, PPL will conduct training for its call center personnel regarding its customer confidentiality policy, specifically to reinforce the Company’s existing procedures</w:t>
      </w:r>
      <w:r w:rsidR="009742C1">
        <w:rPr>
          <w:rFonts w:ascii="Times New Roman" w:hAnsi="Times New Roman"/>
          <w:sz w:val="26"/>
          <w:szCs w:val="26"/>
        </w:rPr>
        <w:t xml:space="preserve"> that recognize that disclos</w:t>
      </w:r>
      <w:r w:rsidR="00E8615F">
        <w:rPr>
          <w:rFonts w:ascii="Times New Roman" w:hAnsi="Times New Roman"/>
          <w:sz w:val="26"/>
          <w:szCs w:val="26"/>
        </w:rPr>
        <w:t>ing customer information is acceptable</w:t>
      </w:r>
      <w:r w:rsidR="009742C1">
        <w:rPr>
          <w:rFonts w:ascii="Times New Roman" w:hAnsi="Times New Roman"/>
          <w:sz w:val="26"/>
          <w:szCs w:val="26"/>
        </w:rPr>
        <w:t xml:space="preserve"> under certain circumstances.  Second, PPL </w:t>
      </w:r>
      <w:r w:rsidR="004B487E">
        <w:rPr>
          <w:rFonts w:ascii="Times New Roman" w:hAnsi="Times New Roman"/>
          <w:sz w:val="26"/>
          <w:szCs w:val="26"/>
        </w:rPr>
        <w:t>will change</w:t>
      </w:r>
      <w:r w:rsidR="009742C1">
        <w:rPr>
          <w:rFonts w:ascii="Times New Roman" w:hAnsi="Times New Roman"/>
          <w:sz w:val="26"/>
          <w:szCs w:val="26"/>
        </w:rPr>
        <w:t xml:space="preserve"> its practice to correct a</w:t>
      </w:r>
      <w:r w:rsidR="005B47E6">
        <w:rPr>
          <w:rFonts w:ascii="Times New Roman" w:hAnsi="Times New Roman"/>
          <w:sz w:val="26"/>
          <w:szCs w:val="26"/>
        </w:rPr>
        <w:t>n issue</w:t>
      </w:r>
      <w:r w:rsidR="009742C1">
        <w:rPr>
          <w:rFonts w:ascii="Times New Roman" w:hAnsi="Times New Roman"/>
          <w:sz w:val="26"/>
          <w:szCs w:val="26"/>
        </w:rPr>
        <w:t xml:space="preserve"> </w:t>
      </w:r>
      <w:r w:rsidR="00345B59">
        <w:rPr>
          <w:rFonts w:ascii="Times New Roman" w:hAnsi="Times New Roman"/>
          <w:sz w:val="26"/>
          <w:szCs w:val="26"/>
        </w:rPr>
        <w:t xml:space="preserve">with </w:t>
      </w:r>
      <w:r w:rsidR="009742C1">
        <w:rPr>
          <w:rFonts w:ascii="Times New Roman" w:hAnsi="Times New Roman"/>
          <w:sz w:val="26"/>
          <w:szCs w:val="26"/>
        </w:rPr>
        <w:t>its web-based Customer Transition Program (CTP).</w:t>
      </w:r>
      <w:r w:rsidR="00345B59">
        <w:rPr>
          <w:rFonts w:ascii="Times New Roman" w:hAnsi="Times New Roman"/>
          <w:sz w:val="26"/>
          <w:szCs w:val="26"/>
        </w:rPr>
        <w:t xml:space="preserve">  In this instance, PPL determined that its </w:t>
      </w:r>
      <w:r w:rsidR="005B47E6">
        <w:rPr>
          <w:rFonts w:ascii="Times New Roman" w:hAnsi="Times New Roman"/>
          <w:sz w:val="26"/>
          <w:szCs w:val="26"/>
        </w:rPr>
        <w:t xml:space="preserve">web-based CTP </w:t>
      </w:r>
      <w:r w:rsidR="00345B59">
        <w:rPr>
          <w:rFonts w:ascii="Times New Roman" w:hAnsi="Times New Roman"/>
          <w:sz w:val="26"/>
          <w:szCs w:val="26"/>
        </w:rPr>
        <w:t xml:space="preserve">failed to refer the customer to its OnTrack program because the customer service </w:t>
      </w:r>
      <w:r w:rsidR="005B47E6">
        <w:rPr>
          <w:rFonts w:ascii="Times New Roman" w:hAnsi="Times New Roman"/>
          <w:sz w:val="26"/>
          <w:szCs w:val="26"/>
        </w:rPr>
        <w:t>representative (CSR</w:t>
      </w:r>
      <w:r w:rsidR="00345B59">
        <w:rPr>
          <w:rFonts w:ascii="Times New Roman" w:hAnsi="Times New Roman"/>
          <w:sz w:val="26"/>
          <w:szCs w:val="26"/>
        </w:rPr>
        <w:t xml:space="preserve">) had entered a household income of </w:t>
      </w:r>
      <w:r w:rsidR="00820D41">
        <w:rPr>
          <w:rFonts w:ascii="Times New Roman" w:hAnsi="Times New Roman"/>
          <w:sz w:val="26"/>
          <w:szCs w:val="26"/>
        </w:rPr>
        <w:t>“</w:t>
      </w:r>
      <w:r w:rsidR="00345B59">
        <w:rPr>
          <w:rFonts w:ascii="Times New Roman" w:hAnsi="Times New Roman"/>
          <w:sz w:val="26"/>
          <w:szCs w:val="26"/>
        </w:rPr>
        <w:t>zero</w:t>
      </w:r>
      <w:r w:rsidR="00820D41">
        <w:rPr>
          <w:rFonts w:ascii="Times New Roman" w:hAnsi="Times New Roman"/>
          <w:sz w:val="26"/>
          <w:szCs w:val="26"/>
        </w:rPr>
        <w:t>”</w:t>
      </w:r>
      <w:r w:rsidR="00345B59">
        <w:rPr>
          <w:rFonts w:ascii="Times New Roman" w:hAnsi="Times New Roman"/>
          <w:sz w:val="26"/>
          <w:szCs w:val="26"/>
        </w:rPr>
        <w:t xml:space="preserve"> in PPL’s information system whe</w:t>
      </w:r>
      <w:r w:rsidR="005B47E6">
        <w:rPr>
          <w:rFonts w:ascii="Times New Roman" w:hAnsi="Times New Roman"/>
          <w:sz w:val="26"/>
          <w:szCs w:val="26"/>
        </w:rPr>
        <w:t>n the CSR</w:t>
      </w:r>
      <w:r w:rsidR="00345B59">
        <w:rPr>
          <w:rFonts w:ascii="Times New Roman" w:hAnsi="Times New Roman"/>
          <w:sz w:val="26"/>
          <w:szCs w:val="26"/>
        </w:rPr>
        <w:t xml:space="preserve"> was unable to reach the customer to discuss the overdue balance.  This inadvertently eliminated the customer from consideration for OnTrack, which requires that a participant have some amount of household income.</w:t>
      </w:r>
      <w:r w:rsidR="005B47E6">
        <w:rPr>
          <w:rFonts w:ascii="Times New Roman" w:hAnsi="Times New Roman"/>
          <w:sz w:val="26"/>
          <w:szCs w:val="26"/>
        </w:rPr>
        <w:t xml:space="preserve">  To remedy this, CSRs now are advised not to enter a household income of </w:t>
      </w:r>
      <w:r w:rsidR="00820D41">
        <w:rPr>
          <w:rFonts w:ascii="Times New Roman" w:hAnsi="Times New Roman"/>
          <w:sz w:val="26"/>
          <w:szCs w:val="26"/>
        </w:rPr>
        <w:t>“</w:t>
      </w:r>
      <w:r w:rsidR="005B47E6">
        <w:rPr>
          <w:rFonts w:ascii="Times New Roman" w:hAnsi="Times New Roman"/>
          <w:sz w:val="26"/>
          <w:szCs w:val="26"/>
        </w:rPr>
        <w:t>zero</w:t>
      </w:r>
      <w:r w:rsidR="00820D41">
        <w:rPr>
          <w:rFonts w:ascii="Times New Roman" w:hAnsi="Times New Roman"/>
          <w:sz w:val="26"/>
          <w:szCs w:val="26"/>
        </w:rPr>
        <w:t>”</w:t>
      </w:r>
      <w:r w:rsidR="005B47E6">
        <w:rPr>
          <w:rFonts w:ascii="Times New Roman" w:hAnsi="Times New Roman"/>
          <w:sz w:val="26"/>
          <w:szCs w:val="26"/>
        </w:rPr>
        <w:t xml:space="preserve"> when they are unable to contact a customer.  Third, PPL has given additional attention to CSRs’ responsibilities to assess customer satisfaction through its call monitoring efforts</w:t>
      </w:r>
      <w:r w:rsidR="004E4BBD">
        <w:rPr>
          <w:rFonts w:ascii="Times New Roman" w:hAnsi="Times New Roman"/>
          <w:sz w:val="26"/>
          <w:szCs w:val="26"/>
        </w:rPr>
        <w:t>, and has revised its call monitoring reports</w:t>
      </w:r>
      <w:r w:rsidR="00E95384">
        <w:rPr>
          <w:rFonts w:ascii="Times New Roman" w:hAnsi="Times New Roman"/>
          <w:sz w:val="26"/>
          <w:szCs w:val="26"/>
        </w:rPr>
        <w:t xml:space="preserve"> accordingly.  Fourth, PPL agreed to </w:t>
      </w:r>
      <w:r w:rsidR="004E4BBD">
        <w:rPr>
          <w:rFonts w:ascii="Times New Roman" w:hAnsi="Times New Roman"/>
          <w:sz w:val="26"/>
          <w:szCs w:val="26"/>
        </w:rPr>
        <w:t>implement a new voice analytics system by July 2011.</w:t>
      </w:r>
      <w:r w:rsidR="003D3EC8">
        <w:rPr>
          <w:rFonts w:ascii="Times New Roman" w:hAnsi="Times New Roman"/>
          <w:sz w:val="26"/>
          <w:szCs w:val="26"/>
        </w:rPr>
        <w:t xml:space="preserve">  Fifth, PPL has revised its procedures so that customers with high overdue balances </w:t>
      </w:r>
      <w:r w:rsidR="00BB0A21">
        <w:rPr>
          <w:rFonts w:ascii="Times New Roman" w:hAnsi="Times New Roman"/>
          <w:sz w:val="26"/>
          <w:szCs w:val="26"/>
        </w:rPr>
        <w:t xml:space="preserve">immediately will be transferred </w:t>
      </w:r>
      <w:r w:rsidR="003D3EC8">
        <w:rPr>
          <w:rFonts w:ascii="Times New Roman" w:hAnsi="Times New Roman"/>
          <w:sz w:val="26"/>
          <w:szCs w:val="26"/>
        </w:rPr>
        <w:t>by the CSR to a speci</w:t>
      </w:r>
      <w:r w:rsidR="00BB0A21">
        <w:rPr>
          <w:rFonts w:ascii="Times New Roman" w:hAnsi="Times New Roman"/>
          <w:sz w:val="26"/>
          <w:szCs w:val="26"/>
        </w:rPr>
        <w:t>al team to discuss payment arran</w:t>
      </w:r>
      <w:r w:rsidR="003D3EC8">
        <w:rPr>
          <w:rFonts w:ascii="Times New Roman" w:hAnsi="Times New Roman"/>
          <w:sz w:val="26"/>
          <w:szCs w:val="26"/>
        </w:rPr>
        <w:t>g</w:t>
      </w:r>
      <w:r w:rsidR="00BB0A21">
        <w:rPr>
          <w:rFonts w:ascii="Times New Roman" w:hAnsi="Times New Roman"/>
          <w:sz w:val="26"/>
          <w:szCs w:val="26"/>
        </w:rPr>
        <w:t>e</w:t>
      </w:r>
      <w:r w:rsidR="003D3EC8">
        <w:rPr>
          <w:rFonts w:ascii="Times New Roman" w:hAnsi="Times New Roman"/>
          <w:sz w:val="26"/>
          <w:szCs w:val="26"/>
        </w:rPr>
        <w:t>ment terms.  Si</w:t>
      </w:r>
      <w:r w:rsidR="00F3154B">
        <w:rPr>
          <w:rFonts w:ascii="Times New Roman" w:hAnsi="Times New Roman"/>
          <w:sz w:val="26"/>
          <w:szCs w:val="26"/>
        </w:rPr>
        <w:t xml:space="preserve">xth, PPL will meet with </w:t>
      </w:r>
      <w:r w:rsidR="00D00240">
        <w:rPr>
          <w:rFonts w:ascii="Times New Roman" w:hAnsi="Times New Roman"/>
          <w:sz w:val="26"/>
          <w:szCs w:val="26"/>
        </w:rPr>
        <w:t xml:space="preserve">AAA </w:t>
      </w:r>
      <w:r w:rsidR="003D3EC8">
        <w:rPr>
          <w:rFonts w:ascii="Times New Roman" w:hAnsi="Times New Roman"/>
          <w:sz w:val="26"/>
          <w:szCs w:val="26"/>
        </w:rPr>
        <w:t xml:space="preserve">offices </w:t>
      </w:r>
      <w:r w:rsidR="00F3154B">
        <w:rPr>
          <w:rFonts w:ascii="Times New Roman" w:hAnsi="Times New Roman"/>
          <w:sz w:val="26"/>
          <w:szCs w:val="26"/>
        </w:rPr>
        <w:t xml:space="preserve">throughout its service territory </w:t>
      </w:r>
      <w:r w:rsidR="003D3EC8">
        <w:rPr>
          <w:rFonts w:ascii="Times New Roman" w:hAnsi="Times New Roman"/>
          <w:sz w:val="26"/>
          <w:szCs w:val="26"/>
        </w:rPr>
        <w:t>to di</w:t>
      </w:r>
      <w:r w:rsidR="00F3154B">
        <w:rPr>
          <w:rFonts w:ascii="Times New Roman" w:hAnsi="Times New Roman"/>
          <w:sz w:val="26"/>
          <w:szCs w:val="26"/>
        </w:rPr>
        <w:t>s</w:t>
      </w:r>
      <w:r w:rsidR="003D3EC8">
        <w:rPr>
          <w:rFonts w:ascii="Times New Roman" w:hAnsi="Times New Roman"/>
          <w:sz w:val="26"/>
          <w:szCs w:val="26"/>
        </w:rPr>
        <w:t xml:space="preserve">cuss </w:t>
      </w:r>
      <w:r w:rsidR="00F3154B">
        <w:rPr>
          <w:rFonts w:ascii="Times New Roman" w:hAnsi="Times New Roman"/>
          <w:sz w:val="26"/>
          <w:szCs w:val="26"/>
        </w:rPr>
        <w:t xml:space="preserve">its </w:t>
      </w:r>
      <w:r w:rsidR="003D3EC8">
        <w:rPr>
          <w:rFonts w:ascii="Times New Roman" w:hAnsi="Times New Roman"/>
          <w:sz w:val="26"/>
          <w:szCs w:val="26"/>
        </w:rPr>
        <w:t>customer confidentiality policy</w:t>
      </w:r>
      <w:r w:rsidR="00F3154B">
        <w:rPr>
          <w:rFonts w:ascii="Times New Roman" w:hAnsi="Times New Roman"/>
          <w:sz w:val="26"/>
          <w:szCs w:val="26"/>
        </w:rPr>
        <w:t xml:space="preserve">, under which contacts by AAA </w:t>
      </w:r>
      <w:r w:rsidR="00BB0A21">
        <w:rPr>
          <w:rFonts w:ascii="Times New Roman" w:hAnsi="Times New Roman"/>
          <w:sz w:val="26"/>
          <w:szCs w:val="26"/>
        </w:rPr>
        <w:t xml:space="preserve">representatives on behalf of </w:t>
      </w:r>
      <w:r w:rsidR="00F3154B">
        <w:rPr>
          <w:rFonts w:ascii="Times New Roman" w:hAnsi="Times New Roman"/>
          <w:sz w:val="26"/>
          <w:szCs w:val="26"/>
        </w:rPr>
        <w:t>elderly PPL customer</w:t>
      </w:r>
      <w:r w:rsidR="00BB0A21">
        <w:rPr>
          <w:rFonts w:ascii="Times New Roman" w:hAnsi="Times New Roman"/>
          <w:sz w:val="26"/>
          <w:szCs w:val="26"/>
        </w:rPr>
        <w:t>s</w:t>
      </w:r>
      <w:r w:rsidR="00F3154B">
        <w:rPr>
          <w:rFonts w:ascii="Times New Roman" w:hAnsi="Times New Roman"/>
          <w:sz w:val="26"/>
          <w:szCs w:val="26"/>
        </w:rPr>
        <w:t xml:space="preserve"> qualify as an exception to PPL’s general prohibition against releasing customer information to third parties.</w:t>
      </w:r>
      <w:r w:rsidR="00A80F28">
        <w:rPr>
          <w:rFonts w:ascii="Times New Roman" w:hAnsi="Times New Roman"/>
          <w:sz w:val="26"/>
          <w:szCs w:val="26"/>
        </w:rPr>
        <w:t xml:space="preserve">  Finally, PPL will pay a civil settlement amount of $5,000 and make a contribution of $10,000 to its Operation HELP hardship fund.  </w:t>
      </w:r>
      <w:r w:rsidR="00BB0A21">
        <w:rPr>
          <w:rFonts w:ascii="Times New Roman" w:hAnsi="Times New Roman"/>
          <w:sz w:val="26"/>
          <w:szCs w:val="26"/>
        </w:rPr>
        <w:t xml:space="preserve">The terms that have been agreed upon by the Parties are set forth in greater detail in the Settlement </w:t>
      </w:r>
      <w:r w:rsidR="00A80F28">
        <w:rPr>
          <w:rFonts w:ascii="Times New Roman" w:hAnsi="Times New Roman"/>
          <w:sz w:val="26"/>
          <w:szCs w:val="26"/>
        </w:rPr>
        <w:t>at 8-14,</w:t>
      </w:r>
      <w:r w:rsidR="00BB0A21">
        <w:rPr>
          <w:rFonts w:ascii="Times New Roman" w:hAnsi="Times New Roman"/>
          <w:sz w:val="26"/>
          <w:szCs w:val="26"/>
        </w:rPr>
        <w:t xml:space="preserve"> </w:t>
      </w:r>
      <w:r w:rsidR="00A80F28">
        <w:rPr>
          <w:rFonts w:ascii="Times New Roman" w:hAnsi="Times New Roman"/>
          <w:sz w:val="26"/>
          <w:szCs w:val="26"/>
        </w:rPr>
        <w:t>¶ 31.</w:t>
      </w:r>
    </w:p>
    <w:p w:rsidR="00CB7F18" w:rsidRDefault="00CB7F18" w:rsidP="00FD302D">
      <w:pPr>
        <w:tabs>
          <w:tab w:val="center" w:pos="720"/>
        </w:tabs>
        <w:suppressAutoHyphens/>
        <w:spacing w:line="360" w:lineRule="auto"/>
        <w:rPr>
          <w:rFonts w:ascii="Times New Roman" w:hAnsi="Times New Roman"/>
          <w:sz w:val="26"/>
          <w:szCs w:val="26"/>
        </w:rPr>
      </w:pPr>
    </w:p>
    <w:p w:rsidR="00C80C1A" w:rsidRDefault="005F6A8B" w:rsidP="00373297">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D50356">
        <w:rPr>
          <w:rFonts w:ascii="Times New Roman" w:hAnsi="Times New Roman"/>
          <w:sz w:val="26"/>
          <w:szCs w:val="26"/>
        </w:rPr>
        <w:t>T</w:t>
      </w:r>
      <w:r w:rsidR="006751B7">
        <w:rPr>
          <w:rFonts w:ascii="Times New Roman" w:hAnsi="Times New Roman"/>
          <w:sz w:val="26"/>
          <w:szCs w:val="26"/>
        </w:rPr>
        <w:t xml:space="preserve">he </w:t>
      </w:r>
      <w:r w:rsidR="00AB6C41">
        <w:rPr>
          <w:rFonts w:ascii="Times New Roman" w:hAnsi="Times New Roman"/>
          <w:sz w:val="26"/>
          <w:szCs w:val="26"/>
        </w:rPr>
        <w:t xml:space="preserve">Prosecutory Staff </w:t>
      </w:r>
      <w:r w:rsidR="006751B7">
        <w:rPr>
          <w:rFonts w:ascii="Times New Roman" w:hAnsi="Times New Roman"/>
          <w:sz w:val="26"/>
          <w:szCs w:val="26"/>
        </w:rPr>
        <w:t>agrees to forbear from initiating a</w:t>
      </w:r>
      <w:r w:rsidR="00AB6C41">
        <w:rPr>
          <w:rFonts w:ascii="Times New Roman" w:hAnsi="Times New Roman"/>
          <w:sz w:val="26"/>
          <w:szCs w:val="26"/>
        </w:rPr>
        <w:t xml:space="preserve"> formal complaint </w:t>
      </w:r>
      <w:r w:rsidR="006751B7">
        <w:rPr>
          <w:rFonts w:ascii="Times New Roman" w:hAnsi="Times New Roman"/>
          <w:sz w:val="26"/>
          <w:szCs w:val="26"/>
        </w:rPr>
        <w:t xml:space="preserve">relative to the allegations that are the subject of </w:t>
      </w:r>
      <w:r w:rsidR="007A1C3A">
        <w:rPr>
          <w:rFonts w:ascii="Times New Roman" w:hAnsi="Times New Roman"/>
          <w:sz w:val="26"/>
          <w:szCs w:val="26"/>
        </w:rPr>
        <w:t xml:space="preserve">the </w:t>
      </w:r>
      <w:r w:rsidR="006751B7">
        <w:rPr>
          <w:rFonts w:ascii="Times New Roman" w:hAnsi="Times New Roman"/>
          <w:sz w:val="26"/>
          <w:szCs w:val="26"/>
        </w:rPr>
        <w:t>proposed Settlement</w:t>
      </w:r>
      <w:r w:rsidR="00D50356">
        <w:rPr>
          <w:rFonts w:ascii="Times New Roman" w:hAnsi="Times New Roman"/>
          <w:sz w:val="26"/>
          <w:szCs w:val="26"/>
        </w:rPr>
        <w:t xml:space="preserve">.  The proposed </w:t>
      </w:r>
      <w:r w:rsidR="00D50356">
        <w:rPr>
          <w:rFonts w:ascii="Times New Roman" w:hAnsi="Times New Roman"/>
          <w:sz w:val="26"/>
          <w:szCs w:val="26"/>
        </w:rPr>
        <w:lastRenderedPageBreak/>
        <w:t>Settlement</w:t>
      </w:r>
      <w:r w:rsidR="007A1C3A">
        <w:rPr>
          <w:rFonts w:ascii="Times New Roman" w:hAnsi="Times New Roman"/>
          <w:sz w:val="26"/>
          <w:szCs w:val="26"/>
        </w:rPr>
        <w:t xml:space="preserve"> would not, however, affect the Commission’s authority to receive and resolve any formal or informal complaints filed by any affected party with respect to the incident, except</w:t>
      </w:r>
      <w:r w:rsidR="00373297">
        <w:rPr>
          <w:rFonts w:ascii="Times New Roman" w:hAnsi="Times New Roman"/>
          <w:sz w:val="26"/>
          <w:szCs w:val="26"/>
        </w:rPr>
        <w:t xml:space="preserve"> that no further sanctions</w:t>
      </w:r>
      <w:r w:rsidR="007A1C3A">
        <w:rPr>
          <w:rFonts w:ascii="Times New Roman" w:hAnsi="Times New Roman"/>
          <w:sz w:val="26"/>
          <w:szCs w:val="26"/>
        </w:rPr>
        <w:t xml:space="preserve"> may be imposed by the Commission for any actions identi</w:t>
      </w:r>
      <w:r w:rsidR="00373297">
        <w:rPr>
          <w:rFonts w:ascii="Times New Roman" w:hAnsi="Times New Roman"/>
          <w:sz w:val="26"/>
          <w:szCs w:val="26"/>
        </w:rPr>
        <w:t>fied in the Settlement</w:t>
      </w:r>
      <w:r w:rsidR="008C17DD">
        <w:rPr>
          <w:rFonts w:ascii="Times New Roman" w:hAnsi="Times New Roman"/>
          <w:sz w:val="26"/>
          <w:szCs w:val="26"/>
        </w:rPr>
        <w:t>.  Settlement</w:t>
      </w:r>
      <w:r w:rsidR="007A1C3A">
        <w:rPr>
          <w:rFonts w:ascii="Times New Roman" w:hAnsi="Times New Roman"/>
          <w:sz w:val="26"/>
          <w:szCs w:val="26"/>
        </w:rPr>
        <w:t xml:space="preserve"> at </w:t>
      </w:r>
      <w:r w:rsidR="00373297">
        <w:rPr>
          <w:rFonts w:ascii="Times New Roman" w:hAnsi="Times New Roman"/>
          <w:sz w:val="26"/>
          <w:szCs w:val="26"/>
        </w:rPr>
        <w:t>14-15</w:t>
      </w:r>
      <w:r w:rsidR="007A1C3A">
        <w:rPr>
          <w:rFonts w:ascii="Times New Roman" w:hAnsi="Times New Roman"/>
          <w:sz w:val="26"/>
          <w:szCs w:val="26"/>
        </w:rPr>
        <w:t xml:space="preserve">, ¶ </w:t>
      </w:r>
      <w:r w:rsidR="00373297">
        <w:rPr>
          <w:rFonts w:ascii="Times New Roman" w:hAnsi="Times New Roman"/>
          <w:sz w:val="26"/>
          <w:szCs w:val="26"/>
        </w:rPr>
        <w:t>32</w:t>
      </w:r>
      <w:r w:rsidR="00C80C1A">
        <w:rPr>
          <w:rFonts w:ascii="Times New Roman" w:hAnsi="Times New Roman"/>
          <w:sz w:val="26"/>
          <w:szCs w:val="26"/>
        </w:rPr>
        <w:t>.</w:t>
      </w:r>
      <w:r w:rsidR="00521D68">
        <w:rPr>
          <w:rFonts w:ascii="Times New Roman" w:hAnsi="Times New Roman"/>
          <w:sz w:val="26"/>
          <w:szCs w:val="26"/>
        </w:rPr>
        <w:t xml:space="preserve">  The Settlement provides that n</w:t>
      </w:r>
      <w:r w:rsidR="008C17DD">
        <w:rPr>
          <w:rFonts w:ascii="Times New Roman" w:hAnsi="Times New Roman"/>
          <w:sz w:val="26"/>
          <w:szCs w:val="26"/>
        </w:rPr>
        <w:t>one of the provisions of the Settlement or statements therein shall be considered an admission of any fact or culpability</w:t>
      </w:r>
      <w:r w:rsidR="00741BFD">
        <w:rPr>
          <w:rFonts w:ascii="Times New Roman" w:hAnsi="Times New Roman"/>
          <w:sz w:val="26"/>
          <w:szCs w:val="26"/>
        </w:rPr>
        <w:t>.  The Settlement makes no findings of fact or conclusions of law, and therefore it is the Parties’ intent that this document and the related Statements in Support not be admitted as evidence in any potential civil proceeding regarding this matter.  Settlement at 17, ¶ 40.</w:t>
      </w:r>
    </w:p>
    <w:p w:rsidR="00844906" w:rsidRDefault="00844906" w:rsidP="00373297">
      <w:pPr>
        <w:tabs>
          <w:tab w:val="center" w:pos="720"/>
        </w:tabs>
        <w:suppressAutoHyphens/>
        <w:spacing w:line="360" w:lineRule="auto"/>
        <w:rPr>
          <w:rFonts w:ascii="Times New Roman" w:hAnsi="Times New Roman"/>
          <w:sz w:val="26"/>
          <w:szCs w:val="26"/>
        </w:rPr>
      </w:pPr>
    </w:p>
    <w:p w:rsidR="00605BAF" w:rsidRDefault="00605BAF" w:rsidP="00605BAF">
      <w:pPr>
        <w:tabs>
          <w:tab w:val="center" w:pos="720"/>
        </w:tabs>
        <w:suppressAutoHyphens/>
        <w:spacing w:line="360" w:lineRule="auto"/>
        <w:jc w:val="center"/>
        <w:rPr>
          <w:rFonts w:ascii="Times New Roman" w:hAnsi="Times New Roman"/>
          <w:b/>
          <w:sz w:val="26"/>
          <w:szCs w:val="26"/>
        </w:rPr>
      </w:pPr>
      <w:r w:rsidRPr="00605BAF">
        <w:rPr>
          <w:rFonts w:ascii="Times New Roman" w:hAnsi="Times New Roman"/>
          <w:b/>
          <w:sz w:val="26"/>
          <w:szCs w:val="26"/>
        </w:rPr>
        <w:t>Comments</w:t>
      </w:r>
      <w:r w:rsidR="002F3F0B">
        <w:rPr>
          <w:rFonts w:ascii="Times New Roman" w:hAnsi="Times New Roman"/>
          <w:b/>
          <w:sz w:val="26"/>
          <w:szCs w:val="26"/>
        </w:rPr>
        <w:t xml:space="preserve"> on the Proposed Settlement</w:t>
      </w:r>
    </w:p>
    <w:p w:rsidR="002F3F0B" w:rsidRDefault="002F3F0B" w:rsidP="002F3F0B">
      <w:pPr>
        <w:tabs>
          <w:tab w:val="center" w:pos="720"/>
        </w:tabs>
        <w:suppressAutoHyphens/>
        <w:spacing w:line="360" w:lineRule="auto"/>
        <w:rPr>
          <w:rFonts w:ascii="Times New Roman" w:hAnsi="Times New Roman"/>
          <w:sz w:val="26"/>
          <w:szCs w:val="26"/>
        </w:rPr>
      </w:pPr>
    </w:p>
    <w:p w:rsidR="002F3F0B" w:rsidRDefault="002F3F0B" w:rsidP="002F3F0B">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The DEF fully supports the terms of the Settlement that require PPL to contribu</w:t>
      </w:r>
      <w:r w:rsidR="00844906">
        <w:rPr>
          <w:rFonts w:ascii="Times New Roman" w:hAnsi="Times New Roman"/>
          <w:sz w:val="26"/>
          <w:szCs w:val="26"/>
        </w:rPr>
        <w:t>te $10,000 to its Operation HELP</w:t>
      </w:r>
      <w:r>
        <w:rPr>
          <w:rFonts w:ascii="Times New Roman" w:hAnsi="Times New Roman"/>
          <w:sz w:val="26"/>
          <w:szCs w:val="26"/>
        </w:rPr>
        <w:t xml:space="preserve"> hardship fund.  The DEF states that this contribution will help numerous households in PPL’s service territory that are struggling to pay their monthly electric bills.  Although the DEF does not administer PPL’s hardship fund, </w:t>
      </w:r>
      <w:r w:rsidR="00DC3F8A">
        <w:rPr>
          <w:rFonts w:ascii="Times New Roman" w:hAnsi="Times New Roman"/>
          <w:sz w:val="26"/>
          <w:szCs w:val="26"/>
        </w:rPr>
        <w:t xml:space="preserve">it is “encouraged by the Commission’s decision to allow for a contribution to a hardship program as part of a settlement agreement.”  DEF Comments at 1.  The DEF hopes that </w:t>
      </w:r>
      <w:r w:rsidR="00844906">
        <w:rPr>
          <w:rFonts w:ascii="Times New Roman" w:hAnsi="Times New Roman"/>
          <w:sz w:val="26"/>
          <w:szCs w:val="26"/>
        </w:rPr>
        <w:t>the Commission will continue to</w:t>
      </w:r>
      <w:r w:rsidR="00DC3F8A">
        <w:rPr>
          <w:rFonts w:ascii="Times New Roman" w:hAnsi="Times New Roman"/>
          <w:sz w:val="26"/>
          <w:szCs w:val="26"/>
        </w:rPr>
        <w:t xml:space="preserve"> direct settlement funds to similar programs in the future.</w:t>
      </w:r>
    </w:p>
    <w:p w:rsidR="00DC3F8A" w:rsidRDefault="00DC3F8A" w:rsidP="002F3F0B">
      <w:pPr>
        <w:tabs>
          <w:tab w:val="center" w:pos="720"/>
        </w:tabs>
        <w:suppressAutoHyphens/>
        <w:spacing w:line="360" w:lineRule="auto"/>
        <w:rPr>
          <w:rFonts w:ascii="Times New Roman" w:hAnsi="Times New Roman"/>
          <w:sz w:val="26"/>
          <w:szCs w:val="26"/>
        </w:rPr>
      </w:pPr>
    </w:p>
    <w:p w:rsidR="00146E54" w:rsidRDefault="00DC3F8A" w:rsidP="002F3F0B">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PULP</w:t>
      </w:r>
      <w:r w:rsidR="00EF4837">
        <w:rPr>
          <w:rFonts w:ascii="Times New Roman" w:hAnsi="Times New Roman"/>
          <w:sz w:val="26"/>
          <w:szCs w:val="26"/>
        </w:rPr>
        <w:t xml:space="preserve">’s comments address both the financial and non-financial terms of the Settlement.  With regard to the Settlement’s financial terms, PULP similarly supports </w:t>
      </w:r>
      <w:r w:rsidR="00844906">
        <w:rPr>
          <w:rFonts w:ascii="Times New Roman" w:hAnsi="Times New Roman"/>
          <w:sz w:val="26"/>
          <w:szCs w:val="26"/>
        </w:rPr>
        <w:t>the $10,000 contribution to Operation</w:t>
      </w:r>
      <w:r w:rsidR="00EF4837">
        <w:rPr>
          <w:rFonts w:ascii="Times New Roman" w:hAnsi="Times New Roman"/>
          <w:sz w:val="26"/>
          <w:szCs w:val="26"/>
        </w:rPr>
        <w:t xml:space="preserve"> HELP</w:t>
      </w:r>
      <w:r w:rsidR="00C73F54">
        <w:rPr>
          <w:rFonts w:ascii="Times New Roman" w:hAnsi="Times New Roman"/>
          <w:sz w:val="26"/>
          <w:szCs w:val="26"/>
        </w:rPr>
        <w:t xml:space="preserve">.  PULP states that Operation HELP reduces the </w:t>
      </w:r>
      <w:r w:rsidR="00534EBF">
        <w:rPr>
          <w:rFonts w:ascii="Times New Roman" w:hAnsi="Times New Roman"/>
          <w:sz w:val="26"/>
          <w:szCs w:val="26"/>
        </w:rPr>
        <w:t xml:space="preserve">utility’s </w:t>
      </w:r>
      <w:r w:rsidR="00C73F54">
        <w:rPr>
          <w:rFonts w:ascii="Times New Roman" w:hAnsi="Times New Roman"/>
          <w:sz w:val="26"/>
          <w:szCs w:val="26"/>
        </w:rPr>
        <w:t>overall cost of ser</w:t>
      </w:r>
      <w:r w:rsidR="00534EBF">
        <w:rPr>
          <w:rFonts w:ascii="Times New Roman" w:hAnsi="Times New Roman"/>
          <w:sz w:val="26"/>
          <w:szCs w:val="26"/>
        </w:rPr>
        <w:t xml:space="preserve">vice </w:t>
      </w:r>
      <w:r w:rsidR="00C73F54">
        <w:rPr>
          <w:rFonts w:ascii="Times New Roman" w:hAnsi="Times New Roman"/>
          <w:sz w:val="26"/>
          <w:szCs w:val="26"/>
        </w:rPr>
        <w:t>by reducing unpaid arrearages that</w:t>
      </w:r>
      <w:r w:rsidR="00844906">
        <w:rPr>
          <w:rFonts w:ascii="Times New Roman" w:hAnsi="Times New Roman"/>
          <w:sz w:val="26"/>
          <w:szCs w:val="26"/>
        </w:rPr>
        <w:t xml:space="preserve"> </w:t>
      </w:r>
      <w:r w:rsidR="00C73F54">
        <w:rPr>
          <w:rFonts w:ascii="Times New Roman" w:hAnsi="Times New Roman"/>
          <w:sz w:val="26"/>
          <w:szCs w:val="26"/>
        </w:rPr>
        <w:t xml:space="preserve">are passed on to other residential customers in the form of higher rates.  PULP Comments at 5.  </w:t>
      </w:r>
      <w:r w:rsidR="00534EBF">
        <w:rPr>
          <w:rFonts w:ascii="Times New Roman" w:hAnsi="Times New Roman"/>
          <w:sz w:val="26"/>
          <w:szCs w:val="26"/>
        </w:rPr>
        <w:t xml:space="preserve">While PULP supports the $10,000 contribution to Operation HELP, PULP </w:t>
      </w:r>
      <w:r w:rsidR="00EF4837">
        <w:rPr>
          <w:rFonts w:ascii="Times New Roman" w:hAnsi="Times New Roman"/>
          <w:sz w:val="26"/>
          <w:szCs w:val="26"/>
        </w:rPr>
        <w:t>urg</w:t>
      </w:r>
      <w:r w:rsidR="00534EBF">
        <w:rPr>
          <w:rFonts w:ascii="Times New Roman" w:hAnsi="Times New Roman"/>
          <w:sz w:val="26"/>
          <w:szCs w:val="26"/>
        </w:rPr>
        <w:t xml:space="preserve">es the Commission to direct </w:t>
      </w:r>
      <w:r w:rsidR="008D1694">
        <w:rPr>
          <w:rFonts w:ascii="Times New Roman" w:hAnsi="Times New Roman"/>
          <w:sz w:val="26"/>
          <w:szCs w:val="26"/>
        </w:rPr>
        <w:t>PPL to contribute an additional</w:t>
      </w:r>
      <w:r w:rsidR="00534EBF">
        <w:rPr>
          <w:rFonts w:ascii="Times New Roman" w:hAnsi="Times New Roman"/>
          <w:sz w:val="26"/>
          <w:szCs w:val="26"/>
        </w:rPr>
        <w:t xml:space="preserve"> $10,000 </w:t>
      </w:r>
      <w:r w:rsidR="00BF40DC">
        <w:rPr>
          <w:rFonts w:ascii="Times New Roman" w:hAnsi="Times New Roman"/>
          <w:sz w:val="26"/>
          <w:szCs w:val="26"/>
        </w:rPr>
        <w:t xml:space="preserve">to its </w:t>
      </w:r>
      <w:r w:rsidR="00EF4837">
        <w:rPr>
          <w:rFonts w:ascii="Times New Roman" w:hAnsi="Times New Roman"/>
          <w:sz w:val="26"/>
          <w:szCs w:val="26"/>
        </w:rPr>
        <w:t xml:space="preserve">Low-Income Usage Reduction Program (LIURP).  </w:t>
      </w:r>
      <w:r w:rsidR="00101B20" w:rsidRPr="00101B20">
        <w:rPr>
          <w:rFonts w:ascii="Times New Roman" w:hAnsi="Times New Roman"/>
          <w:i/>
          <w:sz w:val="26"/>
          <w:szCs w:val="26"/>
        </w:rPr>
        <w:t>Id.</w:t>
      </w:r>
      <w:r w:rsidR="00101B20">
        <w:rPr>
          <w:rFonts w:ascii="Times New Roman" w:hAnsi="Times New Roman"/>
          <w:sz w:val="26"/>
          <w:szCs w:val="26"/>
        </w:rPr>
        <w:t xml:space="preserve"> </w:t>
      </w:r>
      <w:r w:rsidR="00EA4682">
        <w:rPr>
          <w:rFonts w:ascii="Times New Roman" w:hAnsi="Times New Roman"/>
          <w:sz w:val="26"/>
          <w:szCs w:val="26"/>
        </w:rPr>
        <w:t xml:space="preserve">at 8.  </w:t>
      </w:r>
      <w:r w:rsidR="0053642D">
        <w:rPr>
          <w:rFonts w:ascii="Times New Roman" w:hAnsi="Times New Roman"/>
          <w:sz w:val="26"/>
          <w:szCs w:val="26"/>
        </w:rPr>
        <w:t xml:space="preserve">PULP states that contributions to LIURP programs are a </w:t>
      </w:r>
      <w:r w:rsidR="0053642D">
        <w:rPr>
          <w:rFonts w:ascii="Times New Roman" w:hAnsi="Times New Roman"/>
          <w:sz w:val="26"/>
          <w:szCs w:val="26"/>
        </w:rPr>
        <w:lastRenderedPageBreak/>
        <w:t xml:space="preserve">win-win-win proposition:  the public wins because </w:t>
      </w:r>
      <w:r w:rsidR="00534EBF">
        <w:rPr>
          <w:rFonts w:ascii="Times New Roman" w:hAnsi="Times New Roman"/>
          <w:sz w:val="26"/>
          <w:szCs w:val="26"/>
        </w:rPr>
        <w:t>LIURP cost-effectively reduces energy consumption</w:t>
      </w:r>
      <w:r w:rsidR="0053642D">
        <w:rPr>
          <w:rFonts w:ascii="Times New Roman" w:hAnsi="Times New Roman"/>
          <w:sz w:val="26"/>
          <w:szCs w:val="26"/>
        </w:rPr>
        <w:t xml:space="preserve">; the customer wins because his or her bills are lowered; and other ratepayers win because universal service costs decrease.  </w:t>
      </w:r>
      <w:r w:rsidR="00286F0F">
        <w:rPr>
          <w:rFonts w:ascii="Times New Roman" w:hAnsi="Times New Roman"/>
          <w:sz w:val="26"/>
          <w:szCs w:val="26"/>
        </w:rPr>
        <w:t xml:space="preserve">In addition, </w:t>
      </w:r>
      <w:r w:rsidR="00D86447">
        <w:rPr>
          <w:rFonts w:ascii="Times New Roman" w:hAnsi="Times New Roman"/>
          <w:sz w:val="26"/>
          <w:szCs w:val="26"/>
        </w:rPr>
        <w:t>wea</w:t>
      </w:r>
      <w:r w:rsidR="00286F0F">
        <w:rPr>
          <w:rFonts w:ascii="Times New Roman" w:hAnsi="Times New Roman"/>
          <w:sz w:val="26"/>
          <w:szCs w:val="26"/>
        </w:rPr>
        <w:t xml:space="preserve">therization projects </w:t>
      </w:r>
      <w:r w:rsidR="00D86447">
        <w:rPr>
          <w:rFonts w:ascii="Times New Roman" w:hAnsi="Times New Roman"/>
          <w:sz w:val="26"/>
          <w:szCs w:val="26"/>
        </w:rPr>
        <w:t>create jobs that benefit the local economies</w:t>
      </w:r>
      <w:r w:rsidR="00286F0F">
        <w:rPr>
          <w:rFonts w:ascii="Times New Roman" w:hAnsi="Times New Roman"/>
          <w:sz w:val="26"/>
          <w:szCs w:val="26"/>
        </w:rPr>
        <w:t xml:space="preserve"> where LIURP programs </w:t>
      </w:r>
      <w:r w:rsidR="00D86447">
        <w:rPr>
          <w:rFonts w:ascii="Times New Roman" w:hAnsi="Times New Roman"/>
          <w:sz w:val="26"/>
          <w:szCs w:val="26"/>
        </w:rPr>
        <w:t xml:space="preserve">exist.  </w:t>
      </w:r>
    </w:p>
    <w:p w:rsidR="00DC3F8A" w:rsidRPr="002F3F0B" w:rsidRDefault="002C60BB" w:rsidP="002F3F0B">
      <w:pPr>
        <w:tabs>
          <w:tab w:val="center" w:pos="720"/>
        </w:tabs>
        <w:suppressAutoHyphens/>
        <w:spacing w:line="360" w:lineRule="auto"/>
        <w:rPr>
          <w:rFonts w:ascii="Times New Roman" w:hAnsi="Times New Roman"/>
          <w:sz w:val="26"/>
          <w:szCs w:val="26"/>
        </w:rPr>
      </w:pPr>
      <w:r w:rsidRPr="002C60BB">
        <w:rPr>
          <w:rFonts w:ascii="Times New Roman" w:hAnsi="Times New Roman"/>
          <w:i/>
          <w:sz w:val="26"/>
          <w:szCs w:val="26"/>
        </w:rPr>
        <w:t>Id.</w:t>
      </w:r>
      <w:r>
        <w:rPr>
          <w:rFonts w:ascii="Times New Roman" w:hAnsi="Times New Roman"/>
          <w:sz w:val="26"/>
          <w:szCs w:val="26"/>
        </w:rPr>
        <w:t xml:space="preserve"> </w:t>
      </w:r>
      <w:r w:rsidR="0053642D">
        <w:rPr>
          <w:rFonts w:ascii="Times New Roman" w:hAnsi="Times New Roman"/>
          <w:sz w:val="26"/>
          <w:szCs w:val="26"/>
        </w:rPr>
        <w:t>at 2</w:t>
      </w:r>
      <w:r w:rsidR="00EA4682">
        <w:rPr>
          <w:rFonts w:ascii="Times New Roman" w:hAnsi="Times New Roman"/>
          <w:sz w:val="26"/>
          <w:szCs w:val="26"/>
        </w:rPr>
        <w:t>, 6</w:t>
      </w:r>
      <w:r w:rsidR="00D86447">
        <w:rPr>
          <w:rFonts w:ascii="Times New Roman" w:hAnsi="Times New Roman"/>
          <w:sz w:val="26"/>
          <w:szCs w:val="26"/>
        </w:rPr>
        <w:t>-7</w:t>
      </w:r>
      <w:r w:rsidR="0053642D">
        <w:rPr>
          <w:rFonts w:ascii="Times New Roman" w:hAnsi="Times New Roman"/>
          <w:sz w:val="26"/>
          <w:szCs w:val="26"/>
        </w:rPr>
        <w:t>.</w:t>
      </w:r>
      <w:r w:rsidR="00497D42">
        <w:rPr>
          <w:rFonts w:ascii="Times New Roman" w:hAnsi="Times New Roman"/>
          <w:sz w:val="26"/>
          <w:szCs w:val="26"/>
        </w:rPr>
        <w:t xml:space="preserve">  </w:t>
      </w:r>
      <w:r w:rsidR="00801CF5">
        <w:rPr>
          <w:rFonts w:ascii="Times New Roman" w:hAnsi="Times New Roman"/>
          <w:sz w:val="26"/>
          <w:szCs w:val="26"/>
        </w:rPr>
        <w:t xml:space="preserve">Finally, PULP submits that directing settlement payments to weatherization programs benefits customers without rewarding the utility.  </w:t>
      </w:r>
      <w:r w:rsidR="00497D42">
        <w:rPr>
          <w:rFonts w:ascii="Times New Roman" w:hAnsi="Times New Roman"/>
          <w:sz w:val="26"/>
          <w:szCs w:val="26"/>
        </w:rPr>
        <w:t>PULP supports and endorses the Commission’s practice of approving settlement agreements that direct the paym</w:t>
      </w:r>
      <w:r w:rsidR="00801CF5">
        <w:rPr>
          <w:rFonts w:ascii="Times New Roman" w:hAnsi="Times New Roman"/>
          <w:sz w:val="26"/>
          <w:szCs w:val="26"/>
        </w:rPr>
        <w:t xml:space="preserve">ent of funds to </w:t>
      </w:r>
      <w:r w:rsidR="00497D42">
        <w:rPr>
          <w:rFonts w:ascii="Times New Roman" w:hAnsi="Times New Roman"/>
          <w:sz w:val="26"/>
          <w:szCs w:val="26"/>
        </w:rPr>
        <w:t>universal service programs</w:t>
      </w:r>
      <w:r w:rsidR="00BF40DC">
        <w:rPr>
          <w:rFonts w:ascii="Times New Roman" w:hAnsi="Times New Roman"/>
          <w:sz w:val="26"/>
          <w:szCs w:val="26"/>
        </w:rPr>
        <w:t xml:space="preserve">, and submits that directing the funds to LIURP programs would be a more effective deterrent than contributions to utility hardship funds.  </w:t>
      </w:r>
      <w:r w:rsidR="00BF40DC" w:rsidRPr="00B47186">
        <w:rPr>
          <w:rFonts w:ascii="Times New Roman" w:hAnsi="Times New Roman"/>
          <w:i/>
          <w:sz w:val="26"/>
          <w:szCs w:val="26"/>
        </w:rPr>
        <w:t>Id.</w:t>
      </w:r>
      <w:r w:rsidR="00BF40DC">
        <w:rPr>
          <w:rFonts w:ascii="Times New Roman" w:hAnsi="Times New Roman"/>
          <w:sz w:val="26"/>
          <w:szCs w:val="26"/>
        </w:rPr>
        <w:t xml:space="preserve"> at 4, 7.</w:t>
      </w:r>
    </w:p>
    <w:p w:rsidR="00AB404B" w:rsidRDefault="00AB404B" w:rsidP="00373297">
      <w:pPr>
        <w:tabs>
          <w:tab w:val="center" w:pos="720"/>
        </w:tabs>
        <w:suppressAutoHyphens/>
        <w:spacing w:line="360" w:lineRule="auto"/>
        <w:rPr>
          <w:rFonts w:ascii="Times New Roman" w:hAnsi="Times New Roman"/>
          <w:sz w:val="26"/>
          <w:szCs w:val="26"/>
        </w:rPr>
      </w:pPr>
    </w:p>
    <w:p w:rsidR="000B6FD5" w:rsidRDefault="00286F0F" w:rsidP="00373297">
      <w:pPr>
        <w:tabs>
          <w:tab w:val="center" w:pos="720"/>
        </w:tabs>
        <w:suppressAutoHyphens/>
        <w:spacing w:line="360" w:lineRule="auto"/>
        <w:rPr>
          <w:rFonts w:ascii="Times New Roman" w:hAnsi="Times New Roman"/>
          <w:i/>
          <w:sz w:val="26"/>
          <w:szCs w:val="26"/>
        </w:rPr>
      </w:pPr>
      <w:r>
        <w:rPr>
          <w:rFonts w:ascii="Times New Roman" w:hAnsi="Times New Roman"/>
          <w:sz w:val="26"/>
          <w:szCs w:val="26"/>
        </w:rPr>
        <w:tab/>
      </w:r>
      <w:r>
        <w:rPr>
          <w:rFonts w:ascii="Times New Roman" w:hAnsi="Times New Roman"/>
          <w:sz w:val="26"/>
          <w:szCs w:val="26"/>
        </w:rPr>
        <w:tab/>
        <w:t xml:space="preserve">PULP </w:t>
      </w:r>
      <w:r w:rsidR="00DC7293">
        <w:rPr>
          <w:rFonts w:ascii="Times New Roman" w:hAnsi="Times New Roman"/>
          <w:sz w:val="26"/>
          <w:szCs w:val="26"/>
        </w:rPr>
        <w:t xml:space="preserve">generally </w:t>
      </w:r>
      <w:r>
        <w:rPr>
          <w:rFonts w:ascii="Times New Roman" w:hAnsi="Times New Roman"/>
          <w:sz w:val="26"/>
          <w:szCs w:val="26"/>
        </w:rPr>
        <w:t>supports the non-financial terms of the proposed Settlement,</w:t>
      </w:r>
      <w:r w:rsidR="00DC7293">
        <w:rPr>
          <w:rFonts w:ascii="Times New Roman" w:hAnsi="Times New Roman"/>
          <w:sz w:val="26"/>
          <w:szCs w:val="26"/>
        </w:rPr>
        <w:t xml:space="preserve"> but has some concerns.  </w:t>
      </w:r>
      <w:r w:rsidR="00DC7293" w:rsidRPr="00B47186">
        <w:rPr>
          <w:rFonts w:ascii="Times New Roman" w:hAnsi="Times New Roman"/>
          <w:i/>
          <w:sz w:val="26"/>
          <w:szCs w:val="26"/>
        </w:rPr>
        <w:t>Id.</w:t>
      </w:r>
      <w:r w:rsidR="00DC7293">
        <w:rPr>
          <w:rFonts w:ascii="Times New Roman" w:hAnsi="Times New Roman"/>
          <w:sz w:val="26"/>
          <w:szCs w:val="26"/>
        </w:rPr>
        <w:t xml:space="preserve"> at 9.</w:t>
      </w:r>
      <w:r w:rsidR="005C766A">
        <w:rPr>
          <w:rFonts w:ascii="Times New Roman" w:hAnsi="Times New Roman"/>
          <w:sz w:val="26"/>
          <w:szCs w:val="26"/>
        </w:rPr>
        <w:t xml:space="preserve">  Specifically, PPL’</w:t>
      </w:r>
      <w:r w:rsidR="009C1D10">
        <w:rPr>
          <w:rFonts w:ascii="Times New Roman" w:hAnsi="Times New Roman"/>
          <w:sz w:val="26"/>
          <w:szCs w:val="26"/>
        </w:rPr>
        <w:t>s web-b</w:t>
      </w:r>
      <w:r w:rsidR="005C766A">
        <w:rPr>
          <w:rFonts w:ascii="Times New Roman" w:hAnsi="Times New Roman"/>
          <w:sz w:val="26"/>
          <w:szCs w:val="26"/>
        </w:rPr>
        <w:t>as</w:t>
      </w:r>
      <w:r w:rsidR="00E95384">
        <w:rPr>
          <w:rFonts w:ascii="Times New Roman" w:hAnsi="Times New Roman"/>
          <w:sz w:val="26"/>
          <w:szCs w:val="26"/>
        </w:rPr>
        <w:t>ed CTP</w:t>
      </w:r>
      <w:r w:rsidR="009C1D10">
        <w:rPr>
          <w:rFonts w:ascii="Times New Roman" w:hAnsi="Times New Roman"/>
          <w:sz w:val="26"/>
          <w:szCs w:val="26"/>
        </w:rPr>
        <w:t xml:space="preserve"> currently is set up to refer low-income customers to PPL’s OnTrack customer assistance program automatically, which PULP supports.  However, the CTP precludes the referral of a customer who reports an income of zero.  PULP is concerned that the proposed correction in the Settlement</w:t>
      </w:r>
      <w:r w:rsidR="004346DE">
        <w:rPr>
          <w:rFonts w:ascii="Times New Roman" w:hAnsi="Times New Roman"/>
          <w:sz w:val="26"/>
          <w:szCs w:val="26"/>
        </w:rPr>
        <w:t xml:space="preserve"> does not focus on the underlying problem.  PULP states that </w:t>
      </w:r>
      <w:r w:rsidR="00E95384">
        <w:rPr>
          <w:rFonts w:ascii="Times New Roman" w:hAnsi="Times New Roman"/>
          <w:sz w:val="26"/>
          <w:szCs w:val="26"/>
        </w:rPr>
        <w:t xml:space="preserve">the </w:t>
      </w:r>
      <w:r w:rsidR="004346DE">
        <w:rPr>
          <w:rFonts w:ascii="Times New Roman" w:hAnsi="Times New Roman"/>
          <w:sz w:val="26"/>
          <w:szCs w:val="26"/>
        </w:rPr>
        <w:t>CTP should be changed so that customers are referred to OnTrack regardless of the income reported.  According to PULP, a referral to OnTrack does not require PPL to accept the applicant into the OnTrack program; however, it would provide PPL with the opportunity to determine i</w:t>
      </w:r>
      <w:r w:rsidR="000715A9">
        <w:rPr>
          <w:rFonts w:ascii="Times New Roman" w:hAnsi="Times New Roman"/>
          <w:sz w:val="26"/>
          <w:szCs w:val="26"/>
        </w:rPr>
        <w:t>f these need</w:t>
      </w:r>
      <w:r w:rsidR="004346DE">
        <w:rPr>
          <w:rFonts w:ascii="Times New Roman" w:hAnsi="Times New Roman"/>
          <w:sz w:val="26"/>
          <w:szCs w:val="26"/>
        </w:rPr>
        <w:t xml:space="preserve">iest customers </w:t>
      </w:r>
      <w:r w:rsidR="000715A9">
        <w:rPr>
          <w:rFonts w:ascii="Times New Roman" w:hAnsi="Times New Roman"/>
          <w:sz w:val="26"/>
          <w:szCs w:val="26"/>
        </w:rPr>
        <w:t xml:space="preserve">need to be referred to LIHEAP or Operation HELP, or whether they recently have had a change in circumstances or </w:t>
      </w:r>
      <w:r w:rsidR="00BF4C9E">
        <w:rPr>
          <w:rFonts w:ascii="Times New Roman" w:hAnsi="Times New Roman"/>
          <w:sz w:val="26"/>
          <w:szCs w:val="26"/>
        </w:rPr>
        <w:t xml:space="preserve">a </w:t>
      </w:r>
      <w:r w:rsidR="000715A9">
        <w:rPr>
          <w:rFonts w:ascii="Times New Roman" w:hAnsi="Times New Roman"/>
          <w:sz w:val="26"/>
          <w:szCs w:val="26"/>
        </w:rPr>
        <w:t>medical condition.  PULP urges the Commission to encourage PPL to change its policy toward zero-income customers by not precluding them from an OnTrack re</w:t>
      </w:r>
      <w:r w:rsidR="00E85A8A">
        <w:rPr>
          <w:rFonts w:ascii="Times New Roman" w:hAnsi="Times New Roman"/>
          <w:sz w:val="26"/>
          <w:szCs w:val="26"/>
        </w:rPr>
        <w:t>ferral.</w:t>
      </w:r>
      <w:r w:rsidR="00BF4C9E" w:rsidRPr="00BF4C9E">
        <w:rPr>
          <w:rFonts w:ascii="Times New Roman" w:hAnsi="Times New Roman"/>
          <w:i/>
          <w:sz w:val="26"/>
          <w:szCs w:val="26"/>
        </w:rPr>
        <w:t xml:space="preserve"> </w:t>
      </w:r>
      <w:r w:rsidR="00BF4C9E">
        <w:rPr>
          <w:rFonts w:ascii="Times New Roman" w:hAnsi="Times New Roman"/>
          <w:i/>
          <w:sz w:val="26"/>
          <w:szCs w:val="26"/>
        </w:rPr>
        <w:t xml:space="preserve"> </w:t>
      </w:r>
    </w:p>
    <w:p w:rsidR="00286F0F" w:rsidRDefault="00BF4C9E" w:rsidP="00373297">
      <w:pPr>
        <w:tabs>
          <w:tab w:val="center" w:pos="720"/>
        </w:tabs>
        <w:suppressAutoHyphens/>
        <w:spacing w:line="360" w:lineRule="auto"/>
        <w:rPr>
          <w:rFonts w:ascii="Times New Roman" w:hAnsi="Times New Roman"/>
          <w:sz w:val="26"/>
          <w:szCs w:val="26"/>
        </w:rPr>
      </w:pPr>
      <w:r w:rsidRPr="00B47186">
        <w:rPr>
          <w:rFonts w:ascii="Times New Roman" w:hAnsi="Times New Roman"/>
          <w:i/>
          <w:sz w:val="26"/>
          <w:szCs w:val="26"/>
        </w:rPr>
        <w:t>Id.</w:t>
      </w:r>
      <w:r>
        <w:rPr>
          <w:rFonts w:ascii="Times New Roman" w:hAnsi="Times New Roman"/>
          <w:sz w:val="26"/>
          <w:szCs w:val="26"/>
        </w:rPr>
        <w:t xml:space="preserve"> at 10.</w:t>
      </w:r>
    </w:p>
    <w:p w:rsidR="00E85A8A" w:rsidRDefault="00E85A8A" w:rsidP="00373297">
      <w:pPr>
        <w:tabs>
          <w:tab w:val="center" w:pos="720"/>
        </w:tabs>
        <w:suppressAutoHyphens/>
        <w:spacing w:line="360" w:lineRule="auto"/>
        <w:rPr>
          <w:rFonts w:ascii="Times New Roman" w:hAnsi="Times New Roman"/>
          <w:sz w:val="26"/>
          <w:szCs w:val="26"/>
        </w:rPr>
      </w:pPr>
    </w:p>
    <w:p w:rsidR="00B47186" w:rsidRDefault="00E85A8A" w:rsidP="00373297">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Secondly, PULP avers that some of the non-financial terms of the instant Settlement duplicate terms of previous s</w:t>
      </w:r>
      <w:r w:rsidR="00510B4C">
        <w:rPr>
          <w:rFonts w:ascii="Times New Roman" w:hAnsi="Times New Roman"/>
          <w:sz w:val="26"/>
          <w:szCs w:val="26"/>
        </w:rPr>
        <w:t xml:space="preserve">ettlements between the LBPS and </w:t>
      </w:r>
      <w:r>
        <w:rPr>
          <w:rFonts w:ascii="Times New Roman" w:hAnsi="Times New Roman"/>
          <w:sz w:val="26"/>
          <w:szCs w:val="26"/>
        </w:rPr>
        <w:t>PPL</w:t>
      </w:r>
      <w:r w:rsidR="00510B4C">
        <w:rPr>
          <w:rFonts w:ascii="Times New Roman" w:hAnsi="Times New Roman"/>
          <w:sz w:val="26"/>
          <w:szCs w:val="26"/>
        </w:rPr>
        <w:t xml:space="preserve">, citing </w:t>
      </w:r>
      <w:r w:rsidR="000B6FD5">
        <w:rPr>
          <w:rFonts w:ascii="Times New Roman" w:hAnsi="Times New Roman"/>
          <w:sz w:val="26"/>
          <w:szCs w:val="26"/>
        </w:rPr>
        <w:t xml:space="preserve">   </w:t>
      </w:r>
      <w:r w:rsidR="005815AA">
        <w:rPr>
          <w:rFonts w:ascii="Times New Roman" w:hAnsi="Times New Roman"/>
          <w:i/>
          <w:sz w:val="26"/>
          <w:szCs w:val="26"/>
        </w:rPr>
        <w:t>Pa PUC</w:t>
      </w:r>
      <w:r w:rsidR="00510B4C" w:rsidRPr="003524F8">
        <w:rPr>
          <w:rFonts w:ascii="Times New Roman" w:hAnsi="Times New Roman"/>
          <w:i/>
          <w:sz w:val="26"/>
          <w:szCs w:val="26"/>
        </w:rPr>
        <w:t xml:space="preserve"> Law Bureau </w:t>
      </w:r>
      <w:r w:rsidR="003524F8" w:rsidRPr="003524F8">
        <w:rPr>
          <w:rFonts w:ascii="Times New Roman" w:hAnsi="Times New Roman"/>
          <w:i/>
          <w:sz w:val="26"/>
          <w:szCs w:val="26"/>
        </w:rPr>
        <w:t>P</w:t>
      </w:r>
      <w:r w:rsidR="00510B4C" w:rsidRPr="003524F8">
        <w:rPr>
          <w:rFonts w:ascii="Times New Roman" w:hAnsi="Times New Roman"/>
          <w:i/>
          <w:sz w:val="26"/>
          <w:szCs w:val="26"/>
        </w:rPr>
        <w:t>rosecutory Staff v. PPL Electric Utilities Corp</w:t>
      </w:r>
      <w:r w:rsidR="00F6606F">
        <w:rPr>
          <w:rFonts w:ascii="Times New Roman" w:hAnsi="Times New Roman"/>
          <w:i/>
          <w:sz w:val="26"/>
          <w:szCs w:val="26"/>
        </w:rPr>
        <w:t>.</w:t>
      </w:r>
      <w:r w:rsidR="00510B4C">
        <w:rPr>
          <w:rFonts w:ascii="Times New Roman" w:hAnsi="Times New Roman"/>
          <w:sz w:val="26"/>
          <w:szCs w:val="26"/>
        </w:rPr>
        <w:t xml:space="preserve">, </w:t>
      </w:r>
      <w:r w:rsidR="000B6FD5">
        <w:rPr>
          <w:rFonts w:ascii="Times New Roman" w:hAnsi="Times New Roman"/>
          <w:sz w:val="26"/>
          <w:szCs w:val="26"/>
        </w:rPr>
        <w:t xml:space="preserve">                  </w:t>
      </w:r>
      <w:r w:rsidR="00510B4C">
        <w:rPr>
          <w:rFonts w:ascii="Times New Roman" w:hAnsi="Times New Roman"/>
          <w:sz w:val="26"/>
          <w:szCs w:val="26"/>
        </w:rPr>
        <w:lastRenderedPageBreak/>
        <w:t xml:space="preserve">Docket No. M-2009-2058182 (Order entered </w:t>
      </w:r>
      <w:r w:rsidR="00FD747D">
        <w:rPr>
          <w:rFonts w:ascii="Times New Roman" w:hAnsi="Times New Roman"/>
          <w:sz w:val="26"/>
          <w:szCs w:val="26"/>
        </w:rPr>
        <w:t>November 23, 2009)</w:t>
      </w:r>
      <w:r w:rsidR="00CE0D83">
        <w:rPr>
          <w:rFonts w:ascii="Times New Roman" w:hAnsi="Times New Roman"/>
          <w:sz w:val="26"/>
          <w:szCs w:val="26"/>
        </w:rPr>
        <w:t xml:space="preserve"> </w:t>
      </w:r>
      <w:r w:rsidR="00FD747D">
        <w:rPr>
          <w:rFonts w:ascii="Times New Roman" w:hAnsi="Times New Roman"/>
          <w:sz w:val="26"/>
          <w:szCs w:val="26"/>
        </w:rPr>
        <w:t>(</w:t>
      </w:r>
      <w:r w:rsidR="00FD747D" w:rsidRPr="00FD747D">
        <w:rPr>
          <w:rFonts w:ascii="Times New Roman" w:hAnsi="Times New Roman"/>
          <w:i/>
          <w:sz w:val="26"/>
          <w:szCs w:val="26"/>
        </w:rPr>
        <w:t xml:space="preserve">Lancaster </w:t>
      </w:r>
      <w:r w:rsidR="003524F8" w:rsidRPr="00FD747D">
        <w:rPr>
          <w:rFonts w:ascii="Times New Roman" w:hAnsi="Times New Roman"/>
          <w:i/>
          <w:sz w:val="26"/>
          <w:szCs w:val="26"/>
        </w:rPr>
        <w:t>Settlement</w:t>
      </w:r>
      <w:r w:rsidR="003524F8">
        <w:rPr>
          <w:rFonts w:ascii="Times New Roman" w:hAnsi="Times New Roman"/>
          <w:sz w:val="26"/>
          <w:szCs w:val="26"/>
        </w:rPr>
        <w:t>)</w:t>
      </w:r>
      <w:r w:rsidR="00510B4C">
        <w:rPr>
          <w:rFonts w:ascii="Times New Roman" w:hAnsi="Times New Roman"/>
          <w:sz w:val="26"/>
          <w:szCs w:val="26"/>
        </w:rPr>
        <w:t>.</w:t>
      </w:r>
      <w:r w:rsidR="003524F8">
        <w:rPr>
          <w:rFonts w:ascii="Times New Roman" w:hAnsi="Times New Roman"/>
          <w:sz w:val="26"/>
          <w:szCs w:val="26"/>
        </w:rPr>
        <w:t xml:space="preserve">  PULP asserts that the dispute rights provision in the instant Settlement simply repeats pre-existing obligations </w:t>
      </w:r>
      <w:r w:rsidR="00FD747D">
        <w:rPr>
          <w:rFonts w:ascii="Times New Roman" w:hAnsi="Times New Roman"/>
          <w:sz w:val="26"/>
          <w:szCs w:val="26"/>
        </w:rPr>
        <w:t xml:space="preserve">required by the </w:t>
      </w:r>
      <w:r w:rsidR="00FD747D" w:rsidRPr="00FD747D">
        <w:rPr>
          <w:rFonts w:ascii="Times New Roman" w:hAnsi="Times New Roman"/>
          <w:i/>
          <w:sz w:val="26"/>
          <w:szCs w:val="26"/>
        </w:rPr>
        <w:t xml:space="preserve">Lancaster </w:t>
      </w:r>
      <w:r w:rsidR="00B47186" w:rsidRPr="00FD747D">
        <w:rPr>
          <w:rFonts w:ascii="Times New Roman" w:hAnsi="Times New Roman"/>
          <w:i/>
          <w:sz w:val="26"/>
          <w:szCs w:val="26"/>
        </w:rPr>
        <w:t>Settlement</w:t>
      </w:r>
      <w:r w:rsidR="00B47186">
        <w:rPr>
          <w:rFonts w:ascii="Times New Roman" w:hAnsi="Times New Roman"/>
          <w:sz w:val="26"/>
          <w:szCs w:val="26"/>
        </w:rPr>
        <w:t xml:space="preserve">, and suggests that the Commission modify the Settlement to provide a stronger, more effective deterrent.  </w:t>
      </w:r>
      <w:r w:rsidR="00B47186" w:rsidRPr="00B47186">
        <w:rPr>
          <w:rFonts w:ascii="Times New Roman" w:hAnsi="Times New Roman"/>
          <w:i/>
          <w:sz w:val="26"/>
          <w:szCs w:val="26"/>
        </w:rPr>
        <w:t>Id.</w:t>
      </w:r>
      <w:r w:rsidR="00B47186">
        <w:rPr>
          <w:rFonts w:ascii="Times New Roman" w:hAnsi="Times New Roman"/>
          <w:sz w:val="26"/>
          <w:szCs w:val="26"/>
        </w:rPr>
        <w:t xml:space="preserve"> at 11.</w:t>
      </w:r>
      <w:r w:rsidR="003524F8">
        <w:rPr>
          <w:rFonts w:ascii="Times New Roman" w:hAnsi="Times New Roman"/>
          <w:sz w:val="26"/>
          <w:szCs w:val="26"/>
        </w:rPr>
        <w:t xml:space="preserve">  </w:t>
      </w:r>
    </w:p>
    <w:p w:rsidR="00B47186" w:rsidRDefault="00B47186" w:rsidP="00373297">
      <w:pPr>
        <w:tabs>
          <w:tab w:val="center" w:pos="720"/>
        </w:tabs>
        <w:suppressAutoHyphens/>
        <w:spacing w:line="360" w:lineRule="auto"/>
        <w:rPr>
          <w:rFonts w:ascii="Times New Roman" w:hAnsi="Times New Roman"/>
          <w:sz w:val="26"/>
          <w:szCs w:val="26"/>
        </w:rPr>
      </w:pPr>
    </w:p>
    <w:p w:rsidR="00E85A8A" w:rsidRDefault="00B47186" w:rsidP="00373297">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PULP also states </w:t>
      </w:r>
      <w:r w:rsidR="003524F8">
        <w:rPr>
          <w:rFonts w:ascii="Times New Roman" w:hAnsi="Times New Roman"/>
          <w:sz w:val="26"/>
          <w:szCs w:val="26"/>
        </w:rPr>
        <w:t>that the confidentiality provisions in the instant Settlement a</w:t>
      </w:r>
      <w:r w:rsidR="00FD747D">
        <w:rPr>
          <w:rFonts w:ascii="Times New Roman" w:hAnsi="Times New Roman"/>
          <w:sz w:val="26"/>
          <w:szCs w:val="26"/>
        </w:rPr>
        <w:t xml:space="preserve">ppear to conflict with the </w:t>
      </w:r>
      <w:r w:rsidR="00FD747D" w:rsidRPr="00FD747D">
        <w:rPr>
          <w:rFonts w:ascii="Times New Roman" w:hAnsi="Times New Roman"/>
          <w:i/>
          <w:sz w:val="26"/>
          <w:szCs w:val="26"/>
        </w:rPr>
        <w:t xml:space="preserve">Lancaster </w:t>
      </w:r>
      <w:r w:rsidR="003524F8" w:rsidRPr="00FD747D">
        <w:rPr>
          <w:rFonts w:ascii="Times New Roman" w:hAnsi="Times New Roman"/>
          <w:i/>
          <w:sz w:val="26"/>
          <w:szCs w:val="26"/>
        </w:rPr>
        <w:t>Settlement</w:t>
      </w:r>
      <w:r w:rsidR="003524F8">
        <w:rPr>
          <w:rFonts w:ascii="Times New Roman" w:hAnsi="Times New Roman"/>
          <w:sz w:val="26"/>
          <w:szCs w:val="26"/>
        </w:rPr>
        <w:t xml:space="preserve"> terms, </w:t>
      </w:r>
      <w:r w:rsidR="00292350">
        <w:rPr>
          <w:rFonts w:ascii="Times New Roman" w:hAnsi="Times New Roman"/>
          <w:sz w:val="26"/>
          <w:szCs w:val="26"/>
        </w:rPr>
        <w:t>under which CSRs were to be trained to main</w:t>
      </w:r>
      <w:r w:rsidR="00190A2F">
        <w:rPr>
          <w:rFonts w:ascii="Times New Roman" w:hAnsi="Times New Roman"/>
          <w:sz w:val="26"/>
          <w:szCs w:val="26"/>
        </w:rPr>
        <w:t>tain customer confidentiality with respect to</w:t>
      </w:r>
      <w:r w:rsidR="00292350">
        <w:rPr>
          <w:rFonts w:ascii="Times New Roman" w:hAnsi="Times New Roman"/>
          <w:sz w:val="26"/>
          <w:szCs w:val="26"/>
        </w:rPr>
        <w:t xml:space="preserve"> any unauthorized third party, specifically</w:t>
      </w:r>
      <w:r w:rsidR="005815AA">
        <w:rPr>
          <w:rFonts w:ascii="Times New Roman" w:hAnsi="Times New Roman"/>
          <w:sz w:val="26"/>
          <w:szCs w:val="26"/>
        </w:rPr>
        <w:t>,</w:t>
      </w:r>
      <w:r w:rsidR="00292350">
        <w:rPr>
          <w:rFonts w:ascii="Times New Roman" w:hAnsi="Times New Roman"/>
          <w:sz w:val="26"/>
          <w:szCs w:val="26"/>
        </w:rPr>
        <w:t xml:space="preserve"> medical professionals calling to provide a medical certificate on the customer’s behalf.  The instant Settlement, on the other hand, requires PPL to disclose information to all AAA representatives who call PPL on a customer’s behalf.</w:t>
      </w:r>
      <w:r w:rsidR="00384474">
        <w:rPr>
          <w:rFonts w:ascii="Times New Roman" w:hAnsi="Times New Roman"/>
          <w:sz w:val="26"/>
          <w:szCs w:val="26"/>
        </w:rPr>
        <w:t xml:space="preserve">  PULP suggests that the Commission should provide guidance to reconcile the potential conflict between the current proposed Settlement, and th</w:t>
      </w:r>
      <w:r w:rsidR="00FD747D">
        <w:rPr>
          <w:rFonts w:ascii="Times New Roman" w:hAnsi="Times New Roman"/>
          <w:sz w:val="26"/>
          <w:szCs w:val="26"/>
        </w:rPr>
        <w:t xml:space="preserve">e </w:t>
      </w:r>
      <w:r w:rsidR="00FD747D" w:rsidRPr="00FD747D">
        <w:rPr>
          <w:rFonts w:ascii="Times New Roman" w:hAnsi="Times New Roman"/>
          <w:i/>
          <w:sz w:val="26"/>
          <w:szCs w:val="26"/>
        </w:rPr>
        <w:t xml:space="preserve">Lancaster </w:t>
      </w:r>
      <w:r w:rsidR="00384474" w:rsidRPr="00FD747D">
        <w:rPr>
          <w:rFonts w:ascii="Times New Roman" w:hAnsi="Times New Roman"/>
          <w:i/>
          <w:sz w:val="26"/>
          <w:szCs w:val="26"/>
        </w:rPr>
        <w:t>Settlement</w:t>
      </w:r>
      <w:r w:rsidR="00384474">
        <w:rPr>
          <w:rFonts w:ascii="Times New Roman" w:hAnsi="Times New Roman"/>
          <w:sz w:val="26"/>
          <w:szCs w:val="26"/>
        </w:rPr>
        <w:t>.</w:t>
      </w:r>
      <w:r w:rsidR="001A5591">
        <w:rPr>
          <w:rFonts w:ascii="Times New Roman" w:hAnsi="Times New Roman"/>
          <w:sz w:val="26"/>
          <w:szCs w:val="26"/>
        </w:rPr>
        <w:t xml:space="preserve">  PULP states that there is a distinction between medical professionals and AAA representatives that supports different disclosure requirements.  Medical professionals do not require customer account information in order to provide a medical certificate.  On the other hand, AAA representatives may need to discuss a customer’s account with a PPL CSR to help that customer maintain service.  PULP states that account information should be disclosed only when it is to the customer’s benefit, and should be limited to agencies such as AAA</w:t>
      </w:r>
      <w:r w:rsidR="00FD747D">
        <w:rPr>
          <w:rFonts w:ascii="Times New Roman" w:hAnsi="Times New Roman"/>
          <w:sz w:val="26"/>
          <w:szCs w:val="26"/>
        </w:rPr>
        <w:t>s that are working to maintain a customer’s service.</w:t>
      </w:r>
      <w:r w:rsidR="00190A2F">
        <w:rPr>
          <w:rFonts w:ascii="Times New Roman" w:hAnsi="Times New Roman"/>
          <w:sz w:val="26"/>
          <w:szCs w:val="26"/>
        </w:rPr>
        <w:t xml:space="preserve">  </w:t>
      </w:r>
      <w:r w:rsidR="00190A2F" w:rsidRPr="00190A2F">
        <w:rPr>
          <w:rFonts w:ascii="Times New Roman" w:hAnsi="Times New Roman"/>
          <w:i/>
          <w:sz w:val="26"/>
          <w:szCs w:val="26"/>
        </w:rPr>
        <w:t>Id.</w:t>
      </w:r>
      <w:r w:rsidR="00190A2F">
        <w:rPr>
          <w:rFonts w:ascii="Times New Roman" w:hAnsi="Times New Roman"/>
          <w:sz w:val="26"/>
          <w:szCs w:val="26"/>
        </w:rPr>
        <w:t xml:space="preserve"> at 12-13.</w:t>
      </w:r>
    </w:p>
    <w:p w:rsidR="00FD747D" w:rsidRDefault="00FD747D" w:rsidP="00373297">
      <w:pPr>
        <w:tabs>
          <w:tab w:val="center" w:pos="720"/>
        </w:tabs>
        <w:suppressAutoHyphens/>
        <w:spacing w:line="360" w:lineRule="auto"/>
        <w:rPr>
          <w:rFonts w:ascii="Times New Roman" w:hAnsi="Times New Roman"/>
          <w:sz w:val="26"/>
          <w:szCs w:val="26"/>
        </w:rPr>
      </w:pPr>
    </w:p>
    <w:p w:rsidR="000B6FD5" w:rsidRDefault="00FD747D" w:rsidP="00373297">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PULP </w:t>
      </w:r>
      <w:r w:rsidR="00F6606F">
        <w:rPr>
          <w:rFonts w:ascii="Times New Roman" w:hAnsi="Times New Roman"/>
          <w:sz w:val="26"/>
          <w:szCs w:val="26"/>
        </w:rPr>
        <w:t xml:space="preserve">also </w:t>
      </w:r>
      <w:r>
        <w:rPr>
          <w:rFonts w:ascii="Times New Roman" w:hAnsi="Times New Roman"/>
          <w:sz w:val="26"/>
          <w:szCs w:val="26"/>
        </w:rPr>
        <w:t xml:space="preserve">refers to a </w:t>
      </w:r>
      <w:r w:rsidR="00BC783D">
        <w:rPr>
          <w:rFonts w:ascii="Times New Roman" w:hAnsi="Times New Roman"/>
          <w:sz w:val="26"/>
          <w:szCs w:val="26"/>
        </w:rPr>
        <w:t xml:space="preserve">settlement agreement approved by the Commission at </w:t>
      </w:r>
      <w:r w:rsidR="00BC783D" w:rsidRPr="00BC783D">
        <w:rPr>
          <w:rFonts w:ascii="Times New Roman" w:hAnsi="Times New Roman"/>
          <w:i/>
          <w:sz w:val="26"/>
          <w:szCs w:val="26"/>
        </w:rPr>
        <w:t xml:space="preserve">Pa. PUC Law Bureau </w:t>
      </w:r>
      <w:r w:rsidR="00D075DD" w:rsidRPr="00BC783D">
        <w:rPr>
          <w:rFonts w:ascii="Times New Roman" w:hAnsi="Times New Roman"/>
          <w:i/>
          <w:sz w:val="26"/>
          <w:szCs w:val="26"/>
        </w:rPr>
        <w:t>Prosec</w:t>
      </w:r>
      <w:r w:rsidR="00D075DD">
        <w:rPr>
          <w:rFonts w:ascii="Times New Roman" w:hAnsi="Times New Roman"/>
          <w:i/>
          <w:sz w:val="26"/>
          <w:szCs w:val="26"/>
        </w:rPr>
        <w:t>u</w:t>
      </w:r>
      <w:r w:rsidR="00D075DD" w:rsidRPr="00BC783D">
        <w:rPr>
          <w:rFonts w:ascii="Times New Roman" w:hAnsi="Times New Roman"/>
          <w:i/>
          <w:sz w:val="26"/>
          <w:szCs w:val="26"/>
        </w:rPr>
        <w:t>tory</w:t>
      </w:r>
      <w:r w:rsidR="00BC783D" w:rsidRPr="00BC783D">
        <w:rPr>
          <w:rFonts w:ascii="Times New Roman" w:hAnsi="Times New Roman"/>
          <w:i/>
          <w:sz w:val="26"/>
          <w:szCs w:val="26"/>
        </w:rPr>
        <w:t xml:space="preserve"> Staff</w:t>
      </w:r>
      <w:r w:rsidR="00F6606F">
        <w:rPr>
          <w:rFonts w:ascii="Times New Roman" w:hAnsi="Times New Roman"/>
          <w:i/>
          <w:sz w:val="26"/>
          <w:szCs w:val="26"/>
        </w:rPr>
        <w:t xml:space="preserve"> v. PPL Electric Utilities Corp.</w:t>
      </w:r>
      <w:r w:rsidR="00CE0D83">
        <w:rPr>
          <w:rFonts w:ascii="Times New Roman" w:hAnsi="Times New Roman"/>
          <w:sz w:val="26"/>
          <w:szCs w:val="26"/>
        </w:rPr>
        <w:t xml:space="preserve">, </w:t>
      </w:r>
    </w:p>
    <w:p w:rsidR="00FD747D" w:rsidRDefault="00BC783D" w:rsidP="00373297">
      <w:pPr>
        <w:tabs>
          <w:tab w:val="center" w:pos="720"/>
        </w:tabs>
        <w:suppressAutoHyphens/>
        <w:spacing w:line="360" w:lineRule="auto"/>
        <w:rPr>
          <w:rFonts w:ascii="Times New Roman" w:hAnsi="Times New Roman"/>
          <w:sz w:val="26"/>
          <w:szCs w:val="26"/>
        </w:rPr>
      </w:pPr>
      <w:r>
        <w:rPr>
          <w:rFonts w:ascii="Times New Roman" w:hAnsi="Times New Roman"/>
          <w:sz w:val="26"/>
          <w:szCs w:val="26"/>
        </w:rPr>
        <w:t>Docket No. M-2009-2059414 (Order entered November 23, 2009) (</w:t>
      </w:r>
      <w:r w:rsidRPr="00BC783D">
        <w:rPr>
          <w:rFonts w:ascii="Times New Roman" w:hAnsi="Times New Roman"/>
          <w:i/>
          <w:sz w:val="26"/>
          <w:szCs w:val="26"/>
        </w:rPr>
        <w:t>Mechanicsburg Settlement</w:t>
      </w:r>
      <w:r>
        <w:rPr>
          <w:rFonts w:ascii="Times New Roman" w:hAnsi="Times New Roman"/>
          <w:sz w:val="26"/>
          <w:szCs w:val="26"/>
        </w:rPr>
        <w:t xml:space="preserve">), which required an updated CSR script, an updated training manual, </w:t>
      </w:r>
      <w:r w:rsidR="00DC2F02">
        <w:rPr>
          <w:rFonts w:ascii="Times New Roman" w:hAnsi="Times New Roman"/>
          <w:sz w:val="26"/>
          <w:szCs w:val="26"/>
        </w:rPr>
        <w:t xml:space="preserve">CSR training regarding termination calls, and training on medical certificate procedures.  PULP submits that the Commission should evaluate the proposed Settlement in light of “the repeated allegations of similar violations in the past and modify the terms to provide </w:t>
      </w:r>
      <w:r w:rsidR="00DC2F02">
        <w:rPr>
          <w:rFonts w:ascii="Times New Roman" w:hAnsi="Times New Roman"/>
          <w:sz w:val="26"/>
          <w:szCs w:val="26"/>
        </w:rPr>
        <w:lastRenderedPageBreak/>
        <w:t xml:space="preserve">a stronger, more effective deterrent.”  </w:t>
      </w:r>
      <w:r w:rsidR="00DC2F02" w:rsidRPr="00DC2F02">
        <w:rPr>
          <w:rFonts w:ascii="Times New Roman" w:hAnsi="Times New Roman"/>
          <w:i/>
          <w:sz w:val="26"/>
          <w:szCs w:val="26"/>
        </w:rPr>
        <w:t>Id</w:t>
      </w:r>
      <w:r w:rsidR="005815AA">
        <w:rPr>
          <w:rFonts w:ascii="Times New Roman" w:hAnsi="Times New Roman"/>
          <w:i/>
          <w:sz w:val="26"/>
          <w:szCs w:val="26"/>
        </w:rPr>
        <w:t>.</w:t>
      </w:r>
      <w:r w:rsidR="00DC2F02" w:rsidRPr="00DC2F02">
        <w:rPr>
          <w:rFonts w:ascii="Times New Roman" w:hAnsi="Times New Roman"/>
          <w:i/>
          <w:sz w:val="26"/>
          <w:szCs w:val="26"/>
        </w:rPr>
        <w:t xml:space="preserve"> </w:t>
      </w:r>
      <w:r w:rsidR="00DC2F02">
        <w:rPr>
          <w:rFonts w:ascii="Times New Roman" w:hAnsi="Times New Roman"/>
          <w:sz w:val="26"/>
          <w:szCs w:val="26"/>
        </w:rPr>
        <w:t>at 14.</w:t>
      </w:r>
      <w:r w:rsidR="00A35967">
        <w:rPr>
          <w:rFonts w:ascii="Times New Roman" w:hAnsi="Times New Roman"/>
          <w:sz w:val="26"/>
          <w:szCs w:val="26"/>
        </w:rPr>
        <w:t xml:space="preserve">  In particular, PULP points to the fourth factor that the Commission considers when evaluating a proposed settlement agreement, </w:t>
      </w:r>
      <w:r w:rsidR="00A35967" w:rsidRPr="00A35967">
        <w:rPr>
          <w:rFonts w:ascii="Times New Roman" w:hAnsi="Times New Roman"/>
          <w:i/>
          <w:sz w:val="26"/>
          <w:szCs w:val="26"/>
        </w:rPr>
        <w:t>infra</w:t>
      </w:r>
      <w:r w:rsidR="00A35967">
        <w:rPr>
          <w:rFonts w:ascii="Times New Roman" w:hAnsi="Times New Roman"/>
          <w:sz w:val="26"/>
          <w:szCs w:val="26"/>
        </w:rPr>
        <w:t>, and states that this standard requires stronger sanctions</w:t>
      </w:r>
      <w:r w:rsidR="00534256">
        <w:rPr>
          <w:rFonts w:ascii="Times New Roman" w:hAnsi="Times New Roman"/>
          <w:sz w:val="26"/>
          <w:szCs w:val="26"/>
        </w:rPr>
        <w:t xml:space="preserve">, since “previous efforts to modify internal practices have not resulted in preventing similar conduct.”  </w:t>
      </w:r>
      <w:r w:rsidR="00534256" w:rsidRPr="00534256">
        <w:rPr>
          <w:rFonts w:ascii="Times New Roman" w:hAnsi="Times New Roman"/>
          <w:i/>
          <w:sz w:val="26"/>
          <w:szCs w:val="26"/>
        </w:rPr>
        <w:t>Id.</w:t>
      </w:r>
      <w:r w:rsidR="00534256">
        <w:rPr>
          <w:rFonts w:ascii="Times New Roman" w:hAnsi="Times New Roman"/>
          <w:sz w:val="26"/>
          <w:szCs w:val="26"/>
        </w:rPr>
        <w:t xml:space="preserve"> at 16.</w:t>
      </w:r>
    </w:p>
    <w:p w:rsidR="00534256" w:rsidRDefault="00534256" w:rsidP="00373297">
      <w:pPr>
        <w:tabs>
          <w:tab w:val="center" w:pos="720"/>
        </w:tabs>
        <w:suppressAutoHyphens/>
        <w:spacing w:line="360" w:lineRule="auto"/>
        <w:rPr>
          <w:rFonts w:ascii="Times New Roman" w:hAnsi="Times New Roman"/>
          <w:sz w:val="26"/>
          <w:szCs w:val="26"/>
        </w:rPr>
      </w:pPr>
    </w:p>
    <w:p w:rsidR="00534256" w:rsidRDefault="00534256" w:rsidP="00373297">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conclusion, PULP states that </w:t>
      </w:r>
      <w:r w:rsidR="00D90890">
        <w:rPr>
          <w:rFonts w:ascii="Times New Roman" w:hAnsi="Times New Roman"/>
          <w:sz w:val="26"/>
          <w:szCs w:val="26"/>
        </w:rPr>
        <w:t>something different and innovative must be included in the proposed Settlement in order for it to meet the public interest requirement.  PULP suggests any or all of the following:</w:t>
      </w:r>
    </w:p>
    <w:p w:rsidR="00D90890" w:rsidRDefault="00D90890" w:rsidP="00C12FB4">
      <w:pPr>
        <w:numPr>
          <w:ilvl w:val="0"/>
          <w:numId w:val="4"/>
        </w:numPr>
        <w:tabs>
          <w:tab w:val="center" w:pos="720"/>
        </w:tabs>
        <w:suppressAutoHyphens/>
        <w:rPr>
          <w:rFonts w:ascii="Times New Roman" w:hAnsi="Times New Roman"/>
          <w:sz w:val="26"/>
          <w:szCs w:val="26"/>
        </w:rPr>
      </w:pPr>
      <w:r>
        <w:rPr>
          <w:rFonts w:ascii="Times New Roman" w:hAnsi="Times New Roman"/>
          <w:sz w:val="26"/>
          <w:szCs w:val="26"/>
        </w:rPr>
        <w:t>Adding a contribution to LIURP</w:t>
      </w:r>
      <w:r w:rsidR="005815AA">
        <w:rPr>
          <w:rFonts w:ascii="Times New Roman" w:hAnsi="Times New Roman"/>
          <w:sz w:val="26"/>
          <w:szCs w:val="26"/>
        </w:rPr>
        <w:t>;</w:t>
      </w:r>
    </w:p>
    <w:p w:rsidR="00D90890" w:rsidRDefault="00D90890" w:rsidP="00C12FB4">
      <w:pPr>
        <w:numPr>
          <w:ilvl w:val="0"/>
          <w:numId w:val="4"/>
        </w:numPr>
        <w:tabs>
          <w:tab w:val="center" w:pos="720"/>
        </w:tabs>
        <w:suppressAutoHyphens/>
        <w:rPr>
          <w:rFonts w:ascii="Times New Roman" w:hAnsi="Times New Roman"/>
          <w:sz w:val="26"/>
          <w:szCs w:val="26"/>
        </w:rPr>
      </w:pPr>
      <w:r>
        <w:rPr>
          <w:rFonts w:ascii="Times New Roman" w:hAnsi="Times New Roman"/>
          <w:sz w:val="26"/>
          <w:szCs w:val="26"/>
        </w:rPr>
        <w:t xml:space="preserve">Extending the current moratorium on Friday terminations until </w:t>
      </w:r>
      <w:r w:rsidR="000B6FD5">
        <w:rPr>
          <w:rFonts w:ascii="Times New Roman" w:hAnsi="Times New Roman"/>
          <w:sz w:val="26"/>
          <w:szCs w:val="26"/>
        </w:rPr>
        <w:t xml:space="preserve">    </w:t>
      </w:r>
      <w:r>
        <w:rPr>
          <w:rFonts w:ascii="Times New Roman" w:hAnsi="Times New Roman"/>
          <w:sz w:val="26"/>
          <w:szCs w:val="26"/>
        </w:rPr>
        <w:t>January 1, 2018</w:t>
      </w:r>
      <w:r w:rsidR="005815AA">
        <w:rPr>
          <w:rFonts w:ascii="Times New Roman" w:hAnsi="Times New Roman"/>
          <w:sz w:val="26"/>
          <w:szCs w:val="26"/>
        </w:rPr>
        <w:t>;</w:t>
      </w:r>
      <w:r w:rsidR="004A3C6D">
        <w:rPr>
          <w:rStyle w:val="FootnoteReference"/>
          <w:rFonts w:ascii="Times New Roman" w:hAnsi="Times New Roman"/>
          <w:sz w:val="26"/>
          <w:szCs w:val="26"/>
        </w:rPr>
        <w:footnoteReference w:id="4"/>
      </w:r>
    </w:p>
    <w:p w:rsidR="00BF60F1" w:rsidRDefault="004A3C6D" w:rsidP="005815AA">
      <w:pPr>
        <w:numPr>
          <w:ilvl w:val="0"/>
          <w:numId w:val="4"/>
        </w:numPr>
        <w:tabs>
          <w:tab w:val="center" w:pos="720"/>
        </w:tabs>
        <w:suppressAutoHyphens/>
        <w:rPr>
          <w:rFonts w:ascii="Times New Roman" w:hAnsi="Times New Roman"/>
          <w:sz w:val="26"/>
          <w:szCs w:val="26"/>
        </w:rPr>
      </w:pPr>
      <w:r>
        <w:rPr>
          <w:rFonts w:ascii="Times New Roman" w:hAnsi="Times New Roman"/>
          <w:sz w:val="26"/>
          <w:szCs w:val="26"/>
        </w:rPr>
        <w:t xml:space="preserve">Establishing a work group, including outside stakeholders such as </w:t>
      </w:r>
      <w:r w:rsidR="005641F3">
        <w:rPr>
          <w:rFonts w:ascii="Times New Roman" w:hAnsi="Times New Roman"/>
          <w:sz w:val="26"/>
          <w:szCs w:val="26"/>
        </w:rPr>
        <w:t>the Office of Consumer Advocate</w:t>
      </w:r>
      <w:r>
        <w:rPr>
          <w:rFonts w:ascii="Times New Roman" w:hAnsi="Times New Roman"/>
          <w:sz w:val="26"/>
          <w:szCs w:val="26"/>
        </w:rPr>
        <w:t>, AAA representatives, PULP and BCS to help develop and review training materials and scripts</w:t>
      </w:r>
      <w:r w:rsidR="005815AA">
        <w:rPr>
          <w:rFonts w:ascii="Times New Roman" w:hAnsi="Times New Roman"/>
          <w:sz w:val="26"/>
          <w:szCs w:val="26"/>
        </w:rPr>
        <w:t>.</w:t>
      </w:r>
    </w:p>
    <w:p w:rsidR="005413D9" w:rsidRDefault="005413D9" w:rsidP="005413D9">
      <w:pPr>
        <w:tabs>
          <w:tab w:val="center" w:pos="720"/>
        </w:tabs>
        <w:suppressAutoHyphens/>
        <w:rPr>
          <w:rFonts w:ascii="Times New Roman" w:hAnsi="Times New Roman"/>
          <w:sz w:val="26"/>
          <w:szCs w:val="26"/>
        </w:rPr>
      </w:pPr>
    </w:p>
    <w:p w:rsidR="005413D9" w:rsidRDefault="005413D9" w:rsidP="005413D9">
      <w:pPr>
        <w:tabs>
          <w:tab w:val="center" w:pos="720"/>
        </w:tabs>
        <w:suppressAutoHyphens/>
        <w:rPr>
          <w:rFonts w:ascii="Times New Roman" w:hAnsi="Times New Roman"/>
          <w:sz w:val="26"/>
          <w:szCs w:val="26"/>
        </w:rPr>
      </w:pPr>
    </w:p>
    <w:p w:rsidR="005413D9" w:rsidRDefault="00BF60F1" w:rsidP="005413D9">
      <w:pPr>
        <w:tabs>
          <w:tab w:val="center" w:pos="720"/>
        </w:tabs>
        <w:suppressAutoHyphens/>
        <w:spacing w:line="360" w:lineRule="auto"/>
        <w:jc w:val="center"/>
        <w:rPr>
          <w:rFonts w:ascii="Times New Roman" w:hAnsi="Times New Roman"/>
          <w:b/>
          <w:sz w:val="26"/>
          <w:szCs w:val="26"/>
        </w:rPr>
      </w:pPr>
      <w:r>
        <w:rPr>
          <w:rFonts w:ascii="Times New Roman" w:hAnsi="Times New Roman"/>
          <w:b/>
          <w:sz w:val="26"/>
          <w:szCs w:val="26"/>
        </w:rPr>
        <w:t>Reply Comments</w:t>
      </w:r>
    </w:p>
    <w:p w:rsidR="005413D9" w:rsidRDefault="005413D9" w:rsidP="005413D9">
      <w:pPr>
        <w:tabs>
          <w:tab w:val="center" w:pos="720"/>
        </w:tabs>
        <w:suppressAutoHyphens/>
        <w:spacing w:line="360" w:lineRule="auto"/>
        <w:rPr>
          <w:rFonts w:ascii="Times New Roman" w:hAnsi="Times New Roman"/>
          <w:b/>
          <w:sz w:val="26"/>
          <w:szCs w:val="26"/>
        </w:rPr>
      </w:pPr>
    </w:p>
    <w:p w:rsidR="00AD3000" w:rsidRDefault="005413D9" w:rsidP="005413D9">
      <w:pPr>
        <w:tabs>
          <w:tab w:val="center" w:pos="720"/>
        </w:tabs>
        <w:suppressAutoHyphens/>
        <w:spacing w:line="360" w:lineRule="auto"/>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00AD3000">
        <w:rPr>
          <w:rFonts w:ascii="Times New Roman" w:hAnsi="Times New Roman"/>
          <w:sz w:val="26"/>
          <w:szCs w:val="26"/>
        </w:rPr>
        <w:t>PPL’s Reply Comments state that PPL strongly disagrees with PULP’s proposal that the Settlement be modified.  PPL argues that settlements should not be modified in the absence of significant circumstances that warrant modification, which do not exist in this case.  PPL states that the case involves extended interactions between PPL and the customer over several months regarding his past due account.</w:t>
      </w:r>
      <w:r w:rsidR="00962152">
        <w:rPr>
          <w:rFonts w:ascii="Times New Roman" w:hAnsi="Times New Roman"/>
          <w:sz w:val="26"/>
          <w:szCs w:val="26"/>
        </w:rPr>
        <w:t xml:space="preserve">  After repeated termination notices and </w:t>
      </w:r>
      <w:r>
        <w:rPr>
          <w:rFonts w:ascii="Times New Roman" w:hAnsi="Times New Roman"/>
          <w:sz w:val="26"/>
          <w:szCs w:val="26"/>
        </w:rPr>
        <w:t xml:space="preserve">the </w:t>
      </w:r>
      <w:r w:rsidR="00962152">
        <w:rPr>
          <w:rFonts w:ascii="Times New Roman" w:hAnsi="Times New Roman"/>
          <w:sz w:val="26"/>
          <w:szCs w:val="26"/>
        </w:rPr>
        <w:t xml:space="preserve">failure of the customer to keep his payment arrangements, PPL terminated his service on Thursday, June 10, 2010.  “Approximately two weeks later, on June 25, 2010, the customer, who was 85 years old, passed away.  The situation was unfortunate, but it was not caused by the Company.  </w:t>
      </w:r>
      <w:r w:rsidR="00927006">
        <w:rPr>
          <w:rFonts w:ascii="Times New Roman" w:hAnsi="Times New Roman"/>
          <w:sz w:val="26"/>
          <w:szCs w:val="26"/>
        </w:rPr>
        <w:t>There was no cause of death listed, there was no fire and the electric termination did not occur during the winter months.”  Reply Comments at 2.</w:t>
      </w:r>
    </w:p>
    <w:p w:rsidR="00E2077F" w:rsidRDefault="00E2077F" w:rsidP="00AD3000">
      <w:pPr>
        <w:keepNext/>
        <w:tabs>
          <w:tab w:val="center" w:pos="720"/>
        </w:tabs>
        <w:suppressAutoHyphens/>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 xml:space="preserve">PPL states that the modifications to the Settlement proposed by PULP are irrelevant </w:t>
      </w:r>
      <w:r w:rsidR="00983AFB">
        <w:rPr>
          <w:rFonts w:ascii="Times New Roman" w:hAnsi="Times New Roman"/>
          <w:sz w:val="26"/>
          <w:szCs w:val="26"/>
        </w:rPr>
        <w:t>to the facts of this proceeding</w:t>
      </w:r>
      <w:r>
        <w:rPr>
          <w:rFonts w:ascii="Times New Roman" w:hAnsi="Times New Roman"/>
          <w:sz w:val="26"/>
          <w:szCs w:val="26"/>
        </w:rPr>
        <w:t>.  As an example, PPL points out that PULP has proposed a five-year extension of the current moratorium on Friday terminations, yet the termination</w:t>
      </w:r>
      <w:r w:rsidR="00983AFB">
        <w:rPr>
          <w:rFonts w:ascii="Times New Roman" w:hAnsi="Times New Roman"/>
          <w:sz w:val="26"/>
          <w:szCs w:val="26"/>
        </w:rPr>
        <w:t xml:space="preserve"> in this case did not occur on a Friday.  </w:t>
      </w:r>
      <w:r w:rsidR="00FF4BA6" w:rsidRPr="00FF4BA6">
        <w:rPr>
          <w:rFonts w:ascii="Times New Roman" w:hAnsi="Times New Roman"/>
          <w:i/>
          <w:sz w:val="26"/>
          <w:szCs w:val="26"/>
        </w:rPr>
        <w:t>Id.</w:t>
      </w:r>
      <w:r w:rsidR="00FF4BA6">
        <w:rPr>
          <w:rFonts w:ascii="Times New Roman" w:hAnsi="Times New Roman"/>
          <w:sz w:val="26"/>
          <w:szCs w:val="26"/>
        </w:rPr>
        <w:t xml:space="preserve">  </w:t>
      </w:r>
      <w:r w:rsidR="00983AFB">
        <w:rPr>
          <w:rFonts w:ascii="Times New Roman" w:hAnsi="Times New Roman"/>
          <w:sz w:val="26"/>
          <w:szCs w:val="26"/>
        </w:rPr>
        <w:t>PPL states that the issues raised by PULP are more appropriately raised in PPL’s universal service proceeding where all parties have notice and the opportunity to submit comments.  PPL also argues that</w:t>
      </w:r>
      <w:r w:rsidR="006A5C04">
        <w:rPr>
          <w:rFonts w:ascii="Times New Roman" w:hAnsi="Times New Roman"/>
          <w:sz w:val="26"/>
          <w:szCs w:val="26"/>
        </w:rPr>
        <w:t xml:space="preserve"> PULP should not be permitted to propose new conditions to the Settlement; rather, PULP should be limited to commenting whether the Settlement as a whole is reasonable.  PPL states that adopting PULP’s recommendations could force the parties to withdraw from the Settlement, which was entered into as a compromise of all issues between the Prosecutory Staff and PPL.</w:t>
      </w:r>
      <w:r w:rsidR="00FF4BA6">
        <w:rPr>
          <w:rFonts w:ascii="Times New Roman" w:hAnsi="Times New Roman"/>
          <w:sz w:val="26"/>
          <w:szCs w:val="26"/>
        </w:rPr>
        <w:t xml:space="preserve">  </w:t>
      </w:r>
      <w:r w:rsidR="00FF4BA6" w:rsidRPr="00FF4BA6">
        <w:rPr>
          <w:rFonts w:ascii="Times New Roman" w:hAnsi="Times New Roman"/>
          <w:i/>
          <w:sz w:val="26"/>
          <w:szCs w:val="26"/>
        </w:rPr>
        <w:t>Id.</w:t>
      </w:r>
      <w:r w:rsidR="00FF4BA6">
        <w:rPr>
          <w:rFonts w:ascii="Times New Roman" w:hAnsi="Times New Roman"/>
          <w:sz w:val="26"/>
          <w:szCs w:val="26"/>
        </w:rPr>
        <w:t xml:space="preserve"> at 3.</w:t>
      </w:r>
    </w:p>
    <w:p w:rsidR="00FF4BA6" w:rsidRDefault="00FF4BA6" w:rsidP="00AD3000">
      <w:pPr>
        <w:keepNext/>
        <w:tabs>
          <w:tab w:val="center" w:pos="720"/>
        </w:tabs>
        <w:suppressAutoHyphens/>
        <w:spacing w:line="360" w:lineRule="auto"/>
        <w:rPr>
          <w:rFonts w:ascii="Times New Roman" w:hAnsi="Times New Roman"/>
          <w:sz w:val="26"/>
          <w:szCs w:val="26"/>
        </w:rPr>
      </w:pPr>
    </w:p>
    <w:p w:rsidR="00FF4BA6" w:rsidRDefault="00A776F3" w:rsidP="00AD3000">
      <w:pPr>
        <w:keepNext/>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FF4BA6">
        <w:rPr>
          <w:rFonts w:ascii="Times New Roman" w:hAnsi="Times New Roman"/>
          <w:sz w:val="26"/>
          <w:szCs w:val="26"/>
        </w:rPr>
        <w:t xml:space="preserve">PPL agrees </w:t>
      </w:r>
      <w:r w:rsidR="000551D2">
        <w:rPr>
          <w:rFonts w:ascii="Times New Roman" w:hAnsi="Times New Roman"/>
          <w:sz w:val="26"/>
          <w:szCs w:val="26"/>
        </w:rPr>
        <w:t xml:space="preserve">with PULP </w:t>
      </w:r>
      <w:r w:rsidR="00FF4BA6">
        <w:rPr>
          <w:rFonts w:ascii="Times New Roman" w:hAnsi="Times New Roman"/>
          <w:sz w:val="26"/>
          <w:szCs w:val="26"/>
        </w:rPr>
        <w:t>that the Commission has the power to modify settlement agreements; however, the Commission cannot unilaterally change s</w:t>
      </w:r>
      <w:r w:rsidR="000551D2">
        <w:rPr>
          <w:rFonts w:ascii="Times New Roman" w:hAnsi="Times New Roman"/>
          <w:sz w:val="26"/>
          <w:szCs w:val="26"/>
        </w:rPr>
        <w:t>ettlement agreements without the consent</w:t>
      </w:r>
      <w:r w:rsidR="00FF4BA6">
        <w:rPr>
          <w:rFonts w:ascii="Times New Roman" w:hAnsi="Times New Roman"/>
          <w:sz w:val="26"/>
          <w:szCs w:val="26"/>
        </w:rPr>
        <w:t xml:space="preserve"> of the parties.  </w:t>
      </w:r>
      <w:r w:rsidR="000551D2">
        <w:rPr>
          <w:rFonts w:ascii="Times New Roman" w:hAnsi="Times New Roman"/>
          <w:sz w:val="26"/>
          <w:szCs w:val="26"/>
        </w:rPr>
        <w:t>If p</w:t>
      </w:r>
      <w:r w:rsidR="00F331E3">
        <w:rPr>
          <w:rFonts w:ascii="Times New Roman" w:hAnsi="Times New Roman"/>
          <w:sz w:val="26"/>
          <w:szCs w:val="26"/>
        </w:rPr>
        <w:t>arties do not agr</w:t>
      </w:r>
      <w:r w:rsidR="000551D2">
        <w:rPr>
          <w:rFonts w:ascii="Times New Roman" w:hAnsi="Times New Roman"/>
          <w:sz w:val="26"/>
          <w:szCs w:val="26"/>
        </w:rPr>
        <w:t>ee to revisions to a s</w:t>
      </w:r>
      <w:r w:rsidR="00F331E3">
        <w:rPr>
          <w:rFonts w:ascii="Times New Roman" w:hAnsi="Times New Roman"/>
          <w:sz w:val="26"/>
          <w:szCs w:val="26"/>
        </w:rPr>
        <w:t>ettlement</w:t>
      </w:r>
      <w:r w:rsidR="000551D2">
        <w:rPr>
          <w:rFonts w:ascii="Times New Roman" w:hAnsi="Times New Roman"/>
          <w:sz w:val="26"/>
          <w:szCs w:val="26"/>
        </w:rPr>
        <w:t xml:space="preserve"> agreement</w:t>
      </w:r>
      <w:r w:rsidR="00F331E3">
        <w:rPr>
          <w:rFonts w:ascii="Times New Roman" w:hAnsi="Times New Roman"/>
          <w:sz w:val="26"/>
          <w:szCs w:val="26"/>
        </w:rPr>
        <w:t xml:space="preserve">, they have the right to withdraw from </w:t>
      </w:r>
      <w:r w:rsidR="000551D2">
        <w:rPr>
          <w:rFonts w:ascii="Times New Roman" w:hAnsi="Times New Roman"/>
          <w:sz w:val="26"/>
          <w:szCs w:val="26"/>
        </w:rPr>
        <w:t>the s</w:t>
      </w:r>
      <w:r w:rsidR="00F331E3">
        <w:rPr>
          <w:rFonts w:ascii="Times New Roman" w:hAnsi="Times New Roman"/>
          <w:sz w:val="26"/>
          <w:szCs w:val="26"/>
        </w:rPr>
        <w:t>ettlement and proceed to litigation.  PPL does not believe that the Commission should modify settlements absent significant circumstances, which are not present in the instant proceeding.  PPL points out that, if the Commis</w:t>
      </w:r>
      <w:r>
        <w:rPr>
          <w:rFonts w:ascii="Times New Roman" w:hAnsi="Times New Roman"/>
          <w:sz w:val="26"/>
          <w:szCs w:val="26"/>
        </w:rPr>
        <w:t>sion begins a practice of modif</w:t>
      </w:r>
      <w:r w:rsidR="00F331E3">
        <w:rPr>
          <w:rFonts w:ascii="Times New Roman" w:hAnsi="Times New Roman"/>
          <w:sz w:val="26"/>
          <w:szCs w:val="26"/>
        </w:rPr>
        <w:t>ying settlements</w:t>
      </w:r>
      <w:r>
        <w:rPr>
          <w:rFonts w:ascii="Times New Roman" w:hAnsi="Times New Roman"/>
          <w:sz w:val="26"/>
          <w:szCs w:val="26"/>
        </w:rPr>
        <w:t>, parties will face uncertainty and, as a result, will be discouraged from entering into settlement agreements.  The elimination of uncertainty is a factor that a party considers when determining whether to enter into a settlement agreement.</w:t>
      </w:r>
      <w:r w:rsidR="000551D2">
        <w:rPr>
          <w:rFonts w:ascii="Times New Roman" w:hAnsi="Times New Roman"/>
          <w:sz w:val="26"/>
          <w:szCs w:val="26"/>
        </w:rPr>
        <w:t xml:space="preserve">  PPL points out that the Commission’s </w:t>
      </w:r>
      <w:r w:rsidR="0032636E">
        <w:rPr>
          <w:rFonts w:ascii="Times New Roman" w:hAnsi="Times New Roman"/>
          <w:sz w:val="26"/>
          <w:szCs w:val="26"/>
        </w:rPr>
        <w:t xml:space="preserve">Policy Statement at 52 Pa. Code § 69.1201, </w:t>
      </w:r>
      <w:r w:rsidR="0032636E" w:rsidRPr="009D1E77">
        <w:rPr>
          <w:rFonts w:ascii="Times New Roman" w:hAnsi="Times New Roman"/>
          <w:i/>
          <w:sz w:val="26"/>
          <w:szCs w:val="26"/>
        </w:rPr>
        <w:t>Factors and standards for evaluating litigated and settled proceedings involving violations of the Public Utility Code and Commission regulations—statement of policy</w:t>
      </w:r>
      <w:r w:rsidR="0032636E" w:rsidRPr="0024047F">
        <w:rPr>
          <w:rFonts w:ascii="Times New Roman" w:hAnsi="Times New Roman"/>
          <w:sz w:val="26"/>
          <w:szCs w:val="26"/>
        </w:rPr>
        <w:t xml:space="preserve"> (</w:t>
      </w:r>
      <w:r w:rsidR="0032636E" w:rsidRPr="00AF3539">
        <w:rPr>
          <w:rFonts w:ascii="Times New Roman" w:hAnsi="Times New Roman"/>
          <w:i/>
          <w:sz w:val="26"/>
          <w:szCs w:val="26"/>
        </w:rPr>
        <w:t>Policy Statement</w:t>
      </w:r>
      <w:r w:rsidR="0032636E" w:rsidRPr="0024047F">
        <w:rPr>
          <w:rFonts w:ascii="Times New Roman" w:hAnsi="Times New Roman"/>
          <w:sz w:val="26"/>
          <w:szCs w:val="26"/>
        </w:rPr>
        <w:t>)</w:t>
      </w:r>
      <w:r w:rsidR="0032636E">
        <w:rPr>
          <w:rFonts w:ascii="Times New Roman" w:hAnsi="Times New Roman"/>
          <w:sz w:val="26"/>
          <w:szCs w:val="26"/>
        </w:rPr>
        <w:t xml:space="preserve">, </w:t>
      </w:r>
      <w:r w:rsidR="000551D2">
        <w:rPr>
          <w:rFonts w:ascii="Times New Roman" w:hAnsi="Times New Roman"/>
          <w:sz w:val="26"/>
          <w:szCs w:val="26"/>
        </w:rPr>
        <w:t>provides that the parties in settled cases will be afforded flexibility in reaching amicable resolutions to complaints and other matters so long as the settlement is in the public interest.</w:t>
      </w:r>
      <w:r w:rsidR="00A64855">
        <w:rPr>
          <w:rFonts w:ascii="Times New Roman" w:hAnsi="Times New Roman"/>
          <w:sz w:val="26"/>
          <w:szCs w:val="26"/>
        </w:rPr>
        <w:t xml:space="preserve">  </w:t>
      </w:r>
      <w:r w:rsidR="000B6FD5">
        <w:rPr>
          <w:rFonts w:ascii="Times New Roman" w:hAnsi="Times New Roman"/>
          <w:sz w:val="26"/>
          <w:szCs w:val="26"/>
        </w:rPr>
        <w:t xml:space="preserve">                                </w:t>
      </w:r>
      <w:r w:rsidR="00A64855">
        <w:rPr>
          <w:rFonts w:ascii="Times New Roman" w:hAnsi="Times New Roman"/>
          <w:sz w:val="26"/>
          <w:szCs w:val="26"/>
        </w:rPr>
        <w:t>52 Pa. Code § 69.1201(b).  PPL submits that the instant Settlement is in the public interest and should not be modified.</w:t>
      </w:r>
      <w:r w:rsidR="005B5EA5" w:rsidRPr="005B5EA5">
        <w:rPr>
          <w:rFonts w:ascii="Times New Roman" w:hAnsi="Times New Roman"/>
          <w:i/>
          <w:sz w:val="26"/>
          <w:szCs w:val="26"/>
        </w:rPr>
        <w:t xml:space="preserve"> </w:t>
      </w:r>
      <w:r w:rsidR="005B5EA5">
        <w:rPr>
          <w:rFonts w:ascii="Times New Roman" w:hAnsi="Times New Roman"/>
          <w:i/>
          <w:sz w:val="26"/>
          <w:szCs w:val="26"/>
        </w:rPr>
        <w:t xml:space="preserve"> </w:t>
      </w:r>
      <w:r w:rsidR="005B5EA5" w:rsidRPr="00E22209">
        <w:rPr>
          <w:rFonts w:ascii="Times New Roman" w:hAnsi="Times New Roman"/>
          <w:i/>
          <w:sz w:val="26"/>
          <w:szCs w:val="26"/>
        </w:rPr>
        <w:t>Id.</w:t>
      </w:r>
      <w:r w:rsidR="005B5EA5">
        <w:rPr>
          <w:rFonts w:ascii="Times New Roman" w:hAnsi="Times New Roman"/>
          <w:sz w:val="26"/>
          <w:szCs w:val="26"/>
        </w:rPr>
        <w:t xml:space="preserve"> at 3-4.</w:t>
      </w:r>
    </w:p>
    <w:p w:rsidR="000B6FD5" w:rsidRDefault="00A64855" w:rsidP="00AD3000">
      <w:pPr>
        <w:keepNext/>
        <w:tabs>
          <w:tab w:val="center" w:pos="720"/>
        </w:tabs>
        <w:suppressAutoHyphens/>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 xml:space="preserve">With regard to PULP’s suggestion that PPL be directed to contribute </w:t>
      </w:r>
      <w:r w:rsidR="005028B6">
        <w:rPr>
          <w:rFonts w:ascii="Times New Roman" w:hAnsi="Times New Roman"/>
          <w:sz w:val="26"/>
          <w:szCs w:val="26"/>
        </w:rPr>
        <w:t xml:space="preserve">an additional </w:t>
      </w:r>
      <w:r>
        <w:rPr>
          <w:rFonts w:ascii="Times New Roman" w:hAnsi="Times New Roman"/>
          <w:sz w:val="26"/>
          <w:szCs w:val="26"/>
        </w:rPr>
        <w:t xml:space="preserve">$10,000 to its LIURP program, </w:t>
      </w:r>
      <w:r w:rsidR="0004493A">
        <w:rPr>
          <w:rFonts w:ascii="Times New Roman" w:hAnsi="Times New Roman"/>
          <w:sz w:val="26"/>
          <w:szCs w:val="26"/>
        </w:rPr>
        <w:t>PPL states that it already provides a significant level of funding for low-income weatherization, including LIURP and its Act 129 Winter Relief Assistance Program (WRAP).  In 2011, PPL will spend approximately $17 million on these programs.  PPL asse</w:t>
      </w:r>
      <w:r w:rsidR="005028B6">
        <w:rPr>
          <w:rFonts w:ascii="Times New Roman" w:hAnsi="Times New Roman"/>
          <w:sz w:val="26"/>
          <w:szCs w:val="26"/>
        </w:rPr>
        <w:t>r</w:t>
      </w:r>
      <w:r w:rsidR="0004493A">
        <w:rPr>
          <w:rFonts w:ascii="Times New Roman" w:hAnsi="Times New Roman"/>
          <w:sz w:val="26"/>
          <w:szCs w:val="26"/>
        </w:rPr>
        <w:t>ts that no other Pennsylvania electric or gas utility spend</w:t>
      </w:r>
      <w:r w:rsidR="005028B6">
        <w:rPr>
          <w:rFonts w:ascii="Times New Roman" w:hAnsi="Times New Roman"/>
          <w:sz w:val="26"/>
          <w:szCs w:val="26"/>
        </w:rPr>
        <w:t>s</w:t>
      </w:r>
      <w:r w:rsidR="0004493A">
        <w:rPr>
          <w:rFonts w:ascii="Times New Roman" w:hAnsi="Times New Roman"/>
          <w:sz w:val="26"/>
          <w:szCs w:val="26"/>
        </w:rPr>
        <w:t xml:space="preserve"> as much as PPL on low-income weatherization.</w:t>
      </w:r>
      <w:r w:rsidR="005028B6">
        <w:rPr>
          <w:rFonts w:ascii="Times New Roman" w:hAnsi="Times New Roman"/>
          <w:sz w:val="26"/>
          <w:szCs w:val="26"/>
        </w:rPr>
        <w:t xml:space="preserve">  For example, in 2009 PPL spent </w:t>
      </w:r>
    </w:p>
    <w:p w:rsidR="000B6FD5" w:rsidRDefault="005028B6" w:rsidP="00AD3000">
      <w:pPr>
        <w:keepNext/>
        <w:tabs>
          <w:tab w:val="center" w:pos="720"/>
        </w:tabs>
        <w:suppressAutoHyphens/>
        <w:spacing w:line="360" w:lineRule="auto"/>
        <w:rPr>
          <w:rFonts w:ascii="Times New Roman" w:hAnsi="Times New Roman"/>
          <w:sz w:val="26"/>
          <w:szCs w:val="26"/>
        </w:rPr>
      </w:pPr>
      <w:r>
        <w:rPr>
          <w:rFonts w:ascii="Times New Roman" w:hAnsi="Times New Roman"/>
          <w:sz w:val="26"/>
          <w:szCs w:val="26"/>
        </w:rPr>
        <w:t>$8.9 millio</w:t>
      </w:r>
      <w:r w:rsidR="005B5EA5">
        <w:rPr>
          <w:rFonts w:ascii="Times New Roman" w:hAnsi="Times New Roman"/>
          <w:sz w:val="26"/>
          <w:szCs w:val="26"/>
        </w:rPr>
        <w:t xml:space="preserve">n on LIURP; PECO Energy Company </w:t>
      </w:r>
      <w:r>
        <w:rPr>
          <w:rFonts w:ascii="Times New Roman" w:hAnsi="Times New Roman"/>
          <w:sz w:val="26"/>
          <w:szCs w:val="26"/>
        </w:rPr>
        <w:t xml:space="preserve">spent the next highest amount at </w:t>
      </w:r>
    </w:p>
    <w:p w:rsidR="00BA3C06" w:rsidRDefault="005028B6" w:rsidP="00AD3000">
      <w:pPr>
        <w:keepNext/>
        <w:tabs>
          <w:tab w:val="center" w:pos="720"/>
        </w:tabs>
        <w:suppressAutoHyphens/>
        <w:spacing w:line="360" w:lineRule="auto"/>
        <w:rPr>
          <w:rFonts w:ascii="Times New Roman" w:hAnsi="Times New Roman"/>
          <w:sz w:val="26"/>
          <w:szCs w:val="26"/>
        </w:rPr>
      </w:pPr>
      <w:r>
        <w:rPr>
          <w:rFonts w:ascii="Times New Roman" w:hAnsi="Times New Roman"/>
          <w:sz w:val="26"/>
          <w:szCs w:val="26"/>
        </w:rPr>
        <w:t>$3.1 million.</w:t>
      </w:r>
      <w:r w:rsidR="00E22209">
        <w:rPr>
          <w:rFonts w:ascii="Times New Roman" w:hAnsi="Times New Roman"/>
          <w:sz w:val="26"/>
          <w:szCs w:val="26"/>
        </w:rPr>
        <w:t xml:space="preserve">  </w:t>
      </w:r>
      <w:r w:rsidR="00E22209" w:rsidRPr="00E22209">
        <w:rPr>
          <w:rFonts w:ascii="Times New Roman" w:hAnsi="Times New Roman"/>
          <w:i/>
          <w:sz w:val="26"/>
          <w:szCs w:val="26"/>
        </w:rPr>
        <w:t>Id.</w:t>
      </w:r>
      <w:r w:rsidR="00E22209">
        <w:rPr>
          <w:rFonts w:ascii="Times New Roman" w:hAnsi="Times New Roman"/>
          <w:sz w:val="26"/>
          <w:szCs w:val="26"/>
        </w:rPr>
        <w:t xml:space="preserve"> at 5. </w:t>
      </w:r>
      <w:r>
        <w:rPr>
          <w:rFonts w:ascii="Times New Roman" w:hAnsi="Times New Roman"/>
          <w:sz w:val="26"/>
          <w:szCs w:val="26"/>
        </w:rPr>
        <w:t xml:space="preserve"> </w:t>
      </w:r>
    </w:p>
    <w:p w:rsidR="00BA3C06" w:rsidRDefault="00BA3C06" w:rsidP="00AD3000">
      <w:pPr>
        <w:keepNext/>
        <w:tabs>
          <w:tab w:val="center" w:pos="720"/>
        </w:tabs>
        <w:suppressAutoHyphens/>
        <w:spacing w:line="360" w:lineRule="auto"/>
        <w:rPr>
          <w:rFonts w:ascii="Times New Roman" w:hAnsi="Times New Roman"/>
          <w:sz w:val="26"/>
          <w:szCs w:val="26"/>
        </w:rPr>
      </w:pPr>
    </w:p>
    <w:p w:rsidR="00A64855" w:rsidRDefault="00BA3C06" w:rsidP="00AD3000">
      <w:pPr>
        <w:keepNext/>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5028B6">
        <w:rPr>
          <w:rFonts w:ascii="Times New Roman" w:hAnsi="Times New Roman"/>
          <w:sz w:val="26"/>
          <w:szCs w:val="26"/>
        </w:rPr>
        <w:t xml:space="preserve">PPL also disagrees with PULP’s suggestion that contributions </w:t>
      </w:r>
      <w:r w:rsidR="00E22209">
        <w:rPr>
          <w:rFonts w:ascii="Times New Roman" w:hAnsi="Times New Roman"/>
          <w:sz w:val="26"/>
          <w:szCs w:val="26"/>
        </w:rPr>
        <w:t>to Operation HELP are less punitive than LIURP co</w:t>
      </w:r>
      <w:r w:rsidR="005B5EA5">
        <w:rPr>
          <w:rFonts w:ascii="Times New Roman" w:hAnsi="Times New Roman"/>
          <w:sz w:val="26"/>
          <w:szCs w:val="26"/>
        </w:rPr>
        <w:t>ntributions</w:t>
      </w:r>
      <w:r w:rsidR="005028B6">
        <w:rPr>
          <w:rFonts w:ascii="Times New Roman" w:hAnsi="Times New Roman"/>
          <w:sz w:val="26"/>
          <w:szCs w:val="26"/>
        </w:rPr>
        <w:t>.</w:t>
      </w:r>
      <w:r w:rsidR="00E22209">
        <w:rPr>
          <w:rFonts w:ascii="Times New Roman" w:hAnsi="Times New Roman"/>
          <w:sz w:val="26"/>
          <w:szCs w:val="26"/>
        </w:rPr>
        <w:t xml:space="preserve">  PPL points out that the Operation HELP hardship fund provides assistance for </w:t>
      </w:r>
      <w:r w:rsidR="00E22209" w:rsidRPr="00BA3C06">
        <w:rPr>
          <w:rFonts w:ascii="Times New Roman" w:hAnsi="Times New Roman"/>
          <w:sz w:val="26"/>
          <w:szCs w:val="26"/>
          <w:u w:val="single"/>
        </w:rPr>
        <w:t>any</w:t>
      </w:r>
      <w:r>
        <w:rPr>
          <w:rFonts w:ascii="Times New Roman" w:hAnsi="Times New Roman"/>
          <w:sz w:val="26"/>
          <w:szCs w:val="26"/>
        </w:rPr>
        <w:t xml:space="preserve"> type of home energy bill, including </w:t>
      </w:r>
      <w:r w:rsidR="00E22209">
        <w:rPr>
          <w:rFonts w:ascii="Times New Roman" w:hAnsi="Times New Roman"/>
          <w:sz w:val="26"/>
          <w:szCs w:val="26"/>
        </w:rPr>
        <w:t>bills</w:t>
      </w:r>
      <w:r>
        <w:rPr>
          <w:rFonts w:ascii="Times New Roman" w:hAnsi="Times New Roman"/>
          <w:sz w:val="26"/>
          <w:szCs w:val="26"/>
        </w:rPr>
        <w:t xml:space="preserve"> for natural gas</w:t>
      </w:r>
      <w:r w:rsidR="00E22209">
        <w:rPr>
          <w:rFonts w:ascii="Times New Roman" w:hAnsi="Times New Roman"/>
          <w:sz w:val="26"/>
          <w:szCs w:val="26"/>
        </w:rPr>
        <w:t>, bills for fuel oil, and bills for coal.</w:t>
      </w:r>
      <w:r>
        <w:rPr>
          <w:rFonts w:ascii="Times New Roman" w:hAnsi="Times New Roman"/>
          <w:sz w:val="26"/>
          <w:szCs w:val="26"/>
        </w:rPr>
        <w:t xml:space="preserve">  Therefore, the suggestion that contributions to Operation HELP are returned to PPL is incorrect.  In addition, Operation HELP targets applicants who are confronted with hardships, including death of the primary wage earner, serious injury or illness, and families with infants or elderly members.  Given these factors, PPL believes that </w:t>
      </w:r>
      <w:r w:rsidR="0047619F">
        <w:rPr>
          <w:rFonts w:ascii="Times New Roman" w:hAnsi="Times New Roman"/>
          <w:sz w:val="26"/>
          <w:szCs w:val="26"/>
        </w:rPr>
        <w:t>it is appropriate for the Company to contribute funds under the Settlement to Operation HELP to assist customers with hardships.</w:t>
      </w:r>
      <w:r w:rsidR="00746319">
        <w:rPr>
          <w:rFonts w:ascii="Times New Roman" w:hAnsi="Times New Roman"/>
          <w:sz w:val="26"/>
          <w:szCs w:val="26"/>
        </w:rPr>
        <w:t xml:space="preserve">  </w:t>
      </w:r>
      <w:r w:rsidR="00746319" w:rsidRPr="00746319">
        <w:rPr>
          <w:rFonts w:ascii="Times New Roman" w:hAnsi="Times New Roman"/>
          <w:i/>
          <w:sz w:val="26"/>
          <w:szCs w:val="26"/>
        </w:rPr>
        <w:t>Id.</w:t>
      </w:r>
      <w:r w:rsidR="00746319">
        <w:rPr>
          <w:rFonts w:ascii="Times New Roman" w:hAnsi="Times New Roman"/>
          <w:sz w:val="26"/>
          <w:szCs w:val="26"/>
        </w:rPr>
        <w:t xml:space="preserve"> at 5-6.</w:t>
      </w:r>
    </w:p>
    <w:p w:rsidR="0047619F" w:rsidRDefault="0047619F" w:rsidP="00AD3000">
      <w:pPr>
        <w:keepNext/>
        <w:tabs>
          <w:tab w:val="center" w:pos="720"/>
        </w:tabs>
        <w:suppressAutoHyphens/>
        <w:spacing w:line="360" w:lineRule="auto"/>
        <w:rPr>
          <w:rFonts w:ascii="Times New Roman" w:hAnsi="Times New Roman"/>
          <w:sz w:val="26"/>
          <w:szCs w:val="26"/>
        </w:rPr>
      </w:pPr>
    </w:p>
    <w:p w:rsidR="0047619F" w:rsidRDefault="0047619F" w:rsidP="00AD3000">
      <w:pPr>
        <w:keepNext/>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PPL </w:t>
      </w:r>
      <w:r w:rsidR="00B51262">
        <w:rPr>
          <w:rFonts w:ascii="Times New Roman" w:hAnsi="Times New Roman"/>
          <w:sz w:val="26"/>
          <w:szCs w:val="26"/>
        </w:rPr>
        <w:t xml:space="preserve">also </w:t>
      </w:r>
      <w:r>
        <w:rPr>
          <w:rFonts w:ascii="Times New Roman" w:hAnsi="Times New Roman"/>
          <w:sz w:val="26"/>
          <w:szCs w:val="26"/>
        </w:rPr>
        <w:t xml:space="preserve">argues that </w:t>
      </w:r>
      <w:r w:rsidR="00B51262">
        <w:rPr>
          <w:rFonts w:ascii="Times New Roman" w:hAnsi="Times New Roman"/>
          <w:sz w:val="26"/>
          <w:szCs w:val="26"/>
        </w:rPr>
        <w:t xml:space="preserve">PULP’s proposed modifications to the non-financial terms of the Settlement should not be adopted.  </w:t>
      </w:r>
      <w:r w:rsidR="00B51262" w:rsidRPr="00B51262">
        <w:rPr>
          <w:rFonts w:ascii="Times New Roman" w:hAnsi="Times New Roman"/>
          <w:i/>
          <w:sz w:val="26"/>
          <w:szCs w:val="26"/>
        </w:rPr>
        <w:t>Id.</w:t>
      </w:r>
      <w:r w:rsidR="00B51262">
        <w:rPr>
          <w:rFonts w:ascii="Times New Roman" w:hAnsi="Times New Roman"/>
          <w:sz w:val="26"/>
          <w:szCs w:val="26"/>
        </w:rPr>
        <w:t xml:space="preserve"> at 6.</w:t>
      </w:r>
      <w:r w:rsidR="000D711F">
        <w:rPr>
          <w:rFonts w:ascii="Times New Roman" w:hAnsi="Times New Roman"/>
          <w:sz w:val="26"/>
          <w:szCs w:val="26"/>
        </w:rPr>
        <w:t xml:space="preserve">  PPL disagrees with PULP’s recommendation that PPL refer customers to OnTrack even if they have zero income.  PPL states that this recommendation conflicts with PPL’s approved Universal Service </w:t>
      </w:r>
      <w:r w:rsidR="00C0059C">
        <w:rPr>
          <w:rFonts w:ascii="Times New Roman" w:hAnsi="Times New Roman"/>
          <w:sz w:val="26"/>
          <w:szCs w:val="26"/>
        </w:rPr>
        <w:t xml:space="preserve">and Energy Conservation Plan (USP) </w:t>
      </w:r>
      <w:r w:rsidR="000D711F">
        <w:rPr>
          <w:rFonts w:ascii="Times New Roman" w:hAnsi="Times New Roman"/>
          <w:sz w:val="26"/>
          <w:szCs w:val="26"/>
        </w:rPr>
        <w:t>for 2011-2013</w:t>
      </w:r>
      <w:r w:rsidR="00C0059C">
        <w:rPr>
          <w:rFonts w:ascii="Times New Roman" w:hAnsi="Times New Roman"/>
          <w:sz w:val="26"/>
          <w:szCs w:val="26"/>
        </w:rPr>
        <w:t xml:space="preserve"> at Docket No. M-2010-2179796</w:t>
      </w:r>
      <w:r w:rsidR="000D711F">
        <w:rPr>
          <w:rFonts w:ascii="Times New Roman" w:hAnsi="Times New Roman"/>
          <w:sz w:val="26"/>
          <w:szCs w:val="26"/>
        </w:rPr>
        <w:t>, under which OnTrack applicants must have a source of income for the practical r</w:t>
      </w:r>
      <w:r w:rsidR="00746319">
        <w:rPr>
          <w:rFonts w:ascii="Times New Roman" w:hAnsi="Times New Roman"/>
          <w:sz w:val="26"/>
          <w:szCs w:val="26"/>
        </w:rPr>
        <w:t xml:space="preserve">eason that </w:t>
      </w:r>
      <w:r w:rsidR="000D711F">
        <w:rPr>
          <w:rFonts w:ascii="Times New Roman" w:hAnsi="Times New Roman"/>
          <w:sz w:val="26"/>
          <w:szCs w:val="26"/>
        </w:rPr>
        <w:t xml:space="preserve">a source of income </w:t>
      </w:r>
      <w:r w:rsidR="00746319">
        <w:rPr>
          <w:rFonts w:ascii="Times New Roman" w:hAnsi="Times New Roman"/>
          <w:sz w:val="26"/>
          <w:szCs w:val="26"/>
        </w:rPr>
        <w:t xml:space="preserve">is needed </w:t>
      </w:r>
      <w:r w:rsidR="000D711F">
        <w:rPr>
          <w:rFonts w:ascii="Times New Roman" w:hAnsi="Times New Roman"/>
          <w:sz w:val="26"/>
          <w:szCs w:val="26"/>
        </w:rPr>
        <w:t>to pay even the reduced monthly bills that are offered through OnTrack.</w:t>
      </w:r>
      <w:r w:rsidR="00C0059C">
        <w:rPr>
          <w:rFonts w:ascii="Times New Roman" w:hAnsi="Times New Roman"/>
          <w:sz w:val="26"/>
          <w:szCs w:val="26"/>
        </w:rPr>
        <w:t xml:space="preserve">  PPL also states that parties to that proceeding entered into a settlement that was approved by the Commissio</w:t>
      </w:r>
      <w:r w:rsidR="00F70F97">
        <w:rPr>
          <w:rFonts w:ascii="Times New Roman" w:hAnsi="Times New Roman"/>
          <w:sz w:val="26"/>
          <w:szCs w:val="26"/>
        </w:rPr>
        <w:t>n by Order entered on May 5, 201</w:t>
      </w:r>
      <w:r w:rsidR="00C0059C">
        <w:rPr>
          <w:rFonts w:ascii="Times New Roman" w:hAnsi="Times New Roman"/>
          <w:sz w:val="26"/>
          <w:szCs w:val="26"/>
        </w:rPr>
        <w:t xml:space="preserve">1.  PPL argues that </w:t>
      </w:r>
      <w:r w:rsidR="00C0059C">
        <w:rPr>
          <w:rFonts w:ascii="Times New Roman" w:hAnsi="Times New Roman"/>
          <w:sz w:val="26"/>
          <w:szCs w:val="26"/>
        </w:rPr>
        <w:lastRenderedPageBreak/>
        <w:t xml:space="preserve">it is inappropriate for PULP to recommend changes to </w:t>
      </w:r>
      <w:r w:rsidR="00D90CD9">
        <w:rPr>
          <w:rFonts w:ascii="Times New Roman" w:hAnsi="Times New Roman"/>
          <w:sz w:val="26"/>
          <w:szCs w:val="26"/>
        </w:rPr>
        <w:t xml:space="preserve">its approved USP, and that PULP is misusing the instant proceeding in an attempt to get broad policy changes that should be considered only in the Company’s USP proceedings.  </w:t>
      </w:r>
      <w:r w:rsidR="00D90CD9" w:rsidRPr="00D90CD9">
        <w:rPr>
          <w:rFonts w:ascii="Times New Roman" w:hAnsi="Times New Roman"/>
          <w:i/>
          <w:sz w:val="26"/>
          <w:szCs w:val="26"/>
        </w:rPr>
        <w:t>Id.</w:t>
      </w:r>
      <w:r w:rsidR="00D90CD9">
        <w:rPr>
          <w:rFonts w:ascii="Times New Roman" w:hAnsi="Times New Roman"/>
          <w:sz w:val="26"/>
          <w:szCs w:val="26"/>
        </w:rPr>
        <w:t xml:space="preserve"> at 6-7.  Second, referring customers with zero income to </w:t>
      </w:r>
      <w:r w:rsidR="00D075DD">
        <w:rPr>
          <w:rFonts w:ascii="Times New Roman" w:hAnsi="Times New Roman"/>
          <w:sz w:val="26"/>
          <w:szCs w:val="26"/>
        </w:rPr>
        <w:t>OnTrack</w:t>
      </w:r>
      <w:r w:rsidR="00D90CD9">
        <w:rPr>
          <w:rFonts w:ascii="Times New Roman" w:hAnsi="Times New Roman"/>
          <w:sz w:val="26"/>
          <w:szCs w:val="26"/>
        </w:rPr>
        <w:t xml:space="preserve"> could create a false sense of expectation for them, and these customers will be upset and frustrated when they learn that they do not qualify for OnTrack.  It also would be an </w:t>
      </w:r>
      <w:r w:rsidR="000465A2">
        <w:rPr>
          <w:rFonts w:ascii="Times New Roman" w:hAnsi="Times New Roman"/>
          <w:sz w:val="26"/>
          <w:szCs w:val="26"/>
        </w:rPr>
        <w:t>in</w:t>
      </w:r>
      <w:r w:rsidR="00D90CD9">
        <w:rPr>
          <w:rFonts w:ascii="Times New Roman" w:hAnsi="Times New Roman"/>
          <w:sz w:val="26"/>
          <w:szCs w:val="26"/>
        </w:rPr>
        <w:t xml:space="preserve">efficient use of time and resources by the </w:t>
      </w:r>
      <w:r w:rsidR="001217C0">
        <w:rPr>
          <w:rFonts w:ascii="Times New Roman" w:hAnsi="Times New Roman"/>
          <w:sz w:val="26"/>
          <w:szCs w:val="26"/>
        </w:rPr>
        <w:t xml:space="preserve">administering </w:t>
      </w:r>
      <w:r w:rsidR="00D90CD9">
        <w:rPr>
          <w:rFonts w:ascii="Times New Roman" w:hAnsi="Times New Roman"/>
          <w:sz w:val="26"/>
          <w:szCs w:val="26"/>
        </w:rPr>
        <w:t>agencies</w:t>
      </w:r>
      <w:r w:rsidR="001217C0">
        <w:rPr>
          <w:rFonts w:ascii="Times New Roman" w:hAnsi="Times New Roman"/>
          <w:sz w:val="26"/>
          <w:szCs w:val="26"/>
        </w:rPr>
        <w:t>.  PPL has worked hard over the years to ensure that the agencies receive valid, qualifying referrals.  Third, PPL implemented a new system in 2009 under w</w:t>
      </w:r>
      <w:r w:rsidR="00F70F97">
        <w:rPr>
          <w:rFonts w:ascii="Times New Roman" w:hAnsi="Times New Roman"/>
          <w:sz w:val="26"/>
          <w:szCs w:val="26"/>
        </w:rPr>
        <w:t>hich CSRs automatically provide</w:t>
      </w:r>
      <w:r w:rsidR="001217C0">
        <w:rPr>
          <w:rFonts w:ascii="Times New Roman" w:hAnsi="Times New Roman"/>
          <w:sz w:val="26"/>
          <w:szCs w:val="26"/>
        </w:rPr>
        <w:t xml:space="preserve"> information </w:t>
      </w:r>
      <w:r w:rsidR="00746319">
        <w:rPr>
          <w:rFonts w:ascii="Times New Roman" w:hAnsi="Times New Roman"/>
          <w:sz w:val="26"/>
          <w:szCs w:val="26"/>
        </w:rPr>
        <w:t xml:space="preserve">regarding </w:t>
      </w:r>
      <w:r w:rsidR="001217C0">
        <w:rPr>
          <w:rFonts w:ascii="Times New Roman" w:hAnsi="Times New Roman"/>
          <w:sz w:val="26"/>
          <w:szCs w:val="26"/>
        </w:rPr>
        <w:t>Op</w:t>
      </w:r>
      <w:r w:rsidR="00746319">
        <w:rPr>
          <w:rFonts w:ascii="Times New Roman" w:hAnsi="Times New Roman"/>
          <w:sz w:val="26"/>
          <w:szCs w:val="26"/>
        </w:rPr>
        <w:t xml:space="preserve">eration HELP or LIHEAP to low-income </w:t>
      </w:r>
      <w:r w:rsidR="001217C0">
        <w:rPr>
          <w:rFonts w:ascii="Times New Roman" w:hAnsi="Times New Roman"/>
          <w:sz w:val="26"/>
          <w:szCs w:val="26"/>
        </w:rPr>
        <w:t>customers who are establishing payment agree</w:t>
      </w:r>
      <w:r w:rsidR="00746319">
        <w:rPr>
          <w:rFonts w:ascii="Times New Roman" w:hAnsi="Times New Roman"/>
          <w:sz w:val="26"/>
          <w:szCs w:val="26"/>
        </w:rPr>
        <w:t>ments</w:t>
      </w:r>
      <w:r w:rsidR="001217C0">
        <w:rPr>
          <w:rFonts w:ascii="Times New Roman" w:hAnsi="Times New Roman"/>
          <w:sz w:val="26"/>
          <w:szCs w:val="26"/>
        </w:rPr>
        <w:t>.</w:t>
      </w:r>
      <w:r w:rsidR="00557700">
        <w:rPr>
          <w:rFonts w:ascii="Times New Roman" w:hAnsi="Times New Roman"/>
          <w:sz w:val="26"/>
          <w:szCs w:val="26"/>
        </w:rPr>
        <w:t xml:space="preserve">  In other words, CSRs already have access to programs that benefit low-income customers.  The customer in the inst</w:t>
      </w:r>
      <w:r w:rsidR="00101B20">
        <w:rPr>
          <w:rFonts w:ascii="Times New Roman" w:hAnsi="Times New Roman"/>
          <w:sz w:val="26"/>
          <w:szCs w:val="26"/>
        </w:rPr>
        <w:t>ant case was referred to Operati</w:t>
      </w:r>
      <w:r w:rsidR="00557700">
        <w:rPr>
          <w:rFonts w:ascii="Times New Roman" w:hAnsi="Times New Roman"/>
          <w:sz w:val="26"/>
          <w:szCs w:val="26"/>
        </w:rPr>
        <w:t>on HELP by PPL’s CSR on May 26, 2010.</w:t>
      </w:r>
      <w:r w:rsidR="002217F8">
        <w:rPr>
          <w:rFonts w:ascii="Times New Roman" w:hAnsi="Times New Roman"/>
          <w:sz w:val="26"/>
          <w:szCs w:val="26"/>
        </w:rPr>
        <w:t xml:space="preserve">  </w:t>
      </w:r>
      <w:r w:rsidR="002217F8" w:rsidRPr="002217F8">
        <w:rPr>
          <w:rFonts w:ascii="Times New Roman" w:hAnsi="Times New Roman"/>
          <w:i/>
          <w:sz w:val="26"/>
          <w:szCs w:val="26"/>
        </w:rPr>
        <w:t>Id.</w:t>
      </w:r>
      <w:r w:rsidR="002217F8">
        <w:rPr>
          <w:rFonts w:ascii="Times New Roman" w:hAnsi="Times New Roman"/>
          <w:sz w:val="26"/>
          <w:szCs w:val="26"/>
        </w:rPr>
        <w:t xml:space="preserve"> at 7.</w:t>
      </w:r>
    </w:p>
    <w:p w:rsidR="00557700" w:rsidRDefault="00557700" w:rsidP="00AD3000">
      <w:pPr>
        <w:keepNext/>
        <w:tabs>
          <w:tab w:val="center" w:pos="720"/>
        </w:tabs>
        <w:suppressAutoHyphens/>
        <w:spacing w:line="360" w:lineRule="auto"/>
        <w:rPr>
          <w:rFonts w:ascii="Times New Roman" w:hAnsi="Times New Roman"/>
          <w:sz w:val="26"/>
          <w:szCs w:val="26"/>
        </w:rPr>
      </w:pPr>
    </w:p>
    <w:p w:rsidR="008C430C" w:rsidRDefault="00557700" w:rsidP="008C430C">
      <w:pPr>
        <w:keepNext/>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PPL further disagrees with PULP’s assertion that other recent settlements contain terms that duplicate the terms of the instant Settlement.  PPL states that the instant case involved the Company’s confidentiality policy for customers with special circumstances</w:t>
      </w:r>
      <w:r w:rsidR="002217F8">
        <w:rPr>
          <w:rFonts w:ascii="Times New Roman" w:hAnsi="Times New Roman"/>
          <w:sz w:val="26"/>
          <w:szCs w:val="26"/>
        </w:rPr>
        <w:t>,</w:t>
      </w:r>
      <w:r>
        <w:rPr>
          <w:rFonts w:ascii="Times New Roman" w:hAnsi="Times New Roman"/>
          <w:sz w:val="26"/>
          <w:szCs w:val="26"/>
        </w:rPr>
        <w:t xml:space="preserve"> and </w:t>
      </w:r>
      <w:r w:rsidR="002217F8">
        <w:rPr>
          <w:rFonts w:ascii="Times New Roman" w:hAnsi="Times New Roman"/>
          <w:sz w:val="26"/>
          <w:szCs w:val="26"/>
        </w:rPr>
        <w:t xml:space="preserve">that </w:t>
      </w:r>
      <w:r>
        <w:rPr>
          <w:rFonts w:ascii="Times New Roman" w:hAnsi="Times New Roman"/>
          <w:sz w:val="26"/>
          <w:szCs w:val="26"/>
        </w:rPr>
        <w:t>the training under the Settlement is focused primarily on that issue.  None of the cases cited by PULP involved that issue.</w:t>
      </w:r>
      <w:r w:rsidR="00B82934">
        <w:rPr>
          <w:rFonts w:ascii="Times New Roman" w:hAnsi="Times New Roman"/>
          <w:sz w:val="26"/>
          <w:szCs w:val="26"/>
        </w:rPr>
        <w:t xml:space="preserve">  PPL also states that the customer confidentiality training </w:t>
      </w:r>
      <w:r w:rsidR="002217F8">
        <w:rPr>
          <w:rFonts w:ascii="Times New Roman" w:hAnsi="Times New Roman"/>
          <w:sz w:val="26"/>
          <w:szCs w:val="26"/>
        </w:rPr>
        <w:t>provisions in the instant Settlement do</w:t>
      </w:r>
      <w:r w:rsidR="00B82934">
        <w:rPr>
          <w:rFonts w:ascii="Times New Roman" w:hAnsi="Times New Roman"/>
          <w:sz w:val="26"/>
          <w:szCs w:val="26"/>
        </w:rPr>
        <w:t xml:space="preserve"> not conflict</w:t>
      </w:r>
      <w:r w:rsidR="008C430C">
        <w:rPr>
          <w:rFonts w:ascii="Times New Roman" w:hAnsi="Times New Roman"/>
          <w:sz w:val="26"/>
          <w:szCs w:val="26"/>
        </w:rPr>
        <w:t xml:space="preserve"> with prior training</w:t>
      </w:r>
      <w:r w:rsidR="002217F8">
        <w:rPr>
          <w:rFonts w:ascii="Times New Roman" w:hAnsi="Times New Roman"/>
          <w:sz w:val="26"/>
          <w:szCs w:val="26"/>
        </w:rPr>
        <w:t xml:space="preserve"> provisions</w:t>
      </w:r>
      <w:r w:rsidR="008C430C">
        <w:rPr>
          <w:rFonts w:ascii="Times New Roman" w:hAnsi="Times New Roman"/>
          <w:sz w:val="26"/>
          <w:szCs w:val="26"/>
        </w:rPr>
        <w:t>:</w:t>
      </w:r>
      <w:r w:rsidR="00B82934">
        <w:rPr>
          <w:rFonts w:ascii="Times New Roman" w:hAnsi="Times New Roman"/>
          <w:sz w:val="26"/>
          <w:szCs w:val="26"/>
        </w:rPr>
        <w:t xml:space="preserve">  </w:t>
      </w:r>
    </w:p>
    <w:p w:rsidR="008C430C" w:rsidRDefault="008C430C" w:rsidP="008C430C">
      <w:pPr>
        <w:keepNext/>
        <w:tabs>
          <w:tab w:val="center" w:pos="720"/>
        </w:tabs>
        <w:suppressAutoHyphens/>
        <w:ind w:left="1440"/>
        <w:rPr>
          <w:rFonts w:ascii="Times New Roman" w:hAnsi="Times New Roman"/>
          <w:sz w:val="26"/>
          <w:szCs w:val="26"/>
        </w:rPr>
      </w:pPr>
    </w:p>
    <w:p w:rsidR="00557700" w:rsidRDefault="00B82934" w:rsidP="00101B20">
      <w:pPr>
        <w:keepNext/>
        <w:tabs>
          <w:tab w:val="center" w:pos="720"/>
        </w:tabs>
        <w:suppressAutoHyphens/>
        <w:ind w:left="1440" w:right="1440"/>
        <w:rPr>
          <w:rFonts w:ascii="Times New Roman" w:hAnsi="Times New Roman"/>
          <w:sz w:val="26"/>
          <w:szCs w:val="26"/>
        </w:rPr>
      </w:pPr>
      <w:r>
        <w:rPr>
          <w:rFonts w:ascii="Times New Roman" w:hAnsi="Times New Roman"/>
          <w:sz w:val="26"/>
          <w:szCs w:val="26"/>
        </w:rPr>
        <w:t>PPL Electric did not develop a new policy regarding the disclosure of account information for AAA caseworkers calling on behalf of their clients.  The Company’s existing procedures recognize that there are certain circumstances when disclosing customer information is acceptable in the interest of assisting a vulnerable household.  Examples include customers [who] are in the hospital, elderly, hard of hearing, cannot speak English or mentally impaired</w:t>
      </w:r>
      <w:r w:rsidR="008C430C">
        <w:rPr>
          <w:rFonts w:ascii="Times New Roman" w:hAnsi="Times New Roman"/>
          <w:sz w:val="26"/>
          <w:szCs w:val="26"/>
        </w:rPr>
        <w:t>.  The training provided by the Company to its CSRs was simply a reinforcement of an existing policy.</w:t>
      </w:r>
    </w:p>
    <w:p w:rsidR="008C430C" w:rsidRDefault="008C430C" w:rsidP="008C430C">
      <w:pPr>
        <w:keepNext/>
        <w:tabs>
          <w:tab w:val="center" w:pos="720"/>
        </w:tabs>
        <w:suppressAutoHyphens/>
        <w:ind w:left="1440" w:right="720"/>
        <w:rPr>
          <w:rFonts w:ascii="Times New Roman" w:hAnsi="Times New Roman"/>
          <w:sz w:val="26"/>
          <w:szCs w:val="26"/>
        </w:rPr>
      </w:pPr>
    </w:p>
    <w:p w:rsidR="008C430C" w:rsidRDefault="008C430C" w:rsidP="00AD3000">
      <w:pPr>
        <w:keepNext/>
        <w:tabs>
          <w:tab w:val="center" w:pos="720"/>
        </w:tabs>
        <w:suppressAutoHyphens/>
        <w:spacing w:line="360" w:lineRule="auto"/>
        <w:rPr>
          <w:rFonts w:ascii="Times New Roman" w:hAnsi="Times New Roman"/>
          <w:sz w:val="26"/>
          <w:szCs w:val="26"/>
        </w:rPr>
      </w:pPr>
      <w:r w:rsidRPr="008C430C">
        <w:rPr>
          <w:rFonts w:ascii="Times New Roman" w:hAnsi="Times New Roman"/>
          <w:i/>
          <w:sz w:val="26"/>
          <w:szCs w:val="26"/>
        </w:rPr>
        <w:t>Id.</w:t>
      </w:r>
      <w:r>
        <w:rPr>
          <w:rFonts w:ascii="Times New Roman" w:hAnsi="Times New Roman"/>
          <w:sz w:val="26"/>
          <w:szCs w:val="26"/>
        </w:rPr>
        <w:t xml:space="preserve"> at 8.</w:t>
      </w:r>
    </w:p>
    <w:p w:rsidR="008C430C" w:rsidRDefault="008C430C" w:rsidP="00AD3000">
      <w:pPr>
        <w:keepNext/>
        <w:tabs>
          <w:tab w:val="center" w:pos="720"/>
        </w:tabs>
        <w:suppressAutoHyphens/>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PPL disagrees with PULP’s statement that PPL has had repeated violations</w:t>
      </w:r>
      <w:r w:rsidR="009A0873">
        <w:rPr>
          <w:rFonts w:ascii="Times New Roman" w:hAnsi="Times New Roman"/>
          <w:sz w:val="26"/>
          <w:szCs w:val="26"/>
        </w:rPr>
        <w:t xml:space="preserve"> that should be considered</w:t>
      </w:r>
      <w:r w:rsidR="008A6FD1">
        <w:rPr>
          <w:rFonts w:ascii="Times New Roman" w:hAnsi="Times New Roman"/>
          <w:sz w:val="26"/>
          <w:szCs w:val="26"/>
        </w:rPr>
        <w:t>, and opposes PULP’s request that the Settlement be modified by ordering PPL to establish a work group to develop training materials and scripts.</w:t>
      </w:r>
      <w:r w:rsidR="009A0873">
        <w:rPr>
          <w:rFonts w:ascii="Times New Roman" w:hAnsi="Times New Roman"/>
          <w:sz w:val="26"/>
          <w:szCs w:val="26"/>
        </w:rPr>
        <w:t xml:space="preserve">  </w:t>
      </w:r>
      <w:r w:rsidR="00D07B78">
        <w:rPr>
          <w:rFonts w:ascii="Times New Roman" w:hAnsi="Times New Roman"/>
          <w:sz w:val="26"/>
          <w:szCs w:val="26"/>
        </w:rPr>
        <w:t xml:space="preserve">First, </w:t>
      </w:r>
      <w:r w:rsidR="009A0873">
        <w:rPr>
          <w:rFonts w:ascii="Times New Roman" w:hAnsi="Times New Roman"/>
          <w:sz w:val="26"/>
          <w:szCs w:val="26"/>
        </w:rPr>
        <w:t xml:space="preserve">PPL refers to the high levels of customer satisfaction with the quality of service provided </w:t>
      </w:r>
      <w:r w:rsidR="002217F8">
        <w:rPr>
          <w:rFonts w:ascii="Times New Roman" w:hAnsi="Times New Roman"/>
          <w:sz w:val="26"/>
          <w:szCs w:val="26"/>
        </w:rPr>
        <w:t xml:space="preserve">by </w:t>
      </w:r>
      <w:r w:rsidR="009A0873">
        <w:rPr>
          <w:rFonts w:ascii="Times New Roman" w:hAnsi="Times New Roman"/>
          <w:sz w:val="26"/>
          <w:szCs w:val="26"/>
        </w:rPr>
        <w:t>its CSRs.</w:t>
      </w:r>
      <w:r w:rsidR="008A6FD1">
        <w:rPr>
          <w:rFonts w:ascii="Times New Roman" w:hAnsi="Times New Roman"/>
          <w:sz w:val="26"/>
          <w:szCs w:val="26"/>
        </w:rPr>
        <w:t xml:space="preserve">  The Commission’s annual </w:t>
      </w:r>
      <w:r w:rsidR="008A6FD1" w:rsidRPr="00F0162F">
        <w:rPr>
          <w:rFonts w:ascii="Times New Roman" w:hAnsi="Times New Roman"/>
          <w:i/>
          <w:sz w:val="26"/>
          <w:szCs w:val="26"/>
        </w:rPr>
        <w:t>Utility Consumer Activitie</w:t>
      </w:r>
      <w:r w:rsidR="00F0162F" w:rsidRPr="00F0162F">
        <w:rPr>
          <w:rFonts w:ascii="Times New Roman" w:hAnsi="Times New Roman"/>
          <w:i/>
          <w:sz w:val="26"/>
          <w:szCs w:val="26"/>
        </w:rPr>
        <w:t>s Report and Evaluation</w:t>
      </w:r>
      <w:r w:rsidR="000E6265">
        <w:rPr>
          <w:rStyle w:val="FootnoteReference"/>
          <w:rFonts w:ascii="Times New Roman" w:hAnsi="Times New Roman"/>
          <w:sz w:val="26"/>
          <w:szCs w:val="26"/>
        </w:rPr>
        <w:t xml:space="preserve"> </w:t>
      </w:r>
      <w:r w:rsidR="00F0162F">
        <w:rPr>
          <w:rFonts w:ascii="Times New Roman" w:hAnsi="Times New Roman"/>
          <w:sz w:val="26"/>
          <w:szCs w:val="26"/>
        </w:rPr>
        <w:t>for 2008 and 2009 show that PPL had solid performance regarding complaints and compliance with regulations</w:t>
      </w:r>
      <w:r w:rsidR="005005DE">
        <w:rPr>
          <w:rFonts w:ascii="Times New Roman" w:hAnsi="Times New Roman"/>
          <w:sz w:val="26"/>
          <w:szCs w:val="26"/>
        </w:rPr>
        <w:t>, with complaint rates and justified informal complaint rates much lower than the industry average.  PPL’s infraction rate for 2009 (0.02) was among the lowest for electric utilities.  PPL argues that these results are indicative of the effective processes, training and communicatio</w:t>
      </w:r>
      <w:r w:rsidR="00545BB1">
        <w:rPr>
          <w:rFonts w:ascii="Times New Roman" w:hAnsi="Times New Roman"/>
          <w:sz w:val="26"/>
          <w:szCs w:val="26"/>
        </w:rPr>
        <w:t xml:space="preserve">ns for its CSRs.  </w:t>
      </w:r>
      <w:r w:rsidR="00D07B78">
        <w:rPr>
          <w:rFonts w:ascii="Times New Roman" w:hAnsi="Times New Roman"/>
          <w:sz w:val="26"/>
          <w:szCs w:val="26"/>
        </w:rPr>
        <w:t xml:space="preserve">Second, </w:t>
      </w:r>
      <w:r w:rsidR="005005DE">
        <w:rPr>
          <w:rFonts w:ascii="Times New Roman" w:hAnsi="Times New Roman"/>
          <w:sz w:val="26"/>
          <w:szCs w:val="26"/>
        </w:rPr>
        <w:t xml:space="preserve">PPL already has worked with Commission staff to embed various automated scripts into its call flow process.  </w:t>
      </w:r>
      <w:r w:rsidR="00AE676F">
        <w:rPr>
          <w:rFonts w:ascii="Times New Roman" w:hAnsi="Times New Roman"/>
          <w:sz w:val="26"/>
          <w:szCs w:val="26"/>
        </w:rPr>
        <w:t>It conducts routine call monitoring of its CSRs, and provides timely feedback to supervisors when CSRs are not meeting expectations.  PPL provides call monitoring results to its technical training group, which updates or revises training procedures as appropriate.</w:t>
      </w:r>
      <w:r w:rsidR="00545BB1">
        <w:rPr>
          <w:rFonts w:ascii="Times New Roman" w:hAnsi="Times New Roman"/>
          <w:sz w:val="26"/>
          <w:szCs w:val="26"/>
        </w:rPr>
        <w:t xml:space="preserve">  </w:t>
      </w:r>
      <w:r w:rsidR="00D07B78">
        <w:rPr>
          <w:rFonts w:ascii="Times New Roman" w:hAnsi="Times New Roman"/>
          <w:sz w:val="26"/>
          <w:szCs w:val="26"/>
        </w:rPr>
        <w:t xml:space="preserve">Third, </w:t>
      </w:r>
      <w:r w:rsidR="00545BB1">
        <w:rPr>
          <w:rFonts w:ascii="Times New Roman" w:hAnsi="Times New Roman"/>
          <w:sz w:val="26"/>
          <w:szCs w:val="26"/>
        </w:rPr>
        <w:t xml:space="preserve">CSRs must know over 100 technical processes to respond </w:t>
      </w:r>
      <w:r w:rsidR="000E6265">
        <w:rPr>
          <w:rFonts w:ascii="Times New Roman" w:hAnsi="Times New Roman"/>
          <w:sz w:val="26"/>
          <w:szCs w:val="26"/>
        </w:rPr>
        <w:t xml:space="preserve">to </w:t>
      </w:r>
      <w:r w:rsidR="00545BB1">
        <w:rPr>
          <w:rFonts w:ascii="Times New Roman" w:hAnsi="Times New Roman"/>
          <w:sz w:val="26"/>
          <w:szCs w:val="26"/>
        </w:rPr>
        <w:t>customer requests and inquiries.  It would be impractical, time consuming and difficult to bring a work group with limited or no knowledge of PPL’s internal processes and computer systems up to speed, even if the focus were only on collect</w:t>
      </w:r>
      <w:r w:rsidR="000E6265">
        <w:rPr>
          <w:rFonts w:ascii="Times New Roman" w:hAnsi="Times New Roman"/>
          <w:sz w:val="26"/>
          <w:szCs w:val="26"/>
        </w:rPr>
        <w:t>ion-</w:t>
      </w:r>
      <w:r w:rsidR="00545BB1">
        <w:rPr>
          <w:rFonts w:ascii="Times New Roman" w:hAnsi="Times New Roman"/>
          <w:sz w:val="26"/>
          <w:szCs w:val="26"/>
        </w:rPr>
        <w:t>related issues.  PPL sees limited value in establishing such an advisory group, especially when the level of customer satisfaction already is high.</w:t>
      </w:r>
      <w:r w:rsidR="00651C6F">
        <w:rPr>
          <w:rFonts w:ascii="Times New Roman" w:hAnsi="Times New Roman"/>
          <w:sz w:val="26"/>
          <w:szCs w:val="26"/>
        </w:rPr>
        <w:t xml:space="preserve">  Fourth, creating a work</w:t>
      </w:r>
      <w:r w:rsidR="00D07B78">
        <w:rPr>
          <w:rFonts w:ascii="Times New Roman" w:hAnsi="Times New Roman"/>
          <w:sz w:val="26"/>
          <w:szCs w:val="26"/>
        </w:rPr>
        <w:t xml:space="preserve"> group would increase the Company’s costs, which in turn would increase customers’ rates.  PPL does not believe that this would be appropriate.  Finally, </w:t>
      </w:r>
      <w:r w:rsidR="00D66841">
        <w:rPr>
          <w:rFonts w:ascii="Times New Roman" w:hAnsi="Times New Roman"/>
          <w:sz w:val="26"/>
          <w:szCs w:val="26"/>
        </w:rPr>
        <w:t>PPL believes that the Commission has sufficient processes in place to fulfill its oversight obligation over PPL.  PPL has worked diligently and in good faith with Commission staff to address compliance issues and concerns.</w:t>
      </w:r>
    </w:p>
    <w:p w:rsidR="00D66841" w:rsidRDefault="00D66841" w:rsidP="00AD3000">
      <w:pPr>
        <w:keepNext/>
        <w:tabs>
          <w:tab w:val="center" w:pos="720"/>
        </w:tabs>
        <w:suppressAutoHyphens/>
        <w:spacing w:line="360" w:lineRule="auto"/>
        <w:rPr>
          <w:rFonts w:ascii="Times New Roman" w:hAnsi="Times New Roman"/>
          <w:sz w:val="26"/>
          <w:szCs w:val="26"/>
        </w:rPr>
      </w:pPr>
    </w:p>
    <w:p w:rsidR="00D66841" w:rsidRDefault="00101B20" w:rsidP="00AD3000">
      <w:pPr>
        <w:keepNext/>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D66841">
        <w:rPr>
          <w:rFonts w:ascii="Times New Roman" w:hAnsi="Times New Roman"/>
          <w:sz w:val="26"/>
          <w:szCs w:val="26"/>
        </w:rPr>
        <w:t>In conclusion, PPL states that the Settlement was entered into only after investigation and numerous settlement conferences.  It is the Commission’</w:t>
      </w:r>
      <w:r w:rsidR="00953178">
        <w:rPr>
          <w:rFonts w:ascii="Times New Roman" w:hAnsi="Times New Roman"/>
          <w:sz w:val="26"/>
          <w:szCs w:val="26"/>
        </w:rPr>
        <w:t>s policy to promo</w:t>
      </w:r>
      <w:r w:rsidR="00D66841">
        <w:rPr>
          <w:rFonts w:ascii="Times New Roman" w:hAnsi="Times New Roman"/>
          <w:sz w:val="26"/>
          <w:szCs w:val="26"/>
        </w:rPr>
        <w:t xml:space="preserve">te settlements, and parties in settled cases are to be afforded flexibility in reaching </w:t>
      </w:r>
      <w:r w:rsidR="00D66841">
        <w:rPr>
          <w:rFonts w:ascii="Times New Roman" w:hAnsi="Times New Roman"/>
          <w:sz w:val="26"/>
          <w:szCs w:val="26"/>
        </w:rPr>
        <w:lastRenderedPageBreak/>
        <w:t>amicable resolutions of matters that are in the public interest.  PPL submits that the proposed Settlement is in the public interest and should be approved without modification.</w:t>
      </w:r>
    </w:p>
    <w:p w:rsidR="000E6265" w:rsidRPr="00AD3000" w:rsidRDefault="000E6265" w:rsidP="00AD3000">
      <w:pPr>
        <w:keepNext/>
        <w:tabs>
          <w:tab w:val="center" w:pos="720"/>
        </w:tabs>
        <w:suppressAutoHyphens/>
        <w:spacing w:line="360" w:lineRule="auto"/>
        <w:rPr>
          <w:rFonts w:ascii="Times New Roman" w:hAnsi="Times New Roman"/>
          <w:sz w:val="26"/>
          <w:szCs w:val="26"/>
        </w:rPr>
      </w:pPr>
    </w:p>
    <w:p w:rsidR="00981A7A" w:rsidRPr="00040C3A" w:rsidRDefault="00742294" w:rsidP="00AB404B">
      <w:pPr>
        <w:keepNext/>
        <w:tabs>
          <w:tab w:val="center" w:pos="720"/>
        </w:tabs>
        <w:suppressAutoHyphens/>
        <w:spacing w:line="360" w:lineRule="auto"/>
        <w:jc w:val="center"/>
        <w:rPr>
          <w:rFonts w:ascii="Times New Roman" w:hAnsi="Times New Roman"/>
          <w:b/>
          <w:sz w:val="26"/>
          <w:szCs w:val="26"/>
        </w:rPr>
      </w:pPr>
      <w:r w:rsidRPr="00742294">
        <w:rPr>
          <w:rFonts w:ascii="Times New Roman" w:hAnsi="Times New Roman"/>
          <w:b/>
          <w:sz w:val="26"/>
          <w:szCs w:val="26"/>
        </w:rPr>
        <w:t>Discussion</w:t>
      </w:r>
    </w:p>
    <w:p w:rsidR="00981A7A" w:rsidRDefault="00981A7A" w:rsidP="00AB404B">
      <w:pPr>
        <w:keepNext/>
        <w:tabs>
          <w:tab w:val="center" w:pos="720"/>
        </w:tabs>
        <w:suppressAutoHyphens/>
        <w:spacing w:line="360" w:lineRule="auto"/>
        <w:rPr>
          <w:rFonts w:ascii="Times New Roman" w:hAnsi="Times New Roman"/>
          <w:sz w:val="26"/>
          <w:szCs w:val="26"/>
        </w:rPr>
      </w:pPr>
    </w:p>
    <w:p w:rsidR="00EA684A" w:rsidRDefault="00981A7A">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0D6043">
        <w:rPr>
          <w:rFonts w:ascii="Times New Roman" w:hAnsi="Times New Roman"/>
          <w:sz w:val="26"/>
          <w:szCs w:val="26"/>
        </w:rPr>
        <w:t>Pursuant to our Regulations at 52 Pa. Code §</w:t>
      </w:r>
      <w:r>
        <w:rPr>
          <w:rFonts w:ascii="Times New Roman" w:hAnsi="Times New Roman"/>
          <w:sz w:val="26"/>
          <w:szCs w:val="26"/>
        </w:rPr>
        <w:t> </w:t>
      </w:r>
      <w:r w:rsidRPr="000D6043">
        <w:rPr>
          <w:rFonts w:ascii="Times New Roman" w:hAnsi="Times New Roman"/>
          <w:sz w:val="26"/>
          <w:szCs w:val="26"/>
        </w:rPr>
        <w:t xml:space="preserve">5.231, it is the Commission’s policy to promote settlements.  </w:t>
      </w:r>
      <w:r w:rsidR="005D21D4">
        <w:rPr>
          <w:rFonts w:ascii="Times New Roman" w:hAnsi="Times New Roman"/>
          <w:sz w:val="26"/>
          <w:szCs w:val="26"/>
        </w:rPr>
        <w:t>T</w:t>
      </w:r>
      <w:r w:rsidRPr="000D6043">
        <w:rPr>
          <w:rFonts w:ascii="Times New Roman" w:hAnsi="Times New Roman"/>
          <w:sz w:val="26"/>
          <w:szCs w:val="26"/>
        </w:rPr>
        <w:t>he Commission must</w:t>
      </w:r>
      <w:r w:rsidR="0083754C">
        <w:rPr>
          <w:rFonts w:ascii="Times New Roman" w:hAnsi="Times New Roman"/>
          <w:sz w:val="26"/>
          <w:szCs w:val="26"/>
        </w:rPr>
        <w:t>, however,</w:t>
      </w:r>
      <w:r w:rsidRPr="000D6043">
        <w:rPr>
          <w:rFonts w:ascii="Times New Roman" w:hAnsi="Times New Roman"/>
          <w:sz w:val="26"/>
          <w:szCs w:val="26"/>
        </w:rPr>
        <w:t xml:space="preserve"> review proposed settlements to determine whether the terms are in the public interest. </w:t>
      </w:r>
      <w:r w:rsidR="00C7677D">
        <w:rPr>
          <w:rFonts w:ascii="Times New Roman" w:hAnsi="Times New Roman"/>
          <w:sz w:val="26"/>
          <w:szCs w:val="26"/>
        </w:rPr>
        <w:t xml:space="preserve"> </w:t>
      </w:r>
      <w:r w:rsidRPr="000D6043">
        <w:rPr>
          <w:rFonts w:ascii="Times New Roman" w:hAnsi="Times New Roman"/>
          <w:i/>
          <w:sz w:val="26"/>
          <w:szCs w:val="26"/>
        </w:rPr>
        <w:t>Pa. PUC v. Philadelphia Gas Works</w:t>
      </w:r>
      <w:r w:rsidRPr="000D6043">
        <w:rPr>
          <w:rFonts w:ascii="Times New Roman" w:hAnsi="Times New Roman"/>
          <w:sz w:val="26"/>
          <w:szCs w:val="26"/>
        </w:rPr>
        <w:t xml:space="preserve">, </w:t>
      </w:r>
      <w:r w:rsidR="006E6252">
        <w:rPr>
          <w:rFonts w:ascii="Times New Roman" w:hAnsi="Times New Roman"/>
          <w:sz w:val="26"/>
          <w:szCs w:val="26"/>
        </w:rPr>
        <w:t xml:space="preserve">Docket No. </w:t>
      </w:r>
      <w:r w:rsidRPr="000D6043">
        <w:rPr>
          <w:rFonts w:ascii="Times New Roman" w:hAnsi="Times New Roman"/>
          <w:sz w:val="26"/>
          <w:szCs w:val="26"/>
        </w:rPr>
        <w:t>M-00031768 (</w:t>
      </w:r>
      <w:r w:rsidR="00E6337E">
        <w:rPr>
          <w:rFonts w:ascii="Times New Roman" w:hAnsi="Times New Roman"/>
          <w:sz w:val="26"/>
          <w:szCs w:val="26"/>
        </w:rPr>
        <w:t xml:space="preserve">Order entered </w:t>
      </w:r>
      <w:r w:rsidRPr="000D6043">
        <w:rPr>
          <w:rFonts w:ascii="Times New Roman" w:hAnsi="Times New Roman"/>
          <w:sz w:val="26"/>
          <w:szCs w:val="26"/>
        </w:rPr>
        <w:t>January 7, 2004)</w:t>
      </w:r>
      <w:r>
        <w:rPr>
          <w:rFonts w:ascii="Times New Roman" w:hAnsi="Times New Roman"/>
          <w:sz w:val="26"/>
          <w:szCs w:val="26"/>
        </w:rPr>
        <w:t xml:space="preserve">; </w:t>
      </w:r>
    </w:p>
    <w:p w:rsidR="00742294" w:rsidRDefault="0083754C">
      <w:pPr>
        <w:tabs>
          <w:tab w:val="center" w:pos="720"/>
        </w:tabs>
        <w:suppressAutoHyphens/>
        <w:spacing w:line="360" w:lineRule="auto"/>
        <w:rPr>
          <w:rFonts w:ascii="Times New Roman" w:hAnsi="Times New Roman"/>
          <w:sz w:val="26"/>
          <w:szCs w:val="26"/>
        </w:rPr>
      </w:pPr>
      <w:r w:rsidRPr="0083754C">
        <w:rPr>
          <w:rFonts w:ascii="Times New Roman" w:hAnsi="Times New Roman"/>
          <w:i/>
          <w:sz w:val="26"/>
          <w:szCs w:val="26"/>
        </w:rPr>
        <w:t>Pa. PUC v. CS Water and Sewer Assoc.</w:t>
      </w:r>
      <w:r>
        <w:rPr>
          <w:rFonts w:ascii="Times New Roman" w:hAnsi="Times New Roman"/>
          <w:sz w:val="26"/>
          <w:szCs w:val="26"/>
        </w:rPr>
        <w:t xml:space="preserve">, 74 Pa. P.U.C. 767 (1991); </w:t>
      </w:r>
      <w:r w:rsidRPr="008C17DD">
        <w:rPr>
          <w:rFonts w:ascii="Times New Roman" w:hAnsi="Times New Roman"/>
          <w:i/>
          <w:sz w:val="26"/>
          <w:szCs w:val="26"/>
        </w:rPr>
        <w:t>Pa. PUC v. Philadelphia Electric Co.</w:t>
      </w:r>
      <w:r>
        <w:rPr>
          <w:rFonts w:ascii="Times New Roman" w:hAnsi="Times New Roman"/>
          <w:sz w:val="26"/>
          <w:szCs w:val="26"/>
        </w:rPr>
        <w:t>, 60 Pa. P.U.C. 1 (1985).</w:t>
      </w:r>
      <w:r w:rsidR="00981A7A" w:rsidRPr="000D6043">
        <w:rPr>
          <w:rFonts w:ascii="Times New Roman" w:hAnsi="Times New Roman"/>
          <w:sz w:val="26"/>
          <w:szCs w:val="26"/>
        </w:rPr>
        <w:t xml:space="preserve"> </w:t>
      </w:r>
      <w:r w:rsidR="00121777">
        <w:rPr>
          <w:rFonts w:ascii="Times New Roman" w:hAnsi="Times New Roman"/>
          <w:sz w:val="26"/>
          <w:szCs w:val="26"/>
        </w:rPr>
        <w:t xml:space="preserve"> The Prosecutory Staff submits that the proposed Settlement is in the public interest and is consistent with the Commission’s </w:t>
      </w:r>
      <w:r w:rsidR="00121777" w:rsidRPr="00AF3539">
        <w:rPr>
          <w:rFonts w:ascii="Times New Roman" w:hAnsi="Times New Roman"/>
          <w:i/>
          <w:sz w:val="26"/>
          <w:szCs w:val="26"/>
        </w:rPr>
        <w:t>Policy Statement</w:t>
      </w:r>
      <w:r w:rsidR="00121777">
        <w:rPr>
          <w:rFonts w:ascii="Times New Roman" w:hAnsi="Times New Roman"/>
          <w:sz w:val="26"/>
          <w:szCs w:val="26"/>
        </w:rPr>
        <w:t xml:space="preserve">.  </w:t>
      </w:r>
      <w:r w:rsidR="0003040D">
        <w:rPr>
          <w:rFonts w:ascii="Times New Roman" w:hAnsi="Times New Roman"/>
          <w:sz w:val="26"/>
          <w:szCs w:val="26"/>
        </w:rPr>
        <w:t>T</w:t>
      </w:r>
      <w:r w:rsidR="0068279B">
        <w:rPr>
          <w:rFonts w:ascii="Times New Roman" w:hAnsi="Times New Roman"/>
          <w:sz w:val="26"/>
          <w:szCs w:val="26"/>
        </w:rPr>
        <w:t>he Prosecutory Staff provided an analysis</w:t>
      </w:r>
      <w:r w:rsidR="00250F5C">
        <w:rPr>
          <w:rFonts w:ascii="Times New Roman" w:hAnsi="Times New Roman"/>
          <w:sz w:val="26"/>
          <w:szCs w:val="26"/>
        </w:rPr>
        <w:t xml:space="preserve"> of </w:t>
      </w:r>
      <w:r w:rsidR="00AF3539">
        <w:rPr>
          <w:rFonts w:ascii="Times New Roman" w:hAnsi="Times New Roman"/>
          <w:sz w:val="26"/>
          <w:szCs w:val="26"/>
        </w:rPr>
        <w:t xml:space="preserve">the factors to be considered under the Commission’s </w:t>
      </w:r>
      <w:r w:rsidR="00AF3539" w:rsidRPr="00AF3539">
        <w:rPr>
          <w:rFonts w:ascii="Times New Roman" w:hAnsi="Times New Roman"/>
          <w:i/>
          <w:sz w:val="26"/>
          <w:szCs w:val="26"/>
        </w:rPr>
        <w:t>Policy Statement</w:t>
      </w:r>
      <w:r w:rsidR="00AF3539">
        <w:rPr>
          <w:rFonts w:ascii="Times New Roman" w:hAnsi="Times New Roman"/>
          <w:i/>
          <w:sz w:val="26"/>
          <w:szCs w:val="26"/>
        </w:rPr>
        <w:t xml:space="preserve"> </w:t>
      </w:r>
      <w:r w:rsidR="00AF3539">
        <w:rPr>
          <w:rFonts w:ascii="Times New Roman" w:hAnsi="Times New Roman"/>
          <w:sz w:val="26"/>
          <w:szCs w:val="26"/>
        </w:rPr>
        <w:t xml:space="preserve">as they relate to the proposed Settlement.  </w:t>
      </w:r>
      <w:r w:rsidR="00121777">
        <w:rPr>
          <w:rFonts w:ascii="Times New Roman" w:hAnsi="Times New Roman"/>
          <w:sz w:val="26"/>
          <w:szCs w:val="26"/>
        </w:rPr>
        <w:t>Prosecutory Staff Statement of Support at 9</w:t>
      </w:r>
      <w:r w:rsidR="00AF3539">
        <w:rPr>
          <w:rFonts w:ascii="Times New Roman" w:hAnsi="Times New Roman"/>
          <w:sz w:val="26"/>
          <w:szCs w:val="26"/>
        </w:rPr>
        <w:t>-12</w:t>
      </w:r>
      <w:r w:rsidR="00121777">
        <w:rPr>
          <w:rFonts w:ascii="Times New Roman" w:hAnsi="Times New Roman"/>
          <w:sz w:val="26"/>
          <w:szCs w:val="26"/>
        </w:rPr>
        <w:t>.</w:t>
      </w:r>
    </w:p>
    <w:p w:rsidR="00AF3539" w:rsidRDefault="00AF3539">
      <w:pPr>
        <w:tabs>
          <w:tab w:val="center" w:pos="720"/>
        </w:tabs>
        <w:suppressAutoHyphens/>
        <w:spacing w:line="360" w:lineRule="auto"/>
        <w:rPr>
          <w:rFonts w:ascii="Times New Roman" w:hAnsi="Times New Roman"/>
          <w:sz w:val="26"/>
          <w:szCs w:val="26"/>
        </w:rPr>
      </w:pPr>
    </w:p>
    <w:p w:rsidR="00AF3539" w:rsidRDefault="00AF3539">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t xml:space="preserve"> </w:t>
      </w:r>
      <w:r>
        <w:rPr>
          <w:rFonts w:ascii="Times New Roman" w:hAnsi="Times New Roman"/>
          <w:sz w:val="26"/>
          <w:szCs w:val="26"/>
        </w:rPr>
        <w:tab/>
        <w:t>The first factor we consider is whether the conduct at issue is of a serious nature.  52 Pa. Code § 69.1201(c)(1).  “When conduct of a serious nature is involved, such as willful fraud or misrepresentation, the conduct may warrant a higher penalty.  When the conduct is less egregious</w:t>
      </w:r>
      <w:r w:rsidR="00651C6F">
        <w:rPr>
          <w:rFonts w:ascii="Times New Roman" w:hAnsi="Times New Roman"/>
          <w:sz w:val="26"/>
          <w:szCs w:val="26"/>
        </w:rPr>
        <w:t>, such as administrative filing</w:t>
      </w:r>
      <w:r>
        <w:rPr>
          <w:rFonts w:ascii="Times New Roman" w:hAnsi="Times New Roman"/>
          <w:sz w:val="26"/>
          <w:szCs w:val="26"/>
        </w:rPr>
        <w:t xml:space="preserve"> or technical errors, it may warrant a lower penalty.”  </w:t>
      </w:r>
      <w:r w:rsidRPr="00AF3539">
        <w:rPr>
          <w:rFonts w:ascii="Times New Roman" w:hAnsi="Times New Roman"/>
          <w:i/>
          <w:sz w:val="26"/>
          <w:szCs w:val="26"/>
        </w:rPr>
        <w:t>Id.</w:t>
      </w:r>
      <w:r w:rsidR="002F74AB">
        <w:rPr>
          <w:rFonts w:ascii="Times New Roman" w:hAnsi="Times New Roman"/>
          <w:sz w:val="26"/>
          <w:szCs w:val="26"/>
        </w:rPr>
        <w:t xml:space="preserve">  </w:t>
      </w:r>
      <w:r w:rsidR="00C7677D">
        <w:rPr>
          <w:rFonts w:ascii="Times New Roman" w:hAnsi="Times New Roman"/>
          <w:sz w:val="26"/>
          <w:szCs w:val="26"/>
        </w:rPr>
        <w:t xml:space="preserve">The </w:t>
      </w:r>
      <w:r>
        <w:rPr>
          <w:rFonts w:ascii="Times New Roman" w:hAnsi="Times New Roman"/>
          <w:sz w:val="26"/>
          <w:szCs w:val="26"/>
        </w:rPr>
        <w:t xml:space="preserve">Prosecutory Staff states </w:t>
      </w:r>
      <w:r w:rsidR="0090163C">
        <w:rPr>
          <w:rFonts w:ascii="Times New Roman" w:hAnsi="Times New Roman"/>
          <w:sz w:val="26"/>
          <w:szCs w:val="26"/>
        </w:rPr>
        <w:t>that, while the conduct here does not appear to involve fraud or misrepresentation, any termination of essential utility service is a serious concern.  The failure of the CSRs to confirm satisfaction, diligently attempt payment arrangements, make references to all available assistance programs, and/or discuss the customer’s troubled account with a representative of the customer’s AAA are lapses in the Company’s duty</w:t>
      </w:r>
      <w:r w:rsidR="002F74AB">
        <w:rPr>
          <w:rFonts w:ascii="Times New Roman" w:hAnsi="Times New Roman"/>
          <w:sz w:val="26"/>
          <w:szCs w:val="26"/>
        </w:rPr>
        <w:t xml:space="preserve"> to furnish and maintain adequate, efficient, safe and reasonable service required by Section 1501 of the Code.</w:t>
      </w:r>
      <w:r w:rsidR="0068279B">
        <w:rPr>
          <w:rFonts w:ascii="Times New Roman" w:hAnsi="Times New Roman"/>
          <w:sz w:val="26"/>
          <w:szCs w:val="26"/>
        </w:rPr>
        <w:t xml:space="preserve">  </w:t>
      </w:r>
      <w:r w:rsidR="00733556">
        <w:rPr>
          <w:rFonts w:ascii="Times New Roman" w:hAnsi="Times New Roman"/>
          <w:sz w:val="26"/>
          <w:szCs w:val="26"/>
        </w:rPr>
        <w:t xml:space="preserve">   </w:t>
      </w:r>
      <w:r w:rsidR="00A721D8" w:rsidRPr="00A721D8">
        <w:rPr>
          <w:rFonts w:ascii="Times New Roman" w:hAnsi="Times New Roman"/>
          <w:sz w:val="26"/>
          <w:szCs w:val="26"/>
        </w:rPr>
        <w:t xml:space="preserve">Prosecutory Staff Statement of Support </w:t>
      </w:r>
      <w:r w:rsidR="0068279B">
        <w:rPr>
          <w:rFonts w:ascii="Times New Roman" w:hAnsi="Times New Roman"/>
          <w:sz w:val="26"/>
          <w:szCs w:val="26"/>
        </w:rPr>
        <w:t>at 10.</w:t>
      </w:r>
      <w:r w:rsidR="007C55AB">
        <w:rPr>
          <w:rFonts w:ascii="Times New Roman" w:hAnsi="Times New Roman"/>
          <w:sz w:val="26"/>
          <w:szCs w:val="26"/>
        </w:rPr>
        <w:t xml:space="preserve">  We</w:t>
      </w:r>
      <w:r w:rsidR="00403888">
        <w:rPr>
          <w:rFonts w:ascii="Times New Roman" w:hAnsi="Times New Roman"/>
          <w:sz w:val="26"/>
          <w:szCs w:val="26"/>
        </w:rPr>
        <w:t xml:space="preserve"> agree that conduct that does not </w:t>
      </w:r>
      <w:r w:rsidR="00403888">
        <w:rPr>
          <w:rFonts w:ascii="Times New Roman" w:hAnsi="Times New Roman"/>
          <w:sz w:val="26"/>
          <w:szCs w:val="26"/>
        </w:rPr>
        <w:lastRenderedPageBreak/>
        <w:t>facilitate the continuation o</w:t>
      </w:r>
      <w:r w:rsidR="001C75EE">
        <w:rPr>
          <w:rFonts w:ascii="Times New Roman" w:hAnsi="Times New Roman"/>
          <w:sz w:val="26"/>
          <w:szCs w:val="26"/>
        </w:rPr>
        <w:t xml:space="preserve">f utility service </w:t>
      </w:r>
      <w:r w:rsidR="00403888">
        <w:rPr>
          <w:rFonts w:ascii="Times New Roman" w:hAnsi="Times New Roman"/>
          <w:sz w:val="26"/>
          <w:szCs w:val="26"/>
        </w:rPr>
        <w:t>to an elderly residential</w:t>
      </w:r>
      <w:r w:rsidR="001C75EE">
        <w:rPr>
          <w:rFonts w:ascii="Times New Roman" w:hAnsi="Times New Roman"/>
          <w:sz w:val="26"/>
          <w:szCs w:val="26"/>
        </w:rPr>
        <w:t xml:space="preserve"> customer </w:t>
      </w:r>
      <w:r w:rsidR="00403888">
        <w:rPr>
          <w:rFonts w:ascii="Times New Roman" w:hAnsi="Times New Roman"/>
          <w:sz w:val="26"/>
          <w:szCs w:val="26"/>
        </w:rPr>
        <w:t>is of a serious nature</w:t>
      </w:r>
      <w:r w:rsidR="00320725">
        <w:rPr>
          <w:rFonts w:ascii="Times New Roman" w:hAnsi="Times New Roman"/>
          <w:sz w:val="26"/>
          <w:szCs w:val="26"/>
        </w:rPr>
        <w:t>, which supports a higher penalty amount.</w:t>
      </w:r>
    </w:p>
    <w:p w:rsidR="007C55AB" w:rsidRDefault="007C55AB">
      <w:pPr>
        <w:tabs>
          <w:tab w:val="center" w:pos="720"/>
        </w:tabs>
        <w:suppressAutoHyphens/>
        <w:spacing w:line="360" w:lineRule="auto"/>
        <w:rPr>
          <w:rFonts w:ascii="Times New Roman" w:hAnsi="Times New Roman"/>
          <w:sz w:val="26"/>
          <w:szCs w:val="26"/>
        </w:rPr>
      </w:pPr>
    </w:p>
    <w:p w:rsidR="00733556" w:rsidRDefault="007C55AB">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t xml:space="preserve"> </w:t>
      </w:r>
      <w:r>
        <w:rPr>
          <w:rFonts w:ascii="Times New Roman" w:hAnsi="Times New Roman"/>
          <w:sz w:val="26"/>
          <w:szCs w:val="26"/>
        </w:rPr>
        <w:tab/>
        <w:t>The second factor we consider is whether the resulting consequences of the conduct are of a serious nature.</w:t>
      </w:r>
      <w:r w:rsidRPr="007C55AB">
        <w:rPr>
          <w:rFonts w:ascii="Times New Roman" w:hAnsi="Times New Roman"/>
          <w:sz w:val="26"/>
          <w:szCs w:val="26"/>
        </w:rPr>
        <w:t xml:space="preserve"> </w:t>
      </w:r>
      <w:r>
        <w:rPr>
          <w:rFonts w:ascii="Times New Roman" w:hAnsi="Times New Roman"/>
          <w:sz w:val="26"/>
          <w:szCs w:val="26"/>
        </w:rPr>
        <w:t xml:space="preserve"> 52 Pa. Code § 69.1201(c)(2).</w:t>
      </w:r>
      <w:r w:rsidR="00AE413A">
        <w:rPr>
          <w:rFonts w:ascii="Times New Roman" w:hAnsi="Times New Roman"/>
          <w:sz w:val="26"/>
          <w:szCs w:val="26"/>
        </w:rPr>
        <w:t xml:space="preserve">  The Prosecutory Staff states that the termination of service to</w:t>
      </w:r>
      <w:r w:rsidR="0068279B">
        <w:rPr>
          <w:rFonts w:ascii="Times New Roman" w:hAnsi="Times New Roman"/>
          <w:sz w:val="26"/>
          <w:szCs w:val="26"/>
        </w:rPr>
        <w:t xml:space="preserve"> this residential customer was</w:t>
      </w:r>
      <w:r w:rsidR="00AE413A">
        <w:rPr>
          <w:rFonts w:ascii="Times New Roman" w:hAnsi="Times New Roman"/>
          <w:sz w:val="26"/>
          <w:szCs w:val="26"/>
        </w:rPr>
        <w:t xml:space="preserve"> a serious event, especially given the possibility that termination could have been averted had a discussion</w:t>
      </w:r>
      <w:r w:rsidR="00847201">
        <w:rPr>
          <w:rFonts w:ascii="Times New Roman" w:hAnsi="Times New Roman"/>
          <w:sz w:val="26"/>
          <w:szCs w:val="26"/>
        </w:rPr>
        <w:t xml:space="preserve"> regarding the details of the customer’s account been held with the AAA representative who contacted PPL on the customer’s behalf.  </w:t>
      </w:r>
      <w:r w:rsidR="007A6279">
        <w:rPr>
          <w:rFonts w:ascii="Times New Roman" w:hAnsi="Times New Roman"/>
          <w:sz w:val="26"/>
          <w:szCs w:val="26"/>
        </w:rPr>
        <w:t xml:space="preserve">Prosecutory Staff </w:t>
      </w:r>
      <w:r w:rsidR="00A721D8">
        <w:rPr>
          <w:rFonts w:ascii="Times New Roman" w:hAnsi="Times New Roman"/>
          <w:sz w:val="26"/>
          <w:szCs w:val="26"/>
        </w:rPr>
        <w:t xml:space="preserve">Statement of </w:t>
      </w:r>
    </w:p>
    <w:p w:rsidR="007C55AB" w:rsidRDefault="00A721D8">
      <w:pPr>
        <w:tabs>
          <w:tab w:val="center" w:pos="720"/>
        </w:tabs>
        <w:suppressAutoHyphens/>
        <w:spacing w:line="360" w:lineRule="auto"/>
        <w:rPr>
          <w:rFonts w:ascii="Times New Roman" w:hAnsi="Times New Roman"/>
          <w:sz w:val="26"/>
          <w:szCs w:val="26"/>
        </w:rPr>
      </w:pPr>
      <w:r>
        <w:rPr>
          <w:rFonts w:ascii="Times New Roman" w:hAnsi="Times New Roman"/>
          <w:sz w:val="26"/>
          <w:szCs w:val="26"/>
        </w:rPr>
        <w:t xml:space="preserve">Support at 10.  </w:t>
      </w:r>
      <w:r w:rsidR="001C75EE">
        <w:rPr>
          <w:rFonts w:ascii="Times New Roman" w:hAnsi="Times New Roman"/>
          <w:sz w:val="26"/>
          <w:szCs w:val="26"/>
        </w:rPr>
        <w:t>W</w:t>
      </w:r>
      <w:r w:rsidR="00847201">
        <w:rPr>
          <w:rFonts w:ascii="Times New Roman" w:hAnsi="Times New Roman"/>
          <w:sz w:val="26"/>
          <w:szCs w:val="26"/>
        </w:rPr>
        <w:t>e have no way of knowing whether or not termination wo</w:t>
      </w:r>
      <w:r w:rsidR="00C7677D">
        <w:rPr>
          <w:rFonts w:ascii="Times New Roman" w:hAnsi="Times New Roman"/>
          <w:sz w:val="26"/>
          <w:szCs w:val="26"/>
        </w:rPr>
        <w:t>uld have been averted if the CSR</w:t>
      </w:r>
      <w:r w:rsidR="001C75EE">
        <w:rPr>
          <w:rFonts w:ascii="Times New Roman" w:hAnsi="Times New Roman"/>
          <w:sz w:val="26"/>
          <w:szCs w:val="26"/>
        </w:rPr>
        <w:t xml:space="preserve"> had</w:t>
      </w:r>
      <w:r w:rsidR="00847201">
        <w:rPr>
          <w:rFonts w:ascii="Times New Roman" w:hAnsi="Times New Roman"/>
          <w:sz w:val="26"/>
          <w:szCs w:val="26"/>
        </w:rPr>
        <w:t xml:space="preserve"> discussed the details of the customer’s account wit</w:t>
      </w:r>
      <w:r w:rsidR="001C75EE">
        <w:rPr>
          <w:rFonts w:ascii="Times New Roman" w:hAnsi="Times New Roman"/>
          <w:sz w:val="26"/>
          <w:szCs w:val="26"/>
        </w:rPr>
        <w:t>h the AAA</w:t>
      </w:r>
      <w:r w:rsidR="007A6279">
        <w:rPr>
          <w:rFonts w:ascii="Times New Roman" w:hAnsi="Times New Roman"/>
          <w:sz w:val="26"/>
          <w:szCs w:val="26"/>
        </w:rPr>
        <w:t xml:space="preserve"> representative.  </w:t>
      </w:r>
      <w:r w:rsidR="00800438">
        <w:rPr>
          <w:rFonts w:ascii="Times New Roman" w:hAnsi="Times New Roman"/>
          <w:sz w:val="26"/>
          <w:szCs w:val="26"/>
        </w:rPr>
        <w:t>A</w:t>
      </w:r>
      <w:r w:rsidR="002C01F4">
        <w:rPr>
          <w:rFonts w:ascii="Times New Roman" w:hAnsi="Times New Roman"/>
          <w:sz w:val="26"/>
          <w:szCs w:val="26"/>
        </w:rPr>
        <w:t>lthough we can</w:t>
      </w:r>
      <w:r w:rsidR="009C2AD7">
        <w:rPr>
          <w:rFonts w:ascii="Times New Roman" w:hAnsi="Times New Roman"/>
          <w:sz w:val="26"/>
          <w:szCs w:val="26"/>
        </w:rPr>
        <w:t>’t conclude on this record whether termination would have been averted had the CSR discussed the customer’s account with the AAA,</w:t>
      </w:r>
      <w:r w:rsidR="002C01F4">
        <w:rPr>
          <w:rFonts w:ascii="Times New Roman" w:hAnsi="Times New Roman"/>
          <w:sz w:val="26"/>
          <w:szCs w:val="26"/>
        </w:rPr>
        <w:t xml:space="preserve"> we agree </w:t>
      </w:r>
      <w:r w:rsidR="009C2AD7">
        <w:rPr>
          <w:rFonts w:ascii="Times New Roman" w:hAnsi="Times New Roman"/>
          <w:sz w:val="26"/>
          <w:szCs w:val="26"/>
        </w:rPr>
        <w:t xml:space="preserve">with the Prosecutory Staff to the extent </w:t>
      </w:r>
      <w:r w:rsidR="002C01F4">
        <w:rPr>
          <w:rFonts w:ascii="Times New Roman" w:hAnsi="Times New Roman"/>
          <w:sz w:val="26"/>
          <w:szCs w:val="26"/>
        </w:rPr>
        <w:t>that termination of service to this elderly residential c</w:t>
      </w:r>
      <w:r w:rsidR="00852E3B">
        <w:rPr>
          <w:rFonts w:ascii="Times New Roman" w:hAnsi="Times New Roman"/>
          <w:sz w:val="26"/>
          <w:szCs w:val="26"/>
        </w:rPr>
        <w:t>ustomer was of a serious nature.  This factor also supports a higher penalty amount.</w:t>
      </w:r>
    </w:p>
    <w:p w:rsidR="002C01F4" w:rsidRDefault="002C01F4">
      <w:pPr>
        <w:tabs>
          <w:tab w:val="center" w:pos="720"/>
        </w:tabs>
        <w:suppressAutoHyphens/>
        <w:spacing w:line="360" w:lineRule="auto"/>
        <w:rPr>
          <w:rFonts w:ascii="Times New Roman" w:hAnsi="Times New Roman"/>
          <w:sz w:val="26"/>
          <w:szCs w:val="26"/>
        </w:rPr>
      </w:pPr>
    </w:p>
    <w:p w:rsidR="00733556" w:rsidRDefault="002C01F4">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t xml:space="preserve"> </w:t>
      </w:r>
      <w:r>
        <w:rPr>
          <w:rFonts w:ascii="Times New Roman" w:hAnsi="Times New Roman"/>
          <w:sz w:val="26"/>
          <w:szCs w:val="26"/>
        </w:rPr>
        <w:tab/>
        <w:t xml:space="preserve">The </w:t>
      </w:r>
      <w:r w:rsidR="009C2AD7">
        <w:rPr>
          <w:rFonts w:ascii="Times New Roman" w:hAnsi="Times New Roman"/>
          <w:sz w:val="26"/>
          <w:szCs w:val="26"/>
        </w:rPr>
        <w:t>thi</w:t>
      </w:r>
      <w:r w:rsidR="00F753EB">
        <w:rPr>
          <w:rFonts w:ascii="Times New Roman" w:hAnsi="Times New Roman"/>
          <w:sz w:val="26"/>
          <w:szCs w:val="26"/>
        </w:rPr>
        <w:t>rd factor</w:t>
      </w:r>
      <w:r w:rsidR="00FD79BD">
        <w:rPr>
          <w:rFonts w:ascii="Times New Roman" w:hAnsi="Times New Roman"/>
          <w:sz w:val="26"/>
          <w:szCs w:val="26"/>
        </w:rPr>
        <w:t>, whether the conduct was intentional or unintentional,</w:t>
      </w:r>
      <w:r w:rsidR="00F753EB">
        <w:rPr>
          <w:rFonts w:ascii="Times New Roman" w:hAnsi="Times New Roman"/>
          <w:sz w:val="26"/>
          <w:szCs w:val="26"/>
        </w:rPr>
        <w:t xml:space="preserve"> </w:t>
      </w:r>
      <w:r w:rsidR="009C2AD7">
        <w:rPr>
          <w:rFonts w:ascii="Times New Roman" w:hAnsi="Times New Roman"/>
          <w:sz w:val="26"/>
          <w:szCs w:val="26"/>
        </w:rPr>
        <w:t>is</w:t>
      </w:r>
      <w:r w:rsidR="00F753EB">
        <w:rPr>
          <w:rFonts w:ascii="Times New Roman" w:hAnsi="Times New Roman"/>
          <w:sz w:val="26"/>
          <w:szCs w:val="26"/>
        </w:rPr>
        <w:t xml:space="preserve"> not applicable here because it pertains only to litigated proceedings.  </w:t>
      </w:r>
    </w:p>
    <w:p w:rsidR="002C01F4" w:rsidRDefault="00F753EB">
      <w:pPr>
        <w:tabs>
          <w:tab w:val="center" w:pos="720"/>
        </w:tabs>
        <w:suppressAutoHyphens/>
        <w:spacing w:line="360" w:lineRule="auto"/>
        <w:rPr>
          <w:rFonts w:ascii="Times New Roman" w:hAnsi="Times New Roman"/>
          <w:sz w:val="26"/>
          <w:szCs w:val="26"/>
        </w:rPr>
      </w:pPr>
      <w:r>
        <w:rPr>
          <w:rFonts w:ascii="Times New Roman" w:hAnsi="Times New Roman"/>
          <w:sz w:val="26"/>
          <w:szCs w:val="26"/>
        </w:rPr>
        <w:t>52 Pa. Code § 69.1201(c)(3).</w:t>
      </w:r>
      <w:r w:rsidR="009C2AD7">
        <w:rPr>
          <w:rFonts w:ascii="Times New Roman" w:hAnsi="Times New Roman"/>
          <w:sz w:val="26"/>
          <w:szCs w:val="26"/>
        </w:rPr>
        <w:t xml:space="preserve"> </w:t>
      </w:r>
    </w:p>
    <w:p w:rsidR="00F753EB" w:rsidRDefault="00F753EB">
      <w:pPr>
        <w:tabs>
          <w:tab w:val="center" w:pos="720"/>
        </w:tabs>
        <w:suppressAutoHyphens/>
        <w:spacing w:line="360" w:lineRule="auto"/>
        <w:rPr>
          <w:rFonts w:ascii="Times New Roman" w:hAnsi="Times New Roman"/>
          <w:sz w:val="26"/>
          <w:szCs w:val="26"/>
        </w:rPr>
      </w:pPr>
    </w:p>
    <w:p w:rsidR="00F753EB" w:rsidRDefault="00F753EB">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t xml:space="preserve"> </w:t>
      </w:r>
      <w:r>
        <w:rPr>
          <w:rFonts w:ascii="Times New Roman" w:hAnsi="Times New Roman"/>
          <w:sz w:val="26"/>
          <w:szCs w:val="26"/>
        </w:rPr>
        <w:tab/>
        <w:t>The fourth factor we consider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w:t>
      </w:r>
      <w:r w:rsidR="00FD79BD">
        <w:rPr>
          <w:rFonts w:ascii="Times New Roman" w:hAnsi="Times New Roman"/>
          <w:sz w:val="26"/>
          <w:szCs w:val="26"/>
        </w:rPr>
        <w:t xml:space="preserve">  </w:t>
      </w:r>
      <w:r w:rsidR="00D075DD">
        <w:rPr>
          <w:rFonts w:ascii="Times New Roman" w:hAnsi="Times New Roman"/>
          <w:sz w:val="26"/>
          <w:szCs w:val="26"/>
        </w:rPr>
        <w:t xml:space="preserve">The Prosecutory Staff submits that this factor has been affirmatively addressed by the proposed Settlement, and the Company already has complied with the Prosecutory Staff’s requests to review and, where necessary, to revise its procedures and/or retrain its workforce.  </w:t>
      </w:r>
      <w:r w:rsidR="00526043">
        <w:rPr>
          <w:rFonts w:ascii="Times New Roman" w:hAnsi="Times New Roman"/>
          <w:sz w:val="26"/>
          <w:szCs w:val="26"/>
        </w:rPr>
        <w:t xml:space="preserve">We agree that </w:t>
      </w:r>
      <w:r w:rsidR="00320725">
        <w:rPr>
          <w:rFonts w:ascii="Times New Roman" w:hAnsi="Times New Roman"/>
          <w:sz w:val="26"/>
          <w:szCs w:val="26"/>
        </w:rPr>
        <w:t xml:space="preserve">PPL </w:t>
      </w:r>
      <w:r w:rsidR="00320725">
        <w:rPr>
          <w:rFonts w:ascii="Times New Roman" w:hAnsi="Times New Roman"/>
          <w:sz w:val="26"/>
          <w:szCs w:val="26"/>
        </w:rPr>
        <w:lastRenderedPageBreak/>
        <w:t>has made efforts to modify and improve its internal practices and procedures as a result of this Settlement.</w:t>
      </w:r>
      <w:r w:rsidR="00852E3B">
        <w:rPr>
          <w:rFonts w:ascii="Times New Roman" w:hAnsi="Times New Roman"/>
          <w:sz w:val="26"/>
          <w:szCs w:val="26"/>
        </w:rPr>
        <w:t xml:space="preserve">  This factor supports a lower penalty amount.</w:t>
      </w:r>
    </w:p>
    <w:p w:rsidR="00E3432E" w:rsidRDefault="00E3432E">
      <w:pPr>
        <w:tabs>
          <w:tab w:val="center" w:pos="720"/>
        </w:tabs>
        <w:suppressAutoHyphens/>
        <w:spacing w:line="360" w:lineRule="auto"/>
        <w:rPr>
          <w:rFonts w:ascii="Times New Roman" w:hAnsi="Times New Roman"/>
          <w:sz w:val="26"/>
          <w:szCs w:val="26"/>
        </w:rPr>
      </w:pPr>
    </w:p>
    <w:p w:rsidR="00733556" w:rsidRDefault="00E3432E">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 Prosecutory Staff states that all of the remaining factors in the </w:t>
      </w:r>
      <w:r w:rsidRPr="00E3432E">
        <w:rPr>
          <w:rFonts w:ascii="Times New Roman" w:hAnsi="Times New Roman"/>
          <w:i/>
          <w:sz w:val="26"/>
          <w:szCs w:val="26"/>
        </w:rPr>
        <w:t>Policy Statement</w:t>
      </w:r>
      <w:r>
        <w:rPr>
          <w:rFonts w:ascii="Times New Roman" w:hAnsi="Times New Roman"/>
          <w:sz w:val="26"/>
          <w:szCs w:val="26"/>
        </w:rPr>
        <w:t xml:space="preserve"> were considered in the process of negotiating the Settlement.  The Prosecutory Staff submits that the Settlement was amicably negotiated and recognizes PPL’s good faith efforts to comply with the Commission’s Regulations.  </w:t>
      </w:r>
      <w:r w:rsidR="00526043">
        <w:rPr>
          <w:rFonts w:ascii="Times New Roman" w:hAnsi="Times New Roman"/>
          <w:sz w:val="26"/>
          <w:szCs w:val="26"/>
        </w:rPr>
        <w:t xml:space="preserve">Prosecutory Staff </w:t>
      </w:r>
    </w:p>
    <w:p w:rsidR="00E3432E" w:rsidRDefault="00526043">
      <w:pPr>
        <w:tabs>
          <w:tab w:val="center" w:pos="720"/>
        </w:tabs>
        <w:suppressAutoHyphens/>
        <w:spacing w:line="360" w:lineRule="auto"/>
        <w:rPr>
          <w:rFonts w:ascii="Times New Roman" w:hAnsi="Times New Roman"/>
          <w:sz w:val="26"/>
          <w:szCs w:val="26"/>
        </w:rPr>
      </w:pPr>
      <w:r>
        <w:rPr>
          <w:rFonts w:ascii="Times New Roman" w:hAnsi="Times New Roman"/>
          <w:sz w:val="26"/>
          <w:szCs w:val="26"/>
        </w:rPr>
        <w:t xml:space="preserve">Statement of Support </w:t>
      </w:r>
      <w:r w:rsidR="00E3432E">
        <w:rPr>
          <w:rFonts w:ascii="Times New Roman" w:hAnsi="Times New Roman"/>
          <w:sz w:val="26"/>
          <w:szCs w:val="26"/>
        </w:rPr>
        <w:t>at 11.</w:t>
      </w:r>
      <w:r w:rsidR="00AF1DED">
        <w:rPr>
          <w:rFonts w:ascii="Times New Roman" w:hAnsi="Times New Roman"/>
          <w:sz w:val="26"/>
          <w:szCs w:val="26"/>
        </w:rPr>
        <w:t xml:space="preserve">  Although neither the Prosecutory Staff nor PPL specifically addressed the remaining factors, we will do so briefly.</w:t>
      </w:r>
    </w:p>
    <w:p w:rsidR="00272D84" w:rsidRDefault="00272D84">
      <w:pPr>
        <w:tabs>
          <w:tab w:val="center" w:pos="720"/>
        </w:tabs>
        <w:suppressAutoHyphens/>
        <w:spacing w:line="360" w:lineRule="auto"/>
        <w:rPr>
          <w:rFonts w:ascii="Times New Roman" w:hAnsi="Times New Roman"/>
          <w:sz w:val="26"/>
          <w:szCs w:val="26"/>
        </w:rPr>
      </w:pPr>
    </w:p>
    <w:p w:rsidR="00272D84" w:rsidRDefault="00272D84">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t xml:space="preserve"> </w:t>
      </w:r>
      <w:r>
        <w:rPr>
          <w:rFonts w:ascii="Times New Roman" w:hAnsi="Times New Roman"/>
          <w:sz w:val="26"/>
          <w:szCs w:val="26"/>
        </w:rPr>
        <w:tab/>
        <w:t>The fifth factor we consider is the number of customer</w:t>
      </w:r>
      <w:r w:rsidR="00800438">
        <w:rPr>
          <w:rFonts w:ascii="Times New Roman" w:hAnsi="Times New Roman"/>
          <w:sz w:val="26"/>
          <w:szCs w:val="26"/>
        </w:rPr>
        <w:t>s</w:t>
      </w:r>
      <w:r>
        <w:rPr>
          <w:rFonts w:ascii="Times New Roman" w:hAnsi="Times New Roman"/>
          <w:sz w:val="26"/>
          <w:szCs w:val="26"/>
        </w:rPr>
        <w:t xml:space="preserve"> affected and the duration of the violation.</w:t>
      </w:r>
      <w:r w:rsidRPr="00272D84">
        <w:rPr>
          <w:rFonts w:ascii="Times New Roman" w:hAnsi="Times New Roman"/>
          <w:sz w:val="26"/>
          <w:szCs w:val="26"/>
        </w:rPr>
        <w:t xml:space="preserve"> </w:t>
      </w:r>
      <w:r>
        <w:rPr>
          <w:rFonts w:ascii="Times New Roman" w:hAnsi="Times New Roman"/>
          <w:sz w:val="26"/>
          <w:szCs w:val="26"/>
        </w:rPr>
        <w:t xml:space="preserve"> 52 Pa. Code § 69.120</w:t>
      </w:r>
      <w:r w:rsidR="00852E3B">
        <w:rPr>
          <w:rFonts w:ascii="Times New Roman" w:hAnsi="Times New Roman"/>
          <w:sz w:val="26"/>
          <w:szCs w:val="26"/>
        </w:rPr>
        <w:t xml:space="preserve">1(c)(5).  Here, only </w:t>
      </w:r>
      <w:r>
        <w:rPr>
          <w:rFonts w:ascii="Times New Roman" w:hAnsi="Times New Roman"/>
          <w:sz w:val="26"/>
          <w:szCs w:val="26"/>
        </w:rPr>
        <w:t>one customer was affected</w:t>
      </w:r>
      <w:r w:rsidR="00534256">
        <w:rPr>
          <w:rFonts w:ascii="Times New Roman" w:hAnsi="Times New Roman"/>
          <w:sz w:val="26"/>
          <w:szCs w:val="26"/>
        </w:rPr>
        <w:t>.  However, t</w:t>
      </w:r>
      <w:r w:rsidR="00A36FEA">
        <w:rPr>
          <w:rFonts w:ascii="Times New Roman" w:hAnsi="Times New Roman"/>
          <w:sz w:val="26"/>
          <w:szCs w:val="26"/>
        </w:rPr>
        <w:t xml:space="preserve">he duration of </w:t>
      </w:r>
      <w:r w:rsidR="00852E3B">
        <w:rPr>
          <w:rFonts w:ascii="Times New Roman" w:hAnsi="Times New Roman"/>
          <w:sz w:val="26"/>
          <w:szCs w:val="26"/>
        </w:rPr>
        <w:t xml:space="preserve">some aspects of </w:t>
      </w:r>
      <w:r w:rsidR="00A36FEA">
        <w:rPr>
          <w:rFonts w:ascii="Times New Roman" w:hAnsi="Times New Roman"/>
          <w:sz w:val="26"/>
          <w:szCs w:val="26"/>
        </w:rPr>
        <w:t>the</w:t>
      </w:r>
      <w:r w:rsidR="00852E3B">
        <w:rPr>
          <w:rFonts w:ascii="Times New Roman" w:hAnsi="Times New Roman"/>
          <w:sz w:val="26"/>
          <w:szCs w:val="26"/>
        </w:rPr>
        <w:t xml:space="preserve"> conduct in question may </w:t>
      </w:r>
      <w:r w:rsidR="00A36FEA">
        <w:rPr>
          <w:rFonts w:ascii="Times New Roman" w:hAnsi="Times New Roman"/>
          <w:sz w:val="26"/>
          <w:szCs w:val="26"/>
        </w:rPr>
        <w:t>have been lengthy, since it was based on PPL’s then-exi</w:t>
      </w:r>
      <w:r w:rsidR="00852E3B">
        <w:rPr>
          <w:rFonts w:ascii="Times New Roman" w:hAnsi="Times New Roman"/>
          <w:sz w:val="26"/>
          <w:szCs w:val="26"/>
        </w:rPr>
        <w:t>sting policies and procedures</w:t>
      </w:r>
      <w:r w:rsidR="00A36FEA">
        <w:rPr>
          <w:rFonts w:ascii="Times New Roman" w:hAnsi="Times New Roman"/>
          <w:sz w:val="26"/>
          <w:szCs w:val="26"/>
        </w:rPr>
        <w:t>.</w:t>
      </w:r>
      <w:r w:rsidR="00852E3B">
        <w:rPr>
          <w:rFonts w:ascii="Times New Roman" w:hAnsi="Times New Roman"/>
          <w:sz w:val="26"/>
          <w:szCs w:val="26"/>
        </w:rPr>
        <w:t xml:space="preserve">  Considered together, this factor supports neither a higher nor a lower penalty amount.</w:t>
      </w:r>
    </w:p>
    <w:p w:rsidR="00AF1DED" w:rsidRDefault="00AF1DED">
      <w:pPr>
        <w:tabs>
          <w:tab w:val="center" w:pos="720"/>
        </w:tabs>
        <w:suppressAutoHyphens/>
        <w:spacing w:line="360" w:lineRule="auto"/>
        <w:rPr>
          <w:rFonts w:ascii="Times New Roman" w:hAnsi="Times New Roman"/>
          <w:sz w:val="26"/>
          <w:szCs w:val="26"/>
        </w:rPr>
      </w:pPr>
    </w:p>
    <w:p w:rsidR="00733556" w:rsidRDefault="0045280A">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t xml:space="preserve"> </w:t>
      </w:r>
      <w:r>
        <w:rPr>
          <w:rFonts w:ascii="Times New Roman" w:hAnsi="Times New Roman"/>
          <w:sz w:val="26"/>
          <w:szCs w:val="26"/>
        </w:rPr>
        <w:tab/>
      </w:r>
      <w:r w:rsidR="00AF1DED">
        <w:rPr>
          <w:rFonts w:ascii="Times New Roman" w:hAnsi="Times New Roman"/>
          <w:sz w:val="26"/>
          <w:szCs w:val="26"/>
        </w:rPr>
        <w:t xml:space="preserve">The sixth factor relates to PPL’s compliance </w:t>
      </w:r>
      <w:r w:rsidR="00800438">
        <w:rPr>
          <w:rFonts w:ascii="Times New Roman" w:hAnsi="Times New Roman"/>
          <w:sz w:val="26"/>
          <w:szCs w:val="26"/>
        </w:rPr>
        <w:t>history with the Commission.  A</w:t>
      </w:r>
      <w:r w:rsidR="00AF1DED">
        <w:rPr>
          <w:rFonts w:ascii="Times New Roman" w:hAnsi="Times New Roman"/>
          <w:sz w:val="26"/>
          <w:szCs w:val="26"/>
        </w:rPr>
        <w:t>n isolated incident from an otherwise compliant utility may result in a lower penalty, whereas frequent, recurrent violations by a utility may result in a higher penalty.</w:t>
      </w:r>
      <w:r w:rsidR="00AF1DED" w:rsidRPr="00AF1DED">
        <w:rPr>
          <w:rFonts w:ascii="Times New Roman" w:hAnsi="Times New Roman"/>
          <w:sz w:val="26"/>
          <w:szCs w:val="26"/>
        </w:rPr>
        <w:t xml:space="preserve"> </w:t>
      </w:r>
      <w:r w:rsidR="00AF1DED">
        <w:rPr>
          <w:rFonts w:ascii="Times New Roman" w:hAnsi="Times New Roman"/>
          <w:sz w:val="26"/>
          <w:szCs w:val="26"/>
        </w:rPr>
        <w:t xml:space="preserve"> </w:t>
      </w:r>
    </w:p>
    <w:p w:rsidR="00AF1DED" w:rsidRDefault="00AF1DED">
      <w:pPr>
        <w:tabs>
          <w:tab w:val="center" w:pos="720"/>
        </w:tabs>
        <w:suppressAutoHyphens/>
        <w:spacing w:line="360" w:lineRule="auto"/>
        <w:rPr>
          <w:rFonts w:ascii="Times New Roman" w:hAnsi="Times New Roman"/>
          <w:sz w:val="26"/>
          <w:szCs w:val="26"/>
        </w:rPr>
      </w:pPr>
      <w:r>
        <w:rPr>
          <w:rFonts w:ascii="Times New Roman" w:hAnsi="Times New Roman"/>
          <w:sz w:val="26"/>
          <w:szCs w:val="26"/>
        </w:rPr>
        <w:t>52 Pa. Code § 69.1201(c)(6).</w:t>
      </w:r>
      <w:r w:rsidR="0045280A">
        <w:rPr>
          <w:rFonts w:ascii="Times New Roman" w:hAnsi="Times New Roman"/>
          <w:sz w:val="26"/>
          <w:szCs w:val="26"/>
        </w:rPr>
        <w:t xml:space="preserve">  PPL has an excellent compliance history with the Commission, which supports a lower penalty amount.</w:t>
      </w:r>
    </w:p>
    <w:p w:rsidR="0045280A" w:rsidRDefault="0045280A">
      <w:pPr>
        <w:tabs>
          <w:tab w:val="center" w:pos="720"/>
        </w:tabs>
        <w:suppressAutoHyphens/>
        <w:spacing w:line="360" w:lineRule="auto"/>
        <w:rPr>
          <w:rFonts w:ascii="Times New Roman" w:hAnsi="Times New Roman"/>
          <w:sz w:val="26"/>
          <w:szCs w:val="26"/>
        </w:rPr>
      </w:pPr>
    </w:p>
    <w:p w:rsidR="0045280A" w:rsidRDefault="0045280A">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 seventh factor relates to whether the utility cooperated with the Commission’s investigation.  </w:t>
      </w:r>
      <w:r w:rsidR="00F8554D">
        <w:rPr>
          <w:rFonts w:ascii="Times New Roman" w:hAnsi="Times New Roman"/>
          <w:sz w:val="26"/>
          <w:szCs w:val="26"/>
        </w:rPr>
        <w:t xml:space="preserve">52 Pa. Code </w:t>
      </w:r>
      <w:r w:rsidR="00683A9D">
        <w:rPr>
          <w:rFonts w:ascii="Times New Roman" w:hAnsi="Times New Roman"/>
          <w:sz w:val="26"/>
          <w:szCs w:val="26"/>
        </w:rPr>
        <w:t xml:space="preserve">§ 69.1201(c)(7).  The </w:t>
      </w:r>
      <w:r w:rsidR="00D075DD">
        <w:rPr>
          <w:rFonts w:ascii="Times New Roman" w:hAnsi="Times New Roman"/>
          <w:sz w:val="26"/>
          <w:szCs w:val="26"/>
        </w:rPr>
        <w:t>Prosecutory</w:t>
      </w:r>
      <w:r w:rsidR="00683A9D">
        <w:rPr>
          <w:rFonts w:ascii="Times New Roman" w:hAnsi="Times New Roman"/>
          <w:sz w:val="26"/>
          <w:szCs w:val="26"/>
        </w:rPr>
        <w:t xml:space="preserve"> Staff states</w:t>
      </w:r>
      <w:r w:rsidR="00F8554D">
        <w:rPr>
          <w:rFonts w:ascii="Times New Roman" w:hAnsi="Times New Roman"/>
          <w:sz w:val="26"/>
          <w:szCs w:val="26"/>
        </w:rPr>
        <w:t xml:space="preserve"> that the Settlement was negotiated</w:t>
      </w:r>
      <w:r w:rsidR="00683A9D" w:rsidRPr="00683A9D">
        <w:rPr>
          <w:rFonts w:ascii="Times New Roman" w:hAnsi="Times New Roman"/>
          <w:sz w:val="26"/>
          <w:szCs w:val="26"/>
        </w:rPr>
        <w:t xml:space="preserve"> </w:t>
      </w:r>
      <w:r w:rsidR="00683A9D">
        <w:rPr>
          <w:rFonts w:ascii="Times New Roman" w:hAnsi="Times New Roman"/>
          <w:sz w:val="26"/>
          <w:szCs w:val="26"/>
        </w:rPr>
        <w:t>amicably, and the Settlement itself states that PPL fully cooperated with the investigation.  Settlement at 8, ¶ 27.  This factor supports a lower penalty amount.</w:t>
      </w:r>
    </w:p>
    <w:p w:rsidR="00F8554D" w:rsidRDefault="00F8554D">
      <w:pPr>
        <w:tabs>
          <w:tab w:val="center" w:pos="720"/>
        </w:tabs>
        <w:suppressAutoHyphens/>
        <w:spacing w:line="360" w:lineRule="auto"/>
        <w:rPr>
          <w:rFonts w:ascii="Times New Roman" w:hAnsi="Times New Roman"/>
          <w:sz w:val="26"/>
          <w:szCs w:val="26"/>
        </w:rPr>
      </w:pPr>
    </w:p>
    <w:p w:rsidR="00F8554D" w:rsidRDefault="00F8554D">
      <w:pPr>
        <w:tabs>
          <w:tab w:val="center" w:pos="720"/>
        </w:tabs>
        <w:suppressAutoHyphens/>
        <w:spacing w:line="360" w:lineRule="auto"/>
        <w:rPr>
          <w:rFonts w:ascii="Times New Roman" w:hAnsi="Times New Roman"/>
          <w:sz w:val="26"/>
          <w:szCs w:val="26"/>
        </w:rPr>
      </w:pPr>
      <w:r>
        <w:rPr>
          <w:rFonts w:ascii="Times New Roman" w:hAnsi="Times New Roman"/>
          <w:sz w:val="26"/>
          <w:szCs w:val="26"/>
        </w:rPr>
        <w:lastRenderedPageBreak/>
        <w:tab/>
        <w:t xml:space="preserve"> </w:t>
      </w:r>
      <w:r>
        <w:rPr>
          <w:rFonts w:ascii="Times New Roman" w:hAnsi="Times New Roman"/>
          <w:sz w:val="26"/>
          <w:szCs w:val="26"/>
        </w:rPr>
        <w:tab/>
        <w:t>The eighth factor involves consideration of whether the penalty amount is sufficient to help deter future violations.  52 Pa. Code § 69.1201(c)(8).</w:t>
      </w:r>
      <w:r w:rsidR="00526043">
        <w:rPr>
          <w:rFonts w:ascii="Times New Roman" w:hAnsi="Times New Roman"/>
          <w:sz w:val="26"/>
          <w:szCs w:val="26"/>
        </w:rPr>
        <w:t xml:space="preserve">  </w:t>
      </w:r>
      <w:r w:rsidR="00DB0653">
        <w:rPr>
          <w:rFonts w:ascii="Times New Roman" w:hAnsi="Times New Roman"/>
          <w:sz w:val="26"/>
          <w:szCs w:val="26"/>
        </w:rPr>
        <w:t>Here, PPL has agreed to pay a civil penalty of $5,000 and</w:t>
      </w:r>
      <w:r w:rsidR="008414A2">
        <w:rPr>
          <w:rFonts w:ascii="Times New Roman" w:hAnsi="Times New Roman"/>
          <w:sz w:val="26"/>
          <w:szCs w:val="26"/>
        </w:rPr>
        <w:t xml:space="preserve"> </w:t>
      </w:r>
      <w:r w:rsidR="00DB0653">
        <w:rPr>
          <w:rFonts w:ascii="Times New Roman" w:hAnsi="Times New Roman"/>
          <w:sz w:val="26"/>
          <w:szCs w:val="26"/>
        </w:rPr>
        <w:t>to contribute $</w:t>
      </w:r>
      <w:r w:rsidR="00A06D91">
        <w:rPr>
          <w:rFonts w:ascii="Times New Roman" w:hAnsi="Times New Roman"/>
          <w:sz w:val="26"/>
          <w:szCs w:val="26"/>
        </w:rPr>
        <w:t>1</w:t>
      </w:r>
      <w:r w:rsidR="00DB0653">
        <w:rPr>
          <w:rFonts w:ascii="Times New Roman" w:hAnsi="Times New Roman"/>
          <w:sz w:val="26"/>
          <w:szCs w:val="26"/>
        </w:rPr>
        <w:t>0,000</w:t>
      </w:r>
      <w:r w:rsidR="00A06D91">
        <w:rPr>
          <w:rFonts w:ascii="Times New Roman" w:hAnsi="Times New Roman"/>
          <w:sz w:val="26"/>
          <w:szCs w:val="26"/>
        </w:rPr>
        <w:t xml:space="preserve"> to its Operation HELP hardship fund.  Given that PPL additionally has agreed to correct an issue with its CTP</w:t>
      </w:r>
      <w:r w:rsidR="008414A2">
        <w:rPr>
          <w:rFonts w:ascii="Times New Roman" w:hAnsi="Times New Roman"/>
          <w:sz w:val="26"/>
          <w:szCs w:val="26"/>
        </w:rPr>
        <w:t>, revise its procedures for handling customers with high arrearages, and reinforce its existing policies governing the disclosure of customer information to AAA representatives, we find that the proposed penalty is sufficient to help deter future violations.</w:t>
      </w:r>
    </w:p>
    <w:p w:rsidR="00F8554D" w:rsidRDefault="00F8554D">
      <w:pPr>
        <w:tabs>
          <w:tab w:val="center" w:pos="720"/>
        </w:tabs>
        <w:suppressAutoHyphens/>
        <w:spacing w:line="360" w:lineRule="auto"/>
        <w:rPr>
          <w:rFonts w:ascii="Times New Roman" w:hAnsi="Times New Roman"/>
          <w:sz w:val="26"/>
          <w:szCs w:val="26"/>
        </w:rPr>
      </w:pPr>
    </w:p>
    <w:p w:rsidR="00733556" w:rsidRDefault="00C87AC5">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F8554D">
        <w:rPr>
          <w:rFonts w:ascii="Times New Roman" w:hAnsi="Times New Roman"/>
          <w:sz w:val="26"/>
          <w:szCs w:val="26"/>
        </w:rPr>
        <w:t>The ninth factor examines whether the results of a proposed settlement are consistent with past Commission decisions in similar situations.</w:t>
      </w:r>
      <w:r w:rsidRPr="00C87AC5">
        <w:rPr>
          <w:rFonts w:ascii="Times New Roman" w:hAnsi="Times New Roman"/>
          <w:sz w:val="26"/>
          <w:szCs w:val="26"/>
        </w:rPr>
        <w:t xml:space="preserve"> </w:t>
      </w:r>
      <w:r>
        <w:rPr>
          <w:rFonts w:ascii="Times New Roman" w:hAnsi="Times New Roman"/>
          <w:sz w:val="26"/>
          <w:szCs w:val="26"/>
        </w:rPr>
        <w:t xml:space="preserve"> </w:t>
      </w:r>
    </w:p>
    <w:p w:rsidR="00F8554D" w:rsidRDefault="00C87AC5">
      <w:pPr>
        <w:tabs>
          <w:tab w:val="center" w:pos="720"/>
        </w:tabs>
        <w:suppressAutoHyphens/>
        <w:spacing w:line="360" w:lineRule="auto"/>
        <w:rPr>
          <w:rFonts w:ascii="Times New Roman" w:hAnsi="Times New Roman"/>
          <w:sz w:val="26"/>
          <w:szCs w:val="26"/>
        </w:rPr>
      </w:pPr>
      <w:r>
        <w:rPr>
          <w:rFonts w:ascii="Times New Roman" w:hAnsi="Times New Roman"/>
          <w:sz w:val="26"/>
          <w:szCs w:val="26"/>
        </w:rPr>
        <w:t xml:space="preserve">52 Pa. Code </w:t>
      </w:r>
      <w:r w:rsidR="00992469">
        <w:rPr>
          <w:rFonts w:ascii="Times New Roman" w:hAnsi="Times New Roman"/>
          <w:sz w:val="26"/>
          <w:szCs w:val="26"/>
        </w:rPr>
        <w:t xml:space="preserve">§ 69.1201(c)(9).  </w:t>
      </w:r>
      <w:r>
        <w:rPr>
          <w:rFonts w:ascii="Times New Roman" w:hAnsi="Times New Roman"/>
          <w:sz w:val="26"/>
          <w:szCs w:val="26"/>
        </w:rPr>
        <w:t>Based on our review of recent Commission-approved settlements, we find the proposed Settlement consistent with past Commission decisions in similar situations.</w:t>
      </w:r>
    </w:p>
    <w:p w:rsidR="00875B57" w:rsidRDefault="00875B57">
      <w:pPr>
        <w:tabs>
          <w:tab w:val="center" w:pos="720"/>
        </w:tabs>
        <w:suppressAutoHyphens/>
        <w:spacing w:line="360" w:lineRule="auto"/>
        <w:rPr>
          <w:rFonts w:ascii="Times New Roman" w:hAnsi="Times New Roman"/>
          <w:sz w:val="26"/>
          <w:szCs w:val="26"/>
        </w:rPr>
      </w:pPr>
    </w:p>
    <w:p w:rsidR="007941D0" w:rsidRDefault="00875B57">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 </w:t>
      </w:r>
      <w:r w:rsidR="009B6513">
        <w:rPr>
          <w:rFonts w:ascii="Times New Roman" w:hAnsi="Times New Roman"/>
          <w:sz w:val="26"/>
          <w:szCs w:val="26"/>
        </w:rPr>
        <w:t>tenth standard</w:t>
      </w:r>
      <w:r>
        <w:rPr>
          <w:rFonts w:ascii="Times New Roman" w:hAnsi="Times New Roman"/>
          <w:sz w:val="26"/>
          <w:szCs w:val="26"/>
        </w:rPr>
        <w:t xml:space="preserve"> provides that the Commission may consider other relevant factors in assessing a penalty.  52 Pa. Code § 69.1201(c)(10).</w:t>
      </w:r>
      <w:r w:rsidR="00992469">
        <w:rPr>
          <w:rFonts w:ascii="Times New Roman" w:hAnsi="Times New Roman"/>
          <w:sz w:val="26"/>
          <w:szCs w:val="26"/>
        </w:rPr>
        <w:t xml:space="preserve">  </w:t>
      </w:r>
      <w:r w:rsidR="007941D0">
        <w:rPr>
          <w:rFonts w:ascii="Times New Roman" w:hAnsi="Times New Roman"/>
          <w:sz w:val="26"/>
          <w:szCs w:val="26"/>
        </w:rPr>
        <w:t>We are not aware of any other relevant factors.</w:t>
      </w:r>
    </w:p>
    <w:p w:rsidR="007941D0" w:rsidRDefault="007941D0">
      <w:pPr>
        <w:tabs>
          <w:tab w:val="center" w:pos="720"/>
        </w:tabs>
        <w:suppressAutoHyphens/>
        <w:spacing w:line="360" w:lineRule="auto"/>
        <w:rPr>
          <w:rFonts w:ascii="Times New Roman" w:hAnsi="Times New Roman"/>
          <w:sz w:val="26"/>
          <w:szCs w:val="26"/>
        </w:rPr>
      </w:pPr>
    </w:p>
    <w:p w:rsidR="007941D0" w:rsidRDefault="007941D0">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On balance, we find that the financial provisions of the Settlement are consistent with the </w:t>
      </w:r>
      <w:r w:rsidRPr="007941D0">
        <w:rPr>
          <w:rFonts w:ascii="Times New Roman" w:hAnsi="Times New Roman"/>
          <w:i/>
          <w:sz w:val="26"/>
          <w:szCs w:val="26"/>
        </w:rPr>
        <w:t>Policy Statement</w:t>
      </w:r>
      <w:r>
        <w:rPr>
          <w:rFonts w:ascii="Times New Roman" w:hAnsi="Times New Roman"/>
          <w:sz w:val="26"/>
          <w:szCs w:val="26"/>
        </w:rPr>
        <w:t>.</w:t>
      </w:r>
      <w:r w:rsidR="00E119B8">
        <w:rPr>
          <w:rFonts w:ascii="Times New Roman" w:hAnsi="Times New Roman"/>
          <w:sz w:val="26"/>
          <w:szCs w:val="26"/>
        </w:rPr>
        <w:t xml:space="preserve">  Although the conduct in question involved the termination of service to an elderly customer, </w:t>
      </w:r>
      <w:r w:rsidR="00F5066A">
        <w:rPr>
          <w:rFonts w:ascii="Times New Roman" w:hAnsi="Times New Roman"/>
          <w:sz w:val="26"/>
          <w:szCs w:val="26"/>
        </w:rPr>
        <w:t xml:space="preserve">which is a serious matter, </w:t>
      </w:r>
      <w:r w:rsidR="00E119B8">
        <w:rPr>
          <w:rFonts w:ascii="Times New Roman" w:hAnsi="Times New Roman"/>
          <w:sz w:val="26"/>
          <w:szCs w:val="26"/>
        </w:rPr>
        <w:t>we are not aware of a causal connection between the termination of service and the customer’s death two weeks later.</w:t>
      </w:r>
      <w:r w:rsidR="004B1F2D">
        <w:rPr>
          <w:rFonts w:ascii="Times New Roman" w:hAnsi="Times New Roman"/>
          <w:sz w:val="26"/>
          <w:szCs w:val="26"/>
        </w:rPr>
        <w:t xml:space="preserve">  When considering the appropriateness of a financial penalty, we are cognizant </w:t>
      </w:r>
      <w:r w:rsidR="0034334E">
        <w:rPr>
          <w:rFonts w:ascii="Times New Roman" w:hAnsi="Times New Roman"/>
          <w:sz w:val="26"/>
          <w:szCs w:val="26"/>
        </w:rPr>
        <w:t xml:space="preserve">of the fact </w:t>
      </w:r>
      <w:r w:rsidR="004B1F2D">
        <w:rPr>
          <w:rFonts w:ascii="Times New Roman" w:hAnsi="Times New Roman"/>
          <w:sz w:val="26"/>
          <w:szCs w:val="26"/>
        </w:rPr>
        <w:t xml:space="preserve">that the </w:t>
      </w:r>
      <w:r w:rsidR="003D4930">
        <w:rPr>
          <w:rFonts w:ascii="Times New Roman" w:hAnsi="Times New Roman"/>
          <w:sz w:val="26"/>
          <w:szCs w:val="26"/>
        </w:rPr>
        <w:t xml:space="preserve">primary </w:t>
      </w:r>
      <w:r w:rsidR="004B1F2D">
        <w:rPr>
          <w:rFonts w:ascii="Times New Roman" w:hAnsi="Times New Roman"/>
          <w:sz w:val="26"/>
          <w:szCs w:val="26"/>
        </w:rPr>
        <w:t xml:space="preserve">purpose of a penalty is to influence future behavior and to ensure that </w:t>
      </w:r>
      <w:r w:rsidR="000F7823">
        <w:rPr>
          <w:rFonts w:ascii="Times New Roman" w:hAnsi="Times New Roman"/>
          <w:sz w:val="26"/>
          <w:szCs w:val="26"/>
        </w:rPr>
        <w:t>similar events are avoided in the future.  Here, an examination of the termination of service to Mr. Candler exposed some areas in PPL’s procedures that warran</w:t>
      </w:r>
      <w:r w:rsidR="00A717EC">
        <w:rPr>
          <w:rFonts w:ascii="Times New Roman" w:hAnsi="Times New Roman"/>
          <w:sz w:val="26"/>
          <w:szCs w:val="26"/>
        </w:rPr>
        <w:t xml:space="preserve">ted refinement and improvement, such as the elimination of a customer for consideration for OnTrack when an income of zero incorrectly was entered in PPL’s </w:t>
      </w:r>
      <w:r w:rsidR="00A717EC">
        <w:rPr>
          <w:rFonts w:ascii="Times New Roman" w:hAnsi="Times New Roman"/>
          <w:sz w:val="26"/>
          <w:szCs w:val="26"/>
        </w:rPr>
        <w:lastRenderedPageBreak/>
        <w:t>information system.</w:t>
      </w:r>
      <w:r w:rsidR="00F5066A">
        <w:rPr>
          <w:rFonts w:ascii="Times New Roman" w:hAnsi="Times New Roman"/>
          <w:sz w:val="26"/>
          <w:szCs w:val="26"/>
        </w:rPr>
        <w:t xml:space="preserve">  In our view, the non-financial terms of the proposed Settlement a</w:t>
      </w:r>
      <w:r w:rsidR="0034334E">
        <w:rPr>
          <w:rFonts w:ascii="Times New Roman" w:hAnsi="Times New Roman"/>
          <w:sz w:val="26"/>
          <w:szCs w:val="26"/>
        </w:rPr>
        <w:t xml:space="preserve">ppropriately </w:t>
      </w:r>
      <w:r w:rsidR="00F5066A">
        <w:rPr>
          <w:rFonts w:ascii="Times New Roman" w:hAnsi="Times New Roman"/>
          <w:sz w:val="26"/>
          <w:szCs w:val="26"/>
        </w:rPr>
        <w:t xml:space="preserve">ensure that PPL’s procedures are </w:t>
      </w:r>
      <w:r w:rsidR="0034334E">
        <w:rPr>
          <w:rFonts w:ascii="Times New Roman" w:hAnsi="Times New Roman"/>
          <w:sz w:val="26"/>
          <w:szCs w:val="26"/>
        </w:rPr>
        <w:t xml:space="preserve">revised in the future so </w:t>
      </w:r>
      <w:r w:rsidR="00F5066A">
        <w:rPr>
          <w:rFonts w:ascii="Times New Roman" w:hAnsi="Times New Roman"/>
          <w:sz w:val="26"/>
          <w:szCs w:val="26"/>
        </w:rPr>
        <w:t xml:space="preserve">that customers will not </w:t>
      </w:r>
      <w:r w:rsidR="0034334E">
        <w:rPr>
          <w:rFonts w:ascii="Times New Roman" w:hAnsi="Times New Roman"/>
          <w:sz w:val="26"/>
          <w:szCs w:val="26"/>
        </w:rPr>
        <w:t xml:space="preserve">be incorrectly </w:t>
      </w:r>
      <w:r w:rsidR="00F5066A">
        <w:rPr>
          <w:rFonts w:ascii="Times New Roman" w:hAnsi="Times New Roman"/>
          <w:sz w:val="26"/>
          <w:szCs w:val="26"/>
        </w:rPr>
        <w:t>excluded from consideration for OnTrack,</w:t>
      </w:r>
      <w:r w:rsidR="0034334E">
        <w:rPr>
          <w:rFonts w:ascii="Times New Roman" w:hAnsi="Times New Roman"/>
          <w:sz w:val="26"/>
          <w:szCs w:val="26"/>
        </w:rPr>
        <w:t xml:space="preserve"> and </w:t>
      </w:r>
      <w:r w:rsidR="00F5066A">
        <w:rPr>
          <w:rFonts w:ascii="Times New Roman" w:hAnsi="Times New Roman"/>
          <w:sz w:val="26"/>
          <w:szCs w:val="26"/>
        </w:rPr>
        <w:t xml:space="preserve">elderly customers’ accounts will be discussed with AAA representatives who call on their behalf.  Given that the </w:t>
      </w:r>
      <w:r w:rsidR="003D4930">
        <w:rPr>
          <w:rFonts w:ascii="Times New Roman" w:hAnsi="Times New Roman"/>
          <w:sz w:val="26"/>
          <w:szCs w:val="26"/>
        </w:rPr>
        <w:t xml:space="preserve">shortcomings in PPL’s termination procedures have been addressed by the non-financial terms of the Settlement, </w:t>
      </w:r>
      <w:r w:rsidR="007A6279">
        <w:rPr>
          <w:rFonts w:ascii="Times New Roman" w:hAnsi="Times New Roman"/>
          <w:sz w:val="26"/>
          <w:szCs w:val="26"/>
        </w:rPr>
        <w:t xml:space="preserve">and that the majority of the factors in our </w:t>
      </w:r>
      <w:r w:rsidR="007A6279" w:rsidRPr="007A6279">
        <w:rPr>
          <w:rFonts w:ascii="Times New Roman" w:hAnsi="Times New Roman"/>
          <w:i/>
          <w:sz w:val="26"/>
          <w:szCs w:val="26"/>
        </w:rPr>
        <w:t>Policy Statement</w:t>
      </w:r>
      <w:r w:rsidR="007A6279">
        <w:rPr>
          <w:rFonts w:ascii="Times New Roman" w:hAnsi="Times New Roman"/>
          <w:sz w:val="26"/>
          <w:szCs w:val="26"/>
        </w:rPr>
        <w:t xml:space="preserve"> support a lower penalty amount, </w:t>
      </w:r>
      <w:r w:rsidR="003D4930">
        <w:rPr>
          <w:rFonts w:ascii="Times New Roman" w:hAnsi="Times New Roman"/>
          <w:sz w:val="26"/>
          <w:szCs w:val="26"/>
        </w:rPr>
        <w:t>we find that the financial terms of the Settlement are appropriate.</w:t>
      </w:r>
    </w:p>
    <w:p w:rsidR="007941D0" w:rsidRDefault="007941D0">
      <w:pPr>
        <w:tabs>
          <w:tab w:val="center" w:pos="720"/>
        </w:tabs>
        <w:suppressAutoHyphens/>
        <w:spacing w:line="360" w:lineRule="auto"/>
        <w:rPr>
          <w:rFonts w:ascii="Times New Roman" w:hAnsi="Times New Roman"/>
          <w:sz w:val="26"/>
          <w:szCs w:val="26"/>
        </w:rPr>
      </w:pPr>
    </w:p>
    <w:p w:rsidR="00C373E7" w:rsidRDefault="007941D0">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992469">
        <w:rPr>
          <w:rFonts w:ascii="Times New Roman" w:hAnsi="Times New Roman"/>
          <w:sz w:val="26"/>
          <w:szCs w:val="26"/>
        </w:rPr>
        <w:t>This is an appropriate point at which to address PULP’s Comments and PPL’s Reply Comments</w:t>
      </w:r>
      <w:r w:rsidR="00160498">
        <w:rPr>
          <w:rFonts w:ascii="Times New Roman" w:hAnsi="Times New Roman"/>
          <w:sz w:val="26"/>
          <w:szCs w:val="26"/>
        </w:rPr>
        <w:t>, beginning with PULP’s suggestion that the Commission modify the Settlement by adding a requirement that PPL contribu</w:t>
      </w:r>
      <w:r w:rsidR="00B376B6">
        <w:rPr>
          <w:rFonts w:ascii="Times New Roman" w:hAnsi="Times New Roman"/>
          <w:sz w:val="26"/>
          <w:szCs w:val="26"/>
        </w:rPr>
        <w:t>te an additional $10,000 to its LIURP</w:t>
      </w:r>
      <w:r w:rsidR="00160498">
        <w:rPr>
          <w:rFonts w:ascii="Times New Roman" w:hAnsi="Times New Roman"/>
          <w:sz w:val="26"/>
          <w:szCs w:val="26"/>
        </w:rPr>
        <w:t>.</w:t>
      </w:r>
      <w:r w:rsidR="00B376B6">
        <w:rPr>
          <w:rFonts w:ascii="Times New Roman" w:hAnsi="Times New Roman"/>
          <w:sz w:val="26"/>
          <w:szCs w:val="26"/>
        </w:rPr>
        <w:t xml:space="preserve">  Although we agree with PULP’s positive description of the benefits of low-income weatherization programs, we decline to modify the proposed Settlement as PULP suggests.</w:t>
      </w:r>
      <w:r w:rsidR="00D24C6B">
        <w:rPr>
          <w:rFonts w:ascii="Times New Roman" w:hAnsi="Times New Roman"/>
          <w:sz w:val="26"/>
          <w:szCs w:val="26"/>
        </w:rPr>
        <w:t xml:space="preserve">  </w:t>
      </w:r>
      <w:r w:rsidR="00676AE5">
        <w:rPr>
          <w:rFonts w:ascii="Times New Roman" w:hAnsi="Times New Roman"/>
          <w:sz w:val="26"/>
          <w:szCs w:val="26"/>
        </w:rPr>
        <w:t xml:space="preserve">Given that parties to settled cases are to be afforded flexibility in reaching amicable resolutions so long as the settlement is in the public interest,  </w:t>
      </w:r>
    </w:p>
    <w:p w:rsidR="00160498" w:rsidRDefault="00B2349B">
      <w:pPr>
        <w:tabs>
          <w:tab w:val="center" w:pos="720"/>
        </w:tabs>
        <w:suppressAutoHyphens/>
        <w:spacing w:line="360" w:lineRule="auto"/>
        <w:rPr>
          <w:rFonts w:ascii="Times New Roman" w:hAnsi="Times New Roman"/>
          <w:sz w:val="26"/>
          <w:szCs w:val="26"/>
        </w:rPr>
      </w:pPr>
      <w:r>
        <w:rPr>
          <w:rFonts w:ascii="Times New Roman" w:hAnsi="Times New Roman"/>
          <w:sz w:val="26"/>
          <w:szCs w:val="26"/>
        </w:rPr>
        <w:t>52 Pa. Code § 69.1201(a), we are reluctant to disturb the proposed Settlement by adding a requirement that PPL make a contribution of $10,000 to LIURP.  We agree with PPL’</w:t>
      </w:r>
      <w:r w:rsidR="0094565C">
        <w:rPr>
          <w:rFonts w:ascii="Times New Roman" w:hAnsi="Times New Roman"/>
          <w:sz w:val="26"/>
          <w:szCs w:val="26"/>
        </w:rPr>
        <w:t>s general observation that, if the Commission begins a practice of modifying settlements, parties will face uncertainty and, as a result, could be discouraged from entering into settlement agreements.  PPL points out that the elimination of uncertainty is a factor that a party considers when determining whether to enter into a settlement agreement.</w:t>
      </w:r>
    </w:p>
    <w:p w:rsidR="0094565C" w:rsidRDefault="0094565C">
      <w:pPr>
        <w:tabs>
          <w:tab w:val="center" w:pos="720"/>
        </w:tabs>
        <w:suppressAutoHyphens/>
        <w:spacing w:line="360" w:lineRule="auto"/>
        <w:rPr>
          <w:rFonts w:ascii="Times New Roman" w:hAnsi="Times New Roman"/>
          <w:sz w:val="26"/>
          <w:szCs w:val="26"/>
        </w:rPr>
      </w:pPr>
    </w:p>
    <w:p w:rsidR="0094565C" w:rsidRDefault="0094565C">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Turning now to PULP’s suggested revisions to the non-finan</w:t>
      </w:r>
      <w:r w:rsidR="009A52A8">
        <w:rPr>
          <w:rFonts w:ascii="Times New Roman" w:hAnsi="Times New Roman"/>
          <w:sz w:val="26"/>
          <w:szCs w:val="26"/>
        </w:rPr>
        <w:t xml:space="preserve">cial terms of the Settlement, PULP </w:t>
      </w:r>
      <w:r w:rsidR="00CA634E">
        <w:rPr>
          <w:rFonts w:ascii="Times New Roman" w:hAnsi="Times New Roman"/>
          <w:sz w:val="26"/>
          <w:szCs w:val="26"/>
        </w:rPr>
        <w:t xml:space="preserve">proposes a five-year </w:t>
      </w:r>
      <w:r w:rsidR="009A52A8">
        <w:rPr>
          <w:rFonts w:ascii="Times New Roman" w:hAnsi="Times New Roman"/>
          <w:sz w:val="26"/>
          <w:szCs w:val="26"/>
        </w:rPr>
        <w:t xml:space="preserve">extension to the current </w:t>
      </w:r>
      <w:r w:rsidR="007A2334">
        <w:rPr>
          <w:rFonts w:ascii="Times New Roman" w:hAnsi="Times New Roman"/>
          <w:sz w:val="26"/>
          <w:szCs w:val="26"/>
        </w:rPr>
        <w:t>moratorium</w:t>
      </w:r>
      <w:r w:rsidR="00B76D2F">
        <w:rPr>
          <w:rFonts w:ascii="Times New Roman" w:hAnsi="Times New Roman"/>
          <w:sz w:val="26"/>
          <w:szCs w:val="26"/>
        </w:rPr>
        <w:t xml:space="preserve"> on Friday termi</w:t>
      </w:r>
      <w:r w:rsidR="009A52A8">
        <w:rPr>
          <w:rFonts w:ascii="Times New Roman" w:hAnsi="Times New Roman"/>
          <w:sz w:val="26"/>
          <w:szCs w:val="26"/>
        </w:rPr>
        <w:t xml:space="preserve">nations.  However, </w:t>
      </w:r>
      <w:r w:rsidR="00B76D2F">
        <w:rPr>
          <w:rFonts w:ascii="Times New Roman" w:hAnsi="Times New Roman"/>
          <w:sz w:val="26"/>
          <w:szCs w:val="26"/>
        </w:rPr>
        <w:t xml:space="preserve">the termination </w:t>
      </w:r>
      <w:r w:rsidR="009A52A8">
        <w:rPr>
          <w:rFonts w:ascii="Times New Roman" w:hAnsi="Times New Roman"/>
          <w:sz w:val="26"/>
          <w:szCs w:val="26"/>
        </w:rPr>
        <w:t xml:space="preserve">in this case </w:t>
      </w:r>
      <w:r w:rsidR="00B76D2F">
        <w:rPr>
          <w:rFonts w:ascii="Times New Roman" w:hAnsi="Times New Roman"/>
          <w:sz w:val="26"/>
          <w:szCs w:val="26"/>
        </w:rPr>
        <w:t xml:space="preserve">took place on a Thursday.  We agree with PPL that broad issues such as this are more appropriately raised in a different type of proceeding, such as PPL’s periodic universal service </w:t>
      </w:r>
      <w:r w:rsidR="009A52A8">
        <w:rPr>
          <w:rFonts w:ascii="Times New Roman" w:hAnsi="Times New Roman"/>
          <w:sz w:val="26"/>
          <w:szCs w:val="26"/>
        </w:rPr>
        <w:t>proceedings</w:t>
      </w:r>
      <w:r w:rsidR="00B76D2F">
        <w:rPr>
          <w:rFonts w:ascii="Times New Roman" w:hAnsi="Times New Roman"/>
          <w:sz w:val="26"/>
          <w:szCs w:val="26"/>
        </w:rPr>
        <w:t>.</w:t>
      </w:r>
      <w:r w:rsidR="007D761F">
        <w:rPr>
          <w:rFonts w:ascii="Times New Roman" w:hAnsi="Times New Roman"/>
          <w:sz w:val="26"/>
          <w:szCs w:val="26"/>
        </w:rPr>
        <w:t xml:space="preserve">  Second, PULP suggests</w:t>
      </w:r>
      <w:r w:rsidR="009A52A8">
        <w:rPr>
          <w:rFonts w:ascii="Times New Roman" w:hAnsi="Times New Roman"/>
          <w:sz w:val="26"/>
          <w:szCs w:val="26"/>
        </w:rPr>
        <w:t xml:space="preserve"> that the Commission require </w:t>
      </w:r>
      <w:r w:rsidR="007D761F">
        <w:rPr>
          <w:rFonts w:ascii="Times New Roman" w:hAnsi="Times New Roman"/>
          <w:sz w:val="26"/>
          <w:szCs w:val="26"/>
        </w:rPr>
        <w:t xml:space="preserve">that </w:t>
      </w:r>
      <w:r w:rsidR="009A52A8">
        <w:rPr>
          <w:rFonts w:ascii="Times New Roman" w:hAnsi="Times New Roman"/>
          <w:sz w:val="26"/>
          <w:szCs w:val="26"/>
        </w:rPr>
        <w:t>PPL</w:t>
      </w:r>
      <w:r w:rsidR="007D761F">
        <w:rPr>
          <w:rFonts w:ascii="Times New Roman" w:hAnsi="Times New Roman"/>
          <w:sz w:val="26"/>
          <w:szCs w:val="26"/>
        </w:rPr>
        <w:t xml:space="preserve"> </w:t>
      </w:r>
      <w:r w:rsidR="00D24C6B">
        <w:rPr>
          <w:rFonts w:ascii="Times New Roman" w:hAnsi="Times New Roman"/>
          <w:sz w:val="26"/>
          <w:szCs w:val="26"/>
        </w:rPr>
        <w:t>establish a work</w:t>
      </w:r>
      <w:r w:rsidR="009A52A8">
        <w:rPr>
          <w:rFonts w:ascii="Times New Roman" w:hAnsi="Times New Roman"/>
          <w:sz w:val="26"/>
          <w:szCs w:val="26"/>
        </w:rPr>
        <w:t xml:space="preserve"> group to develop training </w:t>
      </w:r>
      <w:r w:rsidR="009A52A8">
        <w:rPr>
          <w:rFonts w:ascii="Times New Roman" w:hAnsi="Times New Roman"/>
          <w:sz w:val="26"/>
          <w:szCs w:val="26"/>
        </w:rPr>
        <w:lastRenderedPageBreak/>
        <w:t xml:space="preserve">materials and scripts.  </w:t>
      </w:r>
      <w:r w:rsidR="00045809">
        <w:rPr>
          <w:rFonts w:ascii="Times New Roman" w:hAnsi="Times New Roman"/>
          <w:sz w:val="26"/>
          <w:szCs w:val="26"/>
        </w:rPr>
        <w:t>PULP bases this suggestion, at least in part, on the conclusion that there have been repeated violations by PPL in the past.  We find no basis for this conclusion in the</w:t>
      </w:r>
      <w:r w:rsidR="007D761F">
        <w:rPr>
          <w:rFonts w:ascii="Times New Roman" w:hAnsi="Times New Roman"/>
          <w:sz w:val="26"/>
          <w:szCs w:val="26"/>
        </w:rPr>
        <w:t xml:space="preserve"> record of this proceeding, and </w:t>
      </w:r>
      <w:r w:rsidR="00B609B6">
        <w:rPr>
          <w:rFonts w:ascii="Times New Roman" w:hAnsi="Times New Roman"/>
          <w:sz w:val="26"/>
          <w:szCs w:val="26"/>
        </w:rPr>
        <w:t xml:space="preserve">agree with </w:t>
      </w:r>
      <w:r w:rsidR="005A406E">
        <w:rPr>
          <w:rFonts w:ascii="Times New Roman" w:hAnsi="Times New Roman"/>
          <w:sz w:val="26"/>
          <w:szCs w:val="26"/>
        </w:rPr>
        <w:t xml:space="preserve">PPL’s points regarding the added complexity and costs that would be involved in the creation of such a work group.  Given </w:t>
      </w:r>
      <w:r w:rsidR="00F614F6">
        <w:rPr>
          <w:rFonts w:ascii="Times New Roman" w:hAnsi="Times New Roman"/>
          <w:sz w:val="26"/>
          <w:szCs w:val="26"/>
        </w:rPr>
        <w:t xml:space="preserve">the </w:t>
      </w:r>
      <w:r w:rsidR="005A406E">
        <w:rPr>
          <w:rFonts w:ascii="Times New Roman" w:hAnsi="Times New Roman"/>
          <w:sz w:val="26"/>
          <w:szCs w:val="26"/>
        </w:rPr>
        <w:t>impracticality and diffi</w:t>
      </w:r>
      <w:r w:rsidR="00B609B6">
        <w:rPr>
          <w:rFonts w:ascii="Times New Roman" w:hAnsi="Times New Roman"/>
          <w:sz w:val="26"/>
          <w:szCs w:val="26"/>
        </w:rPr>
        <w:t>culty involved in getting an outside group with little knowledge of PPL internal processes up to speed, and the limited value in establishing such a work group for a utility whose customer satisfaction rating</w:t>
      </w:r>
      <w:r w:rsidR="00F614F6">
        <w:rPr>
          <w:rFonts w:ascii="Times New Roman" w:hAnsi="Times New Roman"/>
          <w:sz w:val="26"/>
          <w:szCs w:val="26"/>
        </w:rPr>
        <w:t>s</w:t>
      </w:r>
      <w:r w:rsidR="00B609B6">
        <w:rPr>
          <w:rFonts w:ascii="Times New Roman" w:hAnsi="Times New Roman"/>
          <w:sz w:val="26"/>
          <w:szCs w:val="26"/>
        </w:rPr>
        <w:t xml:space="preserve"> already are high, we decline to adopt this suggestion. </w:t>
      </w:r>
      <w:r w:rsidR="00045809">
        <w:rPr>
          <w:rFonts w:ascii="Times New Roman" w:hAnsi="Times New Roman"/>
          <w:sz w:val="26"/>
          <w:szCs w:val="26"/>
        </w:rPr>
        <w:t xml:space="preserve">  </w:t>
      </w:r>
    </w:p>
    <w:p w:rsidR="007D761F" w:rsidRDefault="007D761F">
      <w:pPr>
        <w:tabs>
          <w:tab w:val="center" w:pos="720"/>
        </w:tabs>
        <w:suppressAutoHyphens/>
        <w:spacing w:line="360" w:lineRule="auto"/>
        <w:rPr>
          <w:rFonts w:ascii="Times New Roman" w:hAnsi="Times New Roman"/>
          <w:sz w:val="26"/>
          <w:szCs w:val="26"/>
        </w:rPr>
      </w:pPr>
    </w:p>
    <w:p w:rsidR="00C373E7" w:rsidRDefault="007D761F" w:rsidP="00C373E7">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Third, PULP suggests that customers with zero income be referred to OnTrack so that PPL will be in a position to refer them to other programs</w:t>
      </w:r>
      <w:r w:rsidR="00F70F97">
        <w:rPr>
          <w:rFonts w:ascii="Times New Roman" w:hAnsi="Times New Roman"/>
          <w:sz w:val="26"/>
          <w:szCs w:val="26"/>
        </w:rPr>
        <w:t>, s</w:t>
      </w:r>
      <w:r w:rsidR="008B4DD7">
        <w:rPr>
          <w:rFonts w:ascii="Times New Roman" w:hAnsi="Times New Roman"/>
          <w:sz w:val="26"/>
          <w:szCs w:val="26"/>
        </w:rPr>
        <w:t>uch as LIHEAP or Operation HELP</w:t>
      </w:r>
      <w:r>
        <w:rPr>
          <w:rFonts w:ascii="Times New Roman" w:hAnsi="Times New Roman"/>
          <w:sz w:val="26"/>
          <w:szCs w:val="26"/>
        </w:rPr>
        <w:t>.</w:t>
      </w:r>
      <w:r w:rsidR="008B4DD7">
        <w:rPr>
          <w:rFonts w:ascii="Times New Roman" w:hAnsi="Times New Roman"/>
          <w:sz w:val="26"/>
          <w:szCs w:val="26"/>
        </w:rPr>
        <w:t xml:space="preserve">  Although we share PULP’s concern that utilities provide low-income and no-income customers with information about available assistance, referral of no-income customers to a program for which they are not eligible is an inefficient way to accomplish this objective.  We share PPL’s concern that referring no-income customer</w:t>
      </w:r>
      <w:r w:rsidR="00D63624">
        <w:rPr>
          <w:rFonts w:ascii="Times New Roman" w:hAnsi="Times New Roman"/>
          <w:sz w:val="26"/>
          <w:szCs w:val="26"/>
        </w:rPr>
        <w:t>s</w:t>
      </w:r>
      <w:r w:rsidR="008B4DD7">
        <w:rPr>
          <w:rFonts w:ascii="Times New Roman" w:hAnsi="Times New Roman"/>
          <w:sz w:val="26"/>
          <w:szCs w:val="26"/>
        </w:rPr>
        <w:t xml:space="preserve"> to OnTrack could create a false sense of expectation in these customers.  Given PPL’s assertion</w:t>
      </w:r>
      <w:r w:rsidR="000465A2">
        <w:rPr>
          <w:rFonts w:ascii="Times New Roman" w:hAnsi="Times New Roman"/>
          <w:sz w:val="26"/>
          <w:szCs w:val="26"/>
        </w:rPr>
        <w:t xml:space="preserve"> that CSRs are trained to automatically provide information on Operation HELP and LIHEAP to low-income customers who </w:t>
      </w:r>
      <w:r w:rsidR="0087687B">
        <w:rPr>
          <w:rFonts w:ascii="Times New Roman" w:hAnsi="Times New Roman"/>
          <w:sz w:val="26"/>
          <w:szCs w:val="26"/>
        </w:rPr>
        <w:t>are establishing payment arrangements, we decline to mandate the change to PPL’s OnTrack referral procedure as suggested by PULP.  We do, however, encourage PPL to review its procedures to ensure that low-income and no-income customers are referred to all available assistance programs for which they may qualify.</w:t>
      </w:r>
    </w:p>
    <w:p w:rsidR="00C373E7" w:rsidRDefault="00C373E7" w:rsidP="00C373E7">
      <w:pPr>
        <w:tabs>
          <w:tab w:val="center" w:pos="720"/>
        </w:tabs>
        <w:suppressAutoHyphens/>
        <w:spacing w:line="360" w:lineRule="auto"/>
        <w:rPr>
          <w:rFonts w:ascii="Times New Roman" w:hAnsi="Times New Roman"/>
          <w:sz w:val="26"/>
          <w:szCs w:val="26"/>
        </w:rPr>
      </w:pPr>
    </w:p>
    <w:p w:rsidR="00701BBB" w:rsidRDefault="00C0367F" w:rsidP="00C373E7">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Fourth, PULP states that the confidentiality provisions of the proposed Settlement appear to conflict with the terms of the previously-approved </w:t>
      </w:r>
      <w:r w:rsidRPr="00C0367F">
        <w:rPr>
          <w:rFonts w:ascii="Times New Roman" w:hAnsi="Times New Roman"/>
          <w:i/>
          <w:sz w:val="26"/>
          <w:szCs w:val="26"/>
        </w:rPr>
        <w:t>Lancaster Settlement</w:t>
      </w:r>
      <w:r>
        <w:rPr>
          <w:rFonts w:ascii="Times New Roman" w:hAnsi="Times New Roman"/>
          <w:sz w:val="26"/>
          <w:szCs w:val="26"/>
        </w:rPr>
        <w:t xml:space="preserve">, and suggests that the Commission provide guidance to reconcile the perceived discrepancy.  In response, PPL states that </w:t>
      </w:r>
      <w:r w:rsidR="00701BBB">
        <w:rPr>
          <w:rFonts w:ascii="Times New Roman" w:hAnsi="Times New Roman"/>
          <w:sz w:val="26"/>
          <w:szCs w:val="26"/>
        </w:rPr>
        <w:t>the terms pertaining to customer confidentiality trainin</w:t>
      </w:r>
      <w:r w:rsidR="00F614F6">
        <w:rPr>
          <w:rFonts w:ascii="Times New Roman" w:hAnsi="Times New Roman"/>
          <w:sz w:val="26"/>
          <w:szCs w:val="26"/>
        </w:rPr>
        <w:t>g in the instant Settlement do</w:t>
      </w:r>
      <w:r w:rsidR="00701BBB">
        <w:rPr>
          <w:rFonts w:ascii="Times New Roman" w:hAnsi="Times New Roman"/>
          <w:sz w:val="26"/>
          <w:szCs w:val="26"/>
        </w:rPr>
        <w:t xml:space="preserve"> n</w:t>
      </w:r>
      <w:r w:rsidR="00F614F6">
        <w:rPr>
          <w:rFonts w:ascii="Times New Roman" w:hAnsi="Times New Roman"/>
          <w:sz w:val="26"/>
          <w:szCs w:val="26"/>
        </w:rPr>
        <w:t xml:space="preserve">ot conflict with prior </w:t>
      </w:r>
      <w:r w:rsidR="00701BBB">
        <w:rPr>
          <w:rFonts w:ascii="Times New Roman" w:hAnsi="Times New Roman"/>
          <w:sz w:val="26"/>
          <w:szCs w:val="26"/>
        </w:rPr>
        <w:t xml:space="preserve">settlement terms:  </w:t>
      </w:r>
    </w:p>
    <w:p w:rsidR="00701BBB" w:rsidRDefault="00701BBB" w:rsidP="00701BBB">
      <w:pPr>
        <w:keepNext/>
        <w:tabs>
          <w:tab w:val="center" w:pos="720"/>
        </w:tabs>
        <w:suppressAutoHyphens/>
        <w:ind w:left="1440" w:right="1440"/>
        <w:rPr>
          <w:rFonts w:ascii="Times New Roman" w:hAnsi="Times New Roman"/>
          <w:sz w:val="26"/>
          <w:szCs w:val="26"/>
        </w:rPr>
      </w:pPr>
      <w:r>
        <w:rPr>
          <w:rFonts w:ascii="Times New Roman" w:hAnsi="Times New Roman"/>
          <w:sz w:val="26"/>
          <w:szCs w:val="26"/>
        </w:rPr>
        <w:lastRenderedPageBreak/>
        <w:t>PPL Electric did not develop a new policy regarding the disclosure of account information for AAA caseworkers calling on behalf of their clients.  The Company’s existing procedures recognize that there are certain circumstances when disclosing customer information is acceptable in the interest of assisting a vulnerable household.  Examples include customers [who] are in the hospital, elderly, hard of hearing, cannot speak English or mentally impaired.  The training provided by the Company to its CSRs was simply a reinforcement of an existing policy.</w:t>
      </w:r>
    </w:p>
    <w:p w:rsidR="00701BBB" w:rsidRDefault="00701BBB" w:rsidP="00701BBB">
      <w:pPr>
        <w:keepNext/>
        <w:tabs>
          <w:tab w:val="center" w:pos="720"/>
        </w:tabs>
        <w:suppressAutoHyphens/>
        <w:ind w:left="1440" w:right="720"/>
        <w:rPr>
          <w:rFonts w:ascii="Times New Roman" w:hAnsi="Times New Roman"/>
          <w:sz w:val="26"/>
          <w:szCs w:val="26"/>
        </w:rPr>
      </w:pPr>
    </w:p>
    <w:p w:rsidR="00701BBB" w:rsidRDefault="00701BBB" w:rsidP="00701BBB">
      <w:pPr>
        <w:keepNext/>
        <w:tabs>
          <w:tab w:val="center" w:pos="720"/>
        </w:tabs>
        <w:suppressAutoHyphens/>
        <w:spacing w:line="360" w:lineRule="auto"/>
        <w:rPr>
          <w:rFonts w:ascii="Times New Roman" w:hAnsi="Times New Roman"/>
          <w:sz w:val="26"/>
          <w:szCs w:val="26"/>
        </w:rPr>
      </w:pPr>
      <w:r w:rsidRPr="008C430C">
        <w:rPr>
          <w:rFonts w:ascii="Times New Roman" w:hAnsi="Times New Roman"/>
          <w:i/>
          <w:sz w:val="26"/>
          <w:szCs w:val="26"/>
        </w:rPr>
        <w:t>Id.</w:t>
      </w:r>
      <w:r>
        <w:rPr>
          <w:rFonts w:ascii="Times New Roman" w:hAnsi="Times New Roman"/>
          <w:sz w:val="26"/>
          <w:szCs w:val="26"/>
        </w:rPr>
        <w:t xml:space="preserve"> at 8.  </w:t>
      </w:r>
      <w:r w:rsidR="00C178DA">
        <w:rPr>
          <w:rFonts w:ascii="Times New Roman" w:hAnsi="Times New Roman"/>
          <w:sz w:val="26"/>
          <w:szCs w:val="26"/>
        </w:rPr>
        <w:t>The Settlement itself also states that discussing the customer’s account with the AAA representative “would have been consistent with and not prohibited by the Company’s policy regarding disclosure of customer information.”  Settlement at 7.  The Settlement requires PPL to conduct training for its call center personnel to review and reinforce its existing procedures and</w:t>
      </w:r>
      <w:r w:rsidR="00B40A3D">
        <w:rPr>
          <w:rFonts w:ascii="Times New Roman" w:hAnsi="Times New Roman"/>
          <w:sz w:val="26"/>
          <w:szCs w:val="26"/>
        </w:rPr>
        <w:t xml:space="preserve"> the exceptions to its customer confidentiality policy for customers with special circumstances.  </w:t>
      </w:r>
      <w:r w:rsidR="00B40A3D" w:rsidRPr="00B40A3D">
        <w:rPr>
          <w:rFonts w:ascii="Times New Roman" w:hAnsi="Times New Roman"/>
          <w:i/>
          <w:sz w:val="26"/>
          <w:szCs w:val="26"/>
        </w:rPr>
        <w:t>Id.</w:t>
      </w:r>
      <w:r w:rsidR="00B40A3D">
        <w:rPr>
          <w:rFonts w:ascii="Times New Roman" w:hAnsi="Times New Roman"/>
          <w:sz w:val="26"/>
          <w:szCs w:val="26"/>
        </w:rPr>
        <w:t xml:space="preserve"> at 9.  </w:t>
      </w:r>
      <w:r>
        <w:rPr>
          <w:rFonts w:ascii="Times New Roman" w:hAnsi="Times New Roman"/>
          <w:sz w:val="26"/>
          <w:szCs w:val="26"/>
        </w:rPr>
        <w:t>G</w:t>
      </w:r>
      <w:r w:rsidR="00B40A3D">
        <w:rPr>
          <w:rFonts w:ascii="Times New Roman" w:hAnsi="Times New Roman"/>
          <w:sz w:val="26"/>
          <w:szCs w:val="26"/>
        </w:rPr>
        <w:t xml:space="preserve">iven the fact that the proposed Settlement does not change PPL’s current policy and procedures pertaining to customer confidentiality, it does not appear that further </w:t>
      </w:r>
      <w:r>
        <w:rPr>
          <w:rFonts w:ascii="Times New Roman" w:hAnsi="Times New Roman"/>
          <w:sz w:val="26"/>
          <w:szCs w:val="26"/>
        </w:rPr>
        <w:t xml:space="preserve">guidance </w:t>
      </w:r>
      <w:r w:rsidR="00B40A3D">
        <w:rPr>
          <w:rFonts w:ascii="Times New Roman" w:hAnsi="Times New Roman"/>
          <w:sz w:val="26"/>
          <w:szCs w:val="26"/>
        </w:rPr>
        <w:t xml:space="preserve">from the Commission </w:t>
      </w:r>
      <w:r>
        <w:rPr>
          <w:rFonts w:ascii="Times New Roman" w:hAnsi="Times New Roman"/>
          <w:sz w:val="26"/>
          <w:szCs w:val="26"/>
        </w:rPr>
        <w:t>is necessary.</w:t>
      </w:r>
    </w:p>
    <w:p w:rsidR="00701BBB" w:rsidRDefault="00701BBB" w:rsidP="00701BBB">
      <w:pPr>
        <w:keepNext/>
        <w:tabs>
          <w:tab w:val="center" w:pos="720"/>
        </w:tabs>
        <w:suppressAutoHyphens/>
        <w:spacing w:line="360" w:lineRule="auto"/>
        <w:rPr>
          <w:rFonts w:ascii="Times New Roman" w:hAnsi="Times New Roman"/>
          <w:sz w:val="26"/>
          <w:szCs w:val="26"/>
        </w:rPr>
      </w:pPr>
    </w:p>
    <w:p w:rsidR="00701BBB" w:rsidRDefault="00C93094" w:rsidP="00701BBB">
      <w:pPr>
        <w:keepNext/>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Fi</w:t>
      </w:r>
      <w:r w:rsidR="00290740">
        <w:rPr>
          <w:rFonts w:ascii="Times New Roman" w:hAnsi="Times New Roman"/>
          <w:sz w:val="26"/>
          <w:szCs w:val="26"/>
        </w:rPr>
        <w:t>fth</w:t>
      </w:r>
      <w:r w:rsidR="00701BBB">
        <w:rPr>
          <w:rFonts w:ascii="Times New Roman" w:hAnsi="Times New Roman"/>
          <w:sz w:val="26"/>
          <w:szCs w:val="26"/>
        </w:rPr>
        <w:t>, PULP</w:t>
      </w:r>
      <w:r>
        <w:rPr>
          <w:rFonts w:ascii="Times New Roman" w:hAnsi="Times New Roman"/>
          <w:sz w:val="26"/>
          <w:szCs w:val="26"/>
        </w:rPr>
        <w:t xml:space="preserve"> argues in general terms that stronger sanctions are needed to deter future violations by PPL.  It is not clear whether this argument refers to the additional contribution of $10,000 </w:t>
      </w:r>
      <w:r w:rsidR="00290740">
        <w:rPr>
          <w:rFonts w:ascii="Times New Roman" w:hAnsi="Times New Roman"/>
          <w:sz w:val="26"/>
          <w:szCs w:val="26"/>
        </w:rPr>
        <w:t xml:space="preserve">to LIURP </w:t>
      </w:r>
      <w:r>
        <w:rPr>
          <w:rFonts w:ascii="Times New Roman" w:hAnsi="Times New Roman"/>
          <w:sz w:val="26"/>
          <w:szCs w:val="26"/>
        </w:rPr>
        <w:t>that PULP has suggested, or if PULP is requesting additional, unspecified sanctions.  For the reasons s</w:t>
      </w:r>
      <w:r w:rsidR="00290740">
        <w:rPr>
          <w:rFonts w:ascii="Times New Roman" w:hAnsi="Times New Roman"/>
          <w:sz w:val="26"/>
          <w:szCs w:val="26"/>
        </w:rPr>
        <w:t xml:space="preserve">tated above, we decline to increase the monetary penalties that have </w:t>
      </w:r>
      <w:r w:rsidR="00F614F6">
        <w:rPr>
          <w:rFonts w:ascii="Times New Roman" w:hAnsi="Times New Roman"/>
          <w:sz w:val="26"/>
          <w:szCs w:val="26"/>
        </w:rPr>
        <w:t xml:space="preserve">been </w:t>
      </w:r>
      <w:r w:rsidR="00290740">
        <w:rPr>
          <w:rFonts w:ascii="Times New Roman" w:hAnsi="Times New Roman"/>
          <w:sz w:val="26"/>
          <w:szCs w:val="26"/>
        </w:rPr>
        <w:t>agreed upon by the Prosecutory Staff and PPL.  There is no basis in the record of this proceeding to conclude that PPL has violated any Commission Regulation or Order, or any provision of the Code that would warrant additional monetary penalties.</w:t>
      </w:r>
    </w:p>
    <w:p w:rsidR="00290740" w:rsidRDefault="00290740" w:rsidP="00701BBB">
      <w:pPr>
        <w:keepNext/>
        <w:tabs>
          <w:tab w:val="center" w:pos="720"/>
        </w:tabs>
        <w:suppressAutoHyphens/>
        <w:spacing w:line="360" w:lineRule="auto"/>
        <w:rPr>
          <w:rFonts w:ascii="Times New Roman" w:hAnsi="Times New Roman"/>
          <w:sz w:val="26"/>
          <w:szCs w:val="26"/>
        </w:rPr>
      </w:pPr>
    </w:p>
    <w:p w:rsidR="007C40AF" w:rsidRDefault="00F614F6" w:rsidP="00DA50F7">
      <w:pPr>
        <w:keepNext/>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Finally, we note that our Order of August 11, 2011, </w:t>
      </w:r>
      <w:r w:rsidR="00290740">
        <w:rPr>
          <w:rFonts w:ascii="Times New Roman" w:hAnsi="Times New Roman"/>
          <w:sz w:val="26"/>
          <w:szCs w:val="26"/>
        </w:rPr>
        <w:t xml:space="preserve">asked the Parties to </w:t>
      </w:r>
      <w:r w:rsidR="00334ED6">
        <w:rPr>
          <w:rFonts w:ascii="Times New Roman" w:hAnsi="Times New Roman"/>
          <w:sz w:val="26"/>
          <w:szCs w:val="26"/>
        </w:rPr>
        <w:t xml:space="preserve">provide comments regarding causation of the death of the customer, Mr. Warren Candler.  </w:t>
      </w:r>
      <w:r w:rsidR="00334ED6">
        <w:rPr>
          <w:rFonts w:ascii="Times New Roman" w:hAnsi="Times New Roman"/>
          <w:sz w:val="26"/>
          <w:szCs w:val="26"/>
        </w:rPr>
        <w:lastRenderedPageBreak/>
        <w:t xml:space="preserve">It is unclear from the proposed Settlement if the termination of Mr. Candler’s service was connected to his death.  In its Reply Comments, PPL states that </w:t>
      </w:r>
      <w:r w:rsidR="00DA50F7">
        <w:rPr>
          <w:rFonts w:ascii="Times New Roman" w:hAnsi="Times New Roman"/>
          <w:sz w:val="26"/>
          <w:szCs w:val="26"/>
        </w:rPr>
        <w:t>there were extended int</w:t>
      </w:r>
      <w:r w:rsidR="00D24C6B">
        <w:rPr>
          <w:rFonts w:ascii="Times New Roman" w:hAnsi="Times New Roman"/>
          <w:sz w:val="26"/>
          <w:szCs w:val="26"/>
        </w:rPr>
        <w:t>eractions between PPL and Mr. C</w:t>
      </w:r>
      <w:r w:rsidR="00DA50F7">
        <w:rPr>
          <w:rFonts w:ascii="Times New Roman" w:hAnsi="Times New Roman"/>
          <w:sz w:val="26"/>
          <w:szCs w:val="26"/>
        </w:rPr>
        <w:t>andler over several months regarding his past due account.  After repeated termination notices and failure of the customer to keep his payment arrangements, PPL terminated his service on Thursday, June 10, 2010.  “Approximately two weeks later, on June 25, 2010, the customer, who was 85 years old, passed away.  The situation was unfortunate, but it was not caused by the Company.  There was no cause of death listed, there was no fire and the electric termination did not occur during the winter months.”  Reply Comments at 2.  We appreciate the information that PPL has supplied in response to our request.</w:t>
      </w:r>
    </w:p>
    <w:p w:rsidR="00DA50F7" w:rsidRPr="007C40AF" w:rsidRDefault="00DA50F7" w:rsidP="00DA50F7">
      <w:pPr>
        <w:keepNext/>
        <w:tabs>
          <w:tab w:val="center" w:pos="720"/>
        </w:tabs>
        <w:suppressAutoHyphens/>
        <w:spacing w:line="360" w:lineRule="auto"/>
        <w:rPr>
          <w:rFonts w:ascii="Times New Roman" w:hAnsi="Times New Roman"/>
          <w:sz w:val="26"/>
          <w:szCs w:val="26"/>
        </w:rPr>
      </w:pPr>
    </w:p>
    <w:p w:rsidR="00C970A1" w:rsidRPr="00C970A1" w:rsidRDefault="00C970A1" w:rsidP="00AB404B">
      <w:pPr>
        <w:keepNext/>
        <w:spacing w:line="360" w:lineRule="auto"/>
        <w:ind w:left="720" w:hanging="720"/>
        <w:jc w:val="center"/>
        <w:rPr>
          <w:rFonts w:ascii="Times New Roman" w:hAnsi="Times New Roman"/>
          <w:b/>
          <w:sz w:val="26"/>
          <w:szCs w:val="26"/>
        </w:rPr>
      </w:pPr>
      <w:r>
        <w:rPr>
          <w:rFonts w:ascii="Times New Roman" w:hAnsi="Times New Roman"/>
          <w:b/>
          <w:sz w:val="26"/>
          <w:szCs w:val="26"/>
        </w:rPr>
        <w:t>Conclusion</w:t>
      </w:r>
    </w:p>
    <w:p w:rsidR="00C970A1" w:rsidRDefault="00C970A1" w:rsidP="00AB404B">
      <w:pPr>
        <w:keepNext/>
        <w:spacing w:line="360" w:lineRule="auto"/>
        <w:rPr>
          <w:rFonts w:ascii="Times New Roman" w:hAnsi="Times New Roman"/>
          <w:sz w:val="26"/>
          <w:szCs w:val="26"/>
        </w:rPr>
      </w:pPr>
    </w:p>
    <w:p w:rsidR="00CB2726" w:rsidRPr="00D24C6B" w:rsidRDefault="00DA50F7" w:rsidP="00D24C6B">
      <w:pPr>
        <w:spacing w:line="360" w:lineRule="auto"/>
        <w:ind w:firstLine="1440"/>
        <w:rPr>
          <w:rFonts w:ascii="Times New Roman" w:hAnsi="Times New Roman"/>
          <w:b/>
          <w:sz w:val="26"/>
          <w:szCs w:val="26"/>
        </w:rPr>
      </w:pPr>
      <w:r>
        <w:rPr>
          <w:rFonts w:ascii="Times New Roman" w:hAnsi="Times New Roman"/>
          <w:sz w:val="26"/>
          <w:szCs w:val="26"/>
        </w:rPr>
        <w:t xml:space="preserve">Upon consideration of the Comments and Reply Comments filed in response to our Opinion and Order of August </w:t>
      </w:r>
      <w:r w:rsidR="00D075DD">
        <w:rPr>
          <w:rFonts w:ascii="Times New Roman" w:hAnsi="Times New Roman"/>
          <w:sz w:val="26"/>
          <w:szCs w:val="26"/>
        </w:rPr>
        <w:t>11, 2011, as well as the factors enumerated in our Policy Statement, we find that the proposed Settlement is in the public interest and should be approved without modification</w:t>
      </w:r>
      <w:r w:rsidR="00FC1CCA">
        <w:rPr>
          <w:rFonts w:ascii="Times New Roman" w:hAnsi="Times New Roman"/>
          <w:sz w:val="26"/>
          <w:szCs w:val="26"/>
        </w:rPr>
        <w:t xml:space="preserve">; </w:t>
      </w:r>
      <w:r w:rsidR="00FC1CCA" w:rsidRPr="00CA511D">
        <w:rPr>
          <w:rFonts w:ascii="Times New Roman" w:hAnsi="Times New Roman"/>
          <w:b/>
          <w:sz w:val="26"/>
          <w:szCs w:val="26"/>
        </w:rPr>
        <w:t>THEREFORE,</w:t>
      </w:r>
    </w:p>
    <w:p w:rsidR="00FC1CCA" w:rsidRDefault="00FC1CCA" w:rsidP="00FC1CCA">
      <w:pPr>
        <w:tabs>
          <w:tab w:val="left" w:pos="-720"/>
        </w:tabs>
        <w:suppressAutoHyphens/>
        <w:spacing w:line="360" w:lineRule="auto"/>
        <w:rPr>
          <w:rFonts w:ascii="Times New Roman" w:hAnsi="Times New Roman"/>
          <w:sz w:val="26"/>
          <w:szCs w:val="26"/>
        </w:rPr>
      </w:pPr>
    </w:p>
    <w:p w:rsidR="00FC1CCA" w:rsidRPr="000D6043" w:rsidRDefault="00FC1CCA" w:rsidP="00FC1CCA">
      <w:pPr>
        <w:spacing w:line="360" w:lineRule="auto"/>
        <w:rPr>
          <w:rFonts w:ascii="Times New Roman" w:hAnsi="Times New Roman"/>
          <w:b/>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b/>
          <w:sz w:val="26"/>
          <w:szCs w:val="26"/>
        </w:rPr>
        <w:t>IT IS ORDERED:</w:t>
      </w:r>
    </w:p>
    <w:p w:rsidR="00FC1CCA" w:rsidRPr="000D6043" w:rsidRDefault="00FC1CCA" w:rsidP="00FC1CCA">
      <w:pPr>
        <w:spacing w:line="360" w:lineRule="auto"/>
        <w:rPr>
          <w:rFonts w:ascii="Times New Roman" w:hAnsi="Times New Roman"/>
          <w:sz w:val="26"/>
          <w:szCs w:val="26"/>
        </w:rPr>
      </w:pPr>
    </w:p>
    <w:p w:rsidR="00FC1CCA" w:rsidRDefault="00FC1CCA" w:rsidP="00FC1CCA">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8E7729">
        <w:rPr>
          <w:rFonts w:ascii="Times New Roman" w:hAnsi="Times New Roman"/>
          <w:sz w:val="26"/>
          <w:szCs w:val="26"/>
        </w:rPr>
        <w:t>1.</w:t>
      </w:r>
      <w:r w:rsidR="008E7729">
        <w:rPr>
          <w:rFonts w:ascii="Times New Roman" w:hAnsi="Times New Roman"/>
          <w:sz w:val="26"/>
          <w:szCs w:val="26"/>
        </w:rPr>
        <w:tab/>
        <w:t>That the Settlement Agreement filed on May 20, 2011, by the Commission’s Law Bureau Prosecutory Staff and PPL Electric Utilities Corporation</w:t>
      </w:r>
      <w:r w:rsidR="007C1FC0">
        <w:rPr>
          <w:rFonts w:ascii="Times New Roman" w:hAnsi="Times New Roman"/>
          <w:sz w:val="26"/>
          <w:szCs w:val="26"/>
        </w:rPr>
        <w:t xml:space="preserve"> is approved as filed</w:t>
      </w:r>
      <w:r>
        <w:rPr>
          <w:rFonts w:ascii="Times New Roman" w:hAnsi="Times New Roman"/>
          <w:sz w:val="26"/>
          <w:szCs w:val="26"/>
        </w:rPr>
        <w:t>.</w:t>
      </w:r>
    </w:p>
    <w:p w:rsidR="00FC1CCA" w:rsidRPr="000D6043" w:rsidRDefault="00FC1CCA" w:rsidP="00FC1CCA">
      <w:pPr>
        <w:spacing w:line="360" w:lineRule="auto"/>
        <w:rPr>
          <w:rFonts w:ascii="Times New Roman" w:hAnsi="Times New Roman"/>
          <w:sz w:val="26"/>
          <w:szCs w:val="26"/>
        </w:rPr>
      </w:pPr>
    </w:p>
    <w:p w:rsidR="00FC1CCA" w:rsidRPr="000D6043" w:rsidRDefault="00FC1CCA" w:rsidP="00FC1CCA">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0D6043">
        <w:rPr>
          <w:rFonts w:ascii="Times New Roman" w:hAnsi="Times New Roman"/>
          <w:sz w:val="26"/>
          <w:szCs w:val="26"/>
        </w:rPr>
        <w:t>2.</w:t>
      </w:r>
      <w:r w:rsidRPr="000D6043">
        <w:rPr>
          <w:rFonts w:ascii="Times New Roman" w:hAnsi="Times New Roman"/>
          <w:sz w:val="26"/>
          <w:szCs w:val="26"/>
        </w:rPr>
        <w:tab/>
        <w:t xml:space="preserve">That </w:t>
      </w:r>
      <w:r w:rsidR="007C1FC0">
        <w:rPr>
          <w:rFonts w:ascii="Times New Roman" w:hAnsi="Times New Roman"/>
          <w:sz w:val="26"/>
          <w:szCs w:val="26"/>
        </w:rPr>
        <w:t>PPL Electric Utilities Corporation</w:t>
      </w:r>
      <w:r w:rsidR="007C1FC0" w:rsidRPr="000D6043">
        <w:rPr>
          <w:rFonts w:ascii="Times New Roman" w:hAnsi="Times New Roman"/>
          <w:sz w:val="26"/>
          <w:szCs w:val="26"/>
        </w:rPr>
        <w:t xml:space="preserve"> </w:t>
      </w:r>
      <w:r w:rsidR="007C1FC0">
        <w:rPr>
          <w:rFonts w:ascii="Times New Roman" w:hAnsi="Times New Roman"/>
          <w:sz w:val="26"/>
          <w:szCs w:val="26"/>
        </w:rPr>
        <w:t>shall comply with the te</w:t>
      </w:r>
      <w:r w:rsidR="00D9161D">
        <w:rPr>
          <w:rFonts w:ascii="Times New Roman" w:hAnsi="Times New Roman"/>
          <w:sz w:val="26"/>
          <w:szCs w:val="26"/>
        </w:rPr>
        <w:t>rms of the Settlement Agreement</w:t>
      </w:r>
      <w:r w:rsidR="006300B8" w:rsidRPr="006300B8">
        <w:rPr>
          <w:rFonts w:ascii="Times New Roman" w:hAnsi="Times New Roman"/>
          <w:sz w:val="26"/>
          <w:szCs w:val="26"/>
        </w:rPr>
        <w:t xml:space="preserve"> </w:t>
      </w:r>
      <w:r w:rsidR="006300B8">
        <w:rPr>
          <w:rFonts w:ascii="Times New Roman" w:hAnsi="Times New Roman"/>
          <w:sz w:val="26"/>
          <w:szCs w:val="26"/>
        </w:rPr>
        <w:t>set forth at ¶ 31.</w:t>
      </w:r>
      <w:r w:rsidR="00D9161D">
        <w:rPr>
          <w:rFonts w:ascii="Times New Roman" w:hAnsi="Times New Roman"/>
          <w:sz w:val="26"/>
          <w:szCs w:val="26"/>
        </w:rPr>
        <w:t xml:space="preserve"> </w:t>
      </w:r>
    </w:p>
    <w:p w:rsidR="00FC1CCA" w:rsidRPr="000D6043" w:rsidRDefault="00FC1CCA" w:rsidP="00FC1CCA">
      <w:pPr>
        <w:spacing w:line="360" w:lineRule="auto"/>
        <w:rPr>
          <w:rFonts w:ascii="Times New Roman" w:hAnsi="Times New Roman"/>
          <w:sz w:val="26"/>
          <w:szCs w:val="26"/>
        </w:rPr>
      </w:pPr>
    </w:p>
    <w:p w:rsidR="00121280" w:rsidRDefault="00FC1CCA" w:rsidP="00FC1CCA">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B43C4A">
        <w:rPr>
          <w:rFonts w:ascii="Times New Roman" w:hAnsi="Times New Roman"/>
          <w:sz w:val="26"/>
          <w:szCs w:val="26"/>
        </w:rPr>
        <w:t>3.</w:t>
      </w:r>
      <w:r w:rsidR="00B43C4A">
        <w:rPr>
          <w:rFonts w:ascii="Times New Roman" w:hAnsi="Times New Roman"/>
          <w:sz w:val="26"/>
          <w:szCs w:val="26"/>
        </w:rPr>
        <w:tab/>
        <w:t xml:space="preserve">That </w:t>
      </w:r>
      <w:r w:rsidR="007C1FC0">
        <w:rPr>
          <w:rFonts w:ascii="Times New Roman" w:hAnsi="Times New Roman"/>
          <w:sz w:val="26"/>
          <w:szCs w:val="26"/>
        </w:rPr>
        <w:t xml:space="preserve">PPL Electric Utilities Corporation </w:t>
      </w:r>
      <w:r w:rsidR="009B6513">
        <w:rPr>
          <w:rFonts w:ascii="Times New Roman" w:hAnsi="Times New Roman"/>
          <w:sz w:val="26"/>
          <w:szCs w:val="26"/>
        </w:rPr>
        <w:t xml:space="preserve">shall pay a civil penalty of $5,000 within thirty (30) days of the entry of this Opinion and Order by sending a </w:t>
      </w:r>
      <w:r w:rsidR="009B6513">
        <w:rPr>
          <w:rFonts w:ascii="Times New Roman" w:hAnsi="Times New Roman"/>
          <w:sz w:val="26"/>
          <w:szCs w:val="26"/>
        </w:rPr>
        <w:lastRenderedPageBreak/>
        <w:t>certified check or money order paya</w:t>
      </w:r>
      <w:r w:rsidR="009127EA">
        <w:rPr>
          <w:rFonts w:ascii="Times New Roman" w:hAnsi="Times New Roman"/>
          <w:sz w:val="26"/>
          <w:szCs w:val="26"/>
        </w:rPr>
        <w:t>ble to the Pennsylvania Public U</w:t>
      </w:r>
      <w:r w:rsidR="009B6513">
        <w:rPr>
          <w:rFonts w:ascii="Times New Roman" w:hAnsi="Times New Roman"/>
          <w:sz w:val="26"/>
          <w:szCs w:val="26"/>
        </w:rPr>
        <w:t>tility Commission addressed to:</w:t>
      </w:r>
    </w:p>
    <w:p w:rsidR="00FC1CCA" w:rsidRDefault="009B6513" w:rsidP="009B6513">
      <w:pPr>
        <w:jc w:val="center"/>
        <w:rPr>
          <w:rFonts w:ascii="Times New Roman" w:hAnsi="Times New Roman"/>
          <w:sz w:val="26"/>
          <w:szCs w:val="26"/>
        </w:rPr>
      </w:pPr>
      <w:r>
        <w:rPr>
          <w:rFonts w:ascii="Times New Roman" w:hAnsi="Times New Roman"/>
          <w:sz w:val="26"/>
          <w:szCs w:val="26"/>
        </w:rPr>
        <w:t>Pennsylvania Public Utility Commission</w:t>
      </w:r>
    </w:p>
    <w:p w:rsidR="009B6513" w:rsidRDefault="009B6513" w:rsidP="009B6513">
      <w:pPr>
        <w:jc w:val="center"/>
        <w:rPr>
          <w:rFonts w:ascii="Times New Roman" w:hAnsi="Times New Roman"/>
          <w:sz w:val="26"/>
          <w:szCs w:val="26"/>
        </w:rPr>
      </w:pPr>
      <w:r>
        <w:rPr>
          <w:rFonts w:ascii="Times New Roman" w:hAnsi="Times New Roman"/>
          <w:sz w:val="26"/>
          <w:szCs w:val="26"/>
        </w:rPr>
        <w:t>P.O. Box 3265</w:t>
      </w:r>
    </w:p>
    <w:p w:rsidR="009B6513" w:rsidRDefault="009B6513" w:rsidP="009B6513">
      <w:pPr>
        <w:jc w:val="center"/>
        <w:rPr>
          <w:rFonts w:ascii="Times New Roman" w:hAnsi="Times New Roman"/>
          <w:sz w:val="26"/>
          <w:szCs w:val="26"/>
        </w:rPr>
      </w:pPr>
      <w:r>
        <w:rPr>
          <w:rFonts w:ascii="Times New Roman" w:hAnsi="Times New Roman"/>
          <w:sz w:val="26"/>
          <w:szCs w:val="26"/>
        </w:rPr>
        <w:t>Harrisburg, PA  17105-3265</w:t>
      </w:r>
    </w:p>
    <w:p w:rsidR="00EB77B8" w:rsidRDefault="00EB77B8" w:rsidP="00FC1CCA">
      <w:pPr>
        <w:spacing w:line="360" w:lineRule="auto"/>
        <w:rPr>
          <w:rFonts w:ascii="Times New Roman" w:hAnsi="Times New Roman"/>
          <w:sz w:val="26"/>
          <w:szCs w:val="26"/>
        </w:rPr>
      </w:pPr>
    </w:p>
    <w:p w:rsidR="00FC1CCA" w:rsidRDefault="00FC1CCA" w:rsidP="00FC1CCA">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0D6043">
        <w:rPr>
          <w:rFonts w:ascii="Times New Roman" w:hAnsi="Times New Roman"/>
          <w:sz w:val="26"/>
          <w:szCs w:val="26"/>
        </w:rPr>
        <w:t>4.</w:t>
      </w:r>
      <w:r w:rsidRPr="000D6043">
        <w:rPr>
          <w:rFonts w:ascii="Times New Roman" w:hAnsi="Times New Roman"/>
          <w:sz w:val="26"/>
          <w:szCs w:val="26"/>
        </w:rPr>
        <w:tab/>
      </w:r>
      <w:r w:rsidR="009127EA">
        <w:rPr>
          <w:rFonts w:ascii="Times New Roman" w:hAnsi="Times New Roman"/>
          <w:sz w:val="26"/>
          <w:szCs w:val="26"/>
        </w:rPr>
        <w:t>That the sum</w:t>
      </w:r>
      <w:r w:rsidR="00186BC4">
        <w:rPr>
          <w:rFonts w:ascii="Times New Roman" w:hAnsi="Times New Roman"/>
          <w:sz w:val="26"/>
          <w:szCs w:val="26"/>
        </w:rPr>
        <w:t xml:space="preserve"> paid by</w:t>
      </w:r>
      <w:r w:rsidR="00186BC4" w:rsidRPr="00186BC4">
        <w:rPr>
          <w:rFonts w:ascii="Times New Roman" w:hAnsi="Times New Roman"/>
          <w:sz w:val="26"/>
          <w:szCs w:val="26"/>
        </w:rPr>
        <w:t xml:space="preserve"> </w:t>
      </w:r>
      <w:r w:rsidR="00186BC4">
        <w:rPr>
          <w:rFonts w:ascii="Times New Roman" w:hAnsi="Times New Roman"/>
          <w:sz w:val="26"/>
          <w:szCs w:val="26"/>
        </w:rPr>
        <w:t>PPL Electric Utilities Corporation referenced</w:t>
      </w:r>
      <w:r w:rsidR="00D24C6B">
        <w:rPr>
          <w:rFonts w:ascii="Times New Roman" w:hAnsi="Times New Roman"/>
          <w:sz w:val="26"/>
          <w:szCs w:val="26"/>
        </w:rPr>
        <w:t xml:space="preserve"> in Ordering Paragraph</w:t>
      </w:r>
      <w:r w:rsidR="009127EA">
        <w:rPr>
          <w:rFonts w:ascii="Times New Roman" w:hAnsi="Times New Roman"/>
          <w:sz w:val="26"/>
          <w:szCs w:val="26"/>
        </w:rPr>
        <w:t xml:space="preserve"> 3, and the required contribution of $10,000 to Operation HELP</w:t>
      </w:r>
      <w:r w:rsidR="0016360C">
        <w:rPr>
          <w:rFonts w:ascii="Times New Roman" w:hAnsi="Times New Roman"/>
          <w:sz w:val="26"/>
          <w:szCs w:val="26"/>
        </w:rPr>
        <w:t>,</w:t>
      </w:r>
      <w:r w:rsidR="009127EA">
        <w:rPr>
          <w:rFonts w:ascii="Times New Roman" w:hAnsi="Times New Roman"/>
          <w:sz w:val="26"/>
          <w:szCs w:val="26"/>
        </w:rPr>
        <w:t xml:space="preserve"> </w:t>
      </w:r>
      <w:r w:rsidR="00186BC4">
        <w:rPr>
          <w:rFonts w:ascii="Times New Roman" w:hAnsi="Times New Roman"/>
          <w:sz w:val="26"/>
          <w:szCs w:val="26"/>
        </w:rPr>
        <w:t xml:space="preserve">shall not be recoverable </w:t>
      </w:r>
      <w:r w:rsidR="0016360C">
        <w:rPr>
          <w:rFonts w:ascii="Times New Roman" w:hAnsi="Times New Roman"/>
          <w:sz w:val="26"/>
          <w:szCs w:val="26"/>
        </w:rPr>
        <w:t xml:space="preserve">by PPL Electric Utilities Corporation </w:t>
      </w:r>
      <w:r w:rsidR="00186BC4">
        <w:rPr>
          <w:rFonts w:ascii="Times New Roman" w:hAnsi="Times New Roman"/>
          <w:sz w:val="26"/>
          <w:szCs w:val="26"/>
        </w:rPr>
        <w:t xml:space="preserve">through rates regulated by this Commission. </w:t>
      </w:r>
    </w:p>
    <w:p w:rsidR="00186BC4" w:rsidRDefault="00186BC4" w:rsidP="00FC1CCA">
      <w:pPr>
        <w:spacing w:line="360" w:lineRule="auto"/>
        <w:rPr>
          <w:rFonts w:ascii="Times New Roman" w:hAnsi="Times New Roman"/>
          <w:sz w:val="26"/>
          <w:szCs w:val="26"/>
        </w:rPr>
      </w:pPr>
    </w:p>
    <w:p w:rsidR="00121280" w:rsidRDefault="00186BC4" w:rsidP="00FC1CCA">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5.</w:t>
      </w:r>
      <w:r>
        <w:rPr>
          <w:rFonts w:ascii="Times New Roman" w:hAnsi="Times New Roman"/>
          <w:sz w:val="26"/>
          <w:szCs w:val="26"/>
        </w:rPr>
        <w:tab/>
        <w:t>That a copy of this Opinion and Order shall be served upon</w:t>
      </w:r>
      <w:r w:rsidR="008C080D">
        <w:rPr>
          <w:rFonts w:ascii="Times New Roman" w:hAnsi="Times New Roman"/>
          <w:sz w:val="26"/>
          <w:szCs w:val="26"/>
        </w:rPr>
        <w:t xml:space="preserve"> the Commission’s Law Bureau Prosecutory Staff, PPL Electric Utilities Corporation, the Dollar Energy Fund, the Pennsylvania Utility Law Project, and the Commission’s Office of Administrative Services, Financial and Assessment Section.</w:t>
      </w:r>
    </w:p>
    <w:p w:rsidR="008C080D" w:rsidRDefault="008C080D" w:rsidP="00FC1CCA">
      <w:pPr>
        <w:spacing w:line="360" w:lineRule="auto"/>
        <w:rPr>
          <w:rFonts w:ascii="Times New Roman" w:hAnsi="Times New Roman"/>
          <w:sz w:val="26"/>
          <w:szCs w:val="26"/>
        </w:rPr>
      </w:pPr>
    </w:p>
    <w:p w:rsidR="002F3A41" w:rsidRDefault="002F3A41" w:rsidP="00FC1CCA">
      <w:pPr>
        <w:spacing w:line="360" w:lineRule="auto"/>
        <w:rPr>
          <w:rFonts w:ascii="Times New Roman" w:hAnsi="Times New Roman"/>
          <w:sz w:val="26"/>
          <w:szCs w:val="26"/>
        </w:rPr>
      </w:pPr>
    </w:p>
    <w:p w:rsidR="002F3A41" w:rsidRDefault="002F3A41" w:rsidP="00FC1CCA">
      <w:pPr>
        <w:spacing w:line="360" w:lineRule="auto"/>
        <w:rPr>
          <w:rFonts w:ascii="Times New Roman" w:hAnsi="Times New Roman"/>
          <w:sz w:val="26"/>
          <w:szCs w:val="26"/>
        </w:rPr>
      </w:pPr>
    </w:p>
    <w:p w:rsidR="002F3A41" w:rsidRDefault="002F3A41" w:rsidP="00FC1CCA">
      <w:pPr>
        <w:spacing w:line="360" w:lineRule="auto"/>
        <w:rPr>
          <w:rFonts w:ascii="Times New Roman" w:hAnsi="Times New Roman"/>
          <w:sz w:val="26"/>
          <w:szCs w:val="26"/>
        </w:rPr>
      </w:pPr>
    </w:p>
    <w:p w:rsidR="002F3A41" w:rsidRDefault="002F3A41" w:rsidP="00FC1CCA">
      <w:pPr>
        <w:spacing w:line="360" w:lineRule="auto"/>
        <w:rPr>
          <w:rFonts w:ascii="Times New Roman" w:hAnsi="Times New Roman"/>
          <w:sz w:val="26"/>
          <w:szCs w:val="26"/>
        </w:rPr>
      </w:pPr>
    </w:p>
    <w:p w:rsidR="002F3A41" w:rsidRDefault="002F3A41" w:rsidP="00FC1CCA">
      <w:pPr>
        <w:spacing w:line="360" w:lineRule="auto"/>
        <w:rPr>
          <w:rFonts w:ascii="Times New Roman" w:hAnsi="Times New Roman"/>
          <w:sz w:val="26"/>
          <w:szCs w:val="26"/>
        </w:rPr>
      </w:pPr>
    </w:p>
    <w:p w:rsidR="002F3A41" w:rsidRDefault="002F3A41" w:rsidP="00FC1CCA">
      <w:pPr>
        <w:spacing w:line="360" w:lineRule="auto"/>
        <w:rPr>
          <w:rFonts w:ascii="Times New Roman" w:hAnsi="Times New Roman"/>
          <w:sz w:val="26"/>
          <w:szCs w:val="26"/>
        </w:rPr>
      </w:pPr>
    </w:p>
    <w:p w:rsidR="002F3A41" w:rsidRDefault="002F3A41" w:rsidP="00FC1CCA">
      <w:pPr>
        <w:spacing w:line="360" w:lineRule="auto"/>
        <w:rPr>
          <w:rFonts w:ascii="Times New Roman" w:hAnsi="Times New Roman"/>
          <w:sz w:val="26"/>
          <w:szCs w:val="26"/>
        </w:rPr>
      </w:pPr>
    </w:p>
    <w:p w:rsidR="002F3A41" w:rsidRDefault="002F3A41" w:rsidP="00FC1CCA">
      <w:pPr>
        <w:spacing w:line="360" w:lineRule="auto"/>
        <w:rPr>
          <w:rFonts w:ascii="Times New Roman" w:hAnsi="Times New Roman"/>
          <w:sz w:val="26"/>
          <w:szCs w:val="26"/>
        </w:rPr>
      </w:pPr>
    </w:p>
    <w:p w:rsidR="002F3A41" w:rsidRDefault="002F3A41" w:rsidP="00FC1CCA">
      <w:pPr>
        <w:spacing w:line="360" w:lineRule="auto"/>
        <w:rPr>
          <w:rFonts w:ascii="Times New Roman" w:hAnsi="Times New Roman"/>
          <w:sz w:val="26"/>
          <w:szCs w:val="26"/>
        </w:rPr>
      </w:pPr>
    </w:p>
    <w:p w:rsidR="002F3A41" w:rsidRDefault="002F3A41" w:rsidP="00FC1CCA">
      <w:pPr>
        <w:spacing w:line="360" w:lineRule="auto"/>
        <w:rPr>
          <w:rFonts w:ascii="Times New Roman" w:hAnsi="Times New Roman"/>
          <w:sz w:val="26"/>
          <w:szCs w:val="26"/>
        </w:rPr>
      </w:pPr>
    </w:p>
    <w:p w:rsidR="002F3A41" w:rsidRDefault="002F3A41" w:rsidP="00FC1CCA">
      <w:pPr>
        <w:spacing w:line="360" w:lineRule="auto"/>
        <w:rPr>
          <w:rFonts w:ascii="Times New Roman" w:hAnsi="Times New Roman"/>
          <w:sz w:val="26"/>
          <w:szCs w:val="26"/>
        </w:rPr>
      </w:pPr>
    </w:p>
    <w:p w:rsidR="002F3A41" w:rsidRDefault="002F3A41" w:rsidP="00FC1CCA">
      <w:pPr>
        <w:spacing w:line="360" w:lineRule="auto"/>
        <w:rPr>
          <w:rFonts w:ascii="Times New Roman" w:hAnsi="Times New Roman"/>
          <w:sz w:val="26"/>
          <w:szCs w:val="26"/>
        </w:rPr>
      </w:pPr>
    </w:p>
    <w:p w:rsidR="002F3A41" w:rsidRDefault="002F3A41" w:rsidP="00FC1CCA">
      <w:pPr>
        <w:spacing w:line="360" w:lineRule="auto"/>
        <w:rPr>
          <w:rFonts w:ascii="Times New Roman" w:hAnsi="Times New Roman"/>
          <w:sz w:val="26"/>
          <w:szCs w:val="26"/>
        </w:rPr>
      </w:pPr>
    </w:p>
    <w:p w:rsidR="008C080D" w:rsidRDefault="008C080D" w:rsidP="00FC1CCA">
      <w:pPr>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6.</w:t>
      </w:r>
      <w:r>
        <w:rPr>
          <w:rFonts w:ascii="Times New Roman" w:hAnsi="Times New Roman"/>
          <w:sz w:val="26"/>
          <w:szCs w:val="26"/>
        </w:rPr>
        <w:tab/>
        <w:t>That upon payment of the civil penalty required by Ordering Paragraph No. 3</w:t>
      </w:r>
      <w:r w:rsidR="00A81EE5">
        <w:rPr>
          <w:rFonts w:ascii="Times New Roman" w:hAnsi="Times New Roman"/>
          <w:sz w:val="26"/>
          <w:szCs w:val="26"/>
        </w:rPr>
        <w:t>, and the filing of reports with the Commission’s Secretary specifying</w:t>
      </w:r>
      <w:r w:rsidR="002F3A41">
        <w:rPr>
          <w:rFonts w:ascii="Times New Roman" w:hAnsi="Times New Roman"/>
          <w:sz w:val="26"/>
          <w:szCs w:val="26"/>
        </w:rPr>
        <w:t xml:space="preserve"> </w:t>
      </w:r>
      <w:r w:rsidR="00A81EE5">
        <w:rPr>
          <w:rFonts w:ascii="Times New Roman" w:hAnsi="Times New Roman"/>
          <w:sz w:val="26"/>
          <w:szCs w:val="26"/>
        </w:rPr>
        <w:t>PPL Electric Utilities Corporation’s compliance with the terms of the Settlement Agreement</w:t>
      </w:r>
      <w:r w:rsidR="00A42900">
        <w:rPr>
          <w:rFonts w:ascii="Times New Roman" w:hAnsi="Times New Roman"/>
          <w:sz w:val="26"/>
          <w:szCs w:val="26"/>
        </w:rPr>
        <w:t xml:space="preserve"> in accordance with ¶ 31(f) of the Settlement Agreement, the Commission’s Secretary shall mark this proceeding closed.</w:t>
      </w:r>
    </w:p>
    <w:p w:rsidR="00FC1CCA" w:rsidRPr="000D6043" w:rsidRDefault="00AB2281" w:rsidP="00FC1CCA">
      <w:pPr>
        <w:rPr>
          <w:rFonts w:ascii="Times New Roman" w:hAnsi="Times New Roman"/>
          <w:sz w:val="26"/>
          <w:szCs w:val="26"/>
        </w:rPr>
      </w:pPr>
      <w:bookmarkStart w:id="0" w:name="_GoBack"/>
      <w:r>
        <w:rPr>
          <w:noProof/>
        </w:rPr>
        <w:drawing>
          <wp:anchor distT="0" distB="0" distL="114300" distR="114300" simplePos="0" relativeHeight="251659264" behindDoc="1" locked="0" layoutInCell="1" allowOverlap="1" wp14:anchorId="54A3FA9D" wp14:editId="31D241A3">
            <wp:simplePos x="0" y="0"/>
            <wp:positionH relativeFrom="column">
              <wp:posOffset>2895600</wp:posOffset>
            </wp:positionH>
            <wp:positionV relativeFrom="paragraph">
              <wp:posOffset>81280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FC1CCA" w:rsidRPr="000D6043" w:rsidRDefault="00FC1CCA" w:rsidP="00FC1CCA">
      <w:pPr>
        <w:spacing w:line="360" w:lineRule="auto"/>
        <w:rPr>
          <w:rFonts w:ascii="Times New Roman" w:hAnsi="Times New Roman"/>
          <w:b/>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b/>
          <w:sz w:val="26"/>
          <w:szCs w:val="26"/>
        </w:rPr>
        <w:t>BY THE COMMISSION,</w:t>
      </w:r>
    </w:p>
    <w:p w:rsidR="00FC1CCA" w:rsidRPr="000D6043" w:rsidRDefault="00FC1CCA" w:rsidP="00FC1CCA">
      <w:pPr>
        <w:rPr>
          <w:rFonts w:ascii="Times New Roman" w:hAnsi="Times New Roman"/>
          <w:sz w:val="26"/>
          <w:szCs w:val="26"/>
        </w:rPr>
      </w:pPr>
    </w:p>
    <w:p w:rsidR="00FC1CCA" w:rsidRDefault="00FC1CCA" w:rsidP="00FC1CCA">
      <w:pPr>
        <w:rPr>
          <w:rFonts w:ascii="Times New Roman" w:hAnsi="Times New Roman"/>
          <w:sz w:val="26"/>
          <w:szCs w:val="26"/>
        </w:rPr>
      </w:pPr>
    </w:p>
    <w:p w:rsidR="00FC1CCA" w:rsidRPr="000D6043" w:rsidRDefault="00FC1CCA" w:rsidP="00FC1CCA">
      <w:pPr>
        <w:rPr>
          <w:rFonts w:ascii="Times New Roman" w:hAnsi="Times New Roman"/>
          <w:sz w:val="26"/>
          <w:szCs w:val="26"/>
        </w:rPr>
      </w:pPr>
    </w:p>
    <w:p w:rsidR="00FC1CCA" w:rsidRPr="000D6043" w:rsidRDefault="00FC1CCA" w:rsidP="00AD6C2C">
      <w:pPr>
        <w:rPr>
          <w:rFonts w:ascii="Times New Roman" w:hAnsi="Times New Roman"/>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00AD6C2C">
        <w:rPr>
          <w:rFonts w:ascii="Times New Roman" w:hAnsi="Times New Roman"/>
          <w:sz w:val="26"/>
          <w:szCs w:val="26"/>
        </w:rPr>
        <w:t>Rosemary Chiavetta</w:t>
      </w:r>
    </w:p>
    <w:p w:rsidR="00FC1CCA" w:rsidRPr="000D6043" w:rsidRDefault="00FC1CCA" w:rsidP="00AD6C2C">
      <w:pPr>
        <w:rPr>
          <w:rFonts w:ascii="Times New Roman" w:hAnsi="Times New Roman"/>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t>Secretary</w:t>
      </w:r>
    </w:p>
    <w:p w:rsidR="00FC1CCA" w:rsidRPr="001B2BFB" w:rsidRDefault="00FC1CCA" w:rsidP="00FC1CCA">
      <w:pPr>
        <w:tabs>
          <w:tab w:val="left" w:pos="-720"/>
        </w:tabs>
        <w:suppressAutoHyphens/>
        <w:rPr>
          <w:rFonts w:ascii="Times New Roman" w:hAnsi="Times New Roman"/>
          <w:sz w:val="26"/>
          <w:szCs w:val="26"/>
        </w:rPr>
      </w:pPr>
    </w:p>
    <w:p w:rsidR="00FC1CCA" w:rsidRPr="00AD292A" w:rsidRDefault="00FC1CCA" w:rsidP="00FC1CCA">
      <w:pPr>
        <w:tabs>
          <w:tab w:val="left" w:pos="-720"/>
        </w:tabs>
        <w:suppressAutoHyphens/>
        <w:rPr>
          <w:rFonts w:ascii="Times New Roman" w:hAnsi="Times New Roman"/>
          <w:sz w:val="26"/>
          <w:szCs w:val="26"/>
        </w:rPr>
      </w:pPr>
      <w:r w:rsidRPr="00AD292A">
        <w:rPr>
          <w:rFonts w:ascii="Times New Roman" w:hAnsi="Times New Roman"/>
          <w:sz w:val="26"/>
          <w:szCs w:val="26"/>
        </w:rPr>
        <w:t>(SEAL)</w:t>
      </w:r>
    </w:p>
    <w:p w:rsidR="00FC1CCA" w:rsidRPr="001B2BFB" w:rsidRDefault="00FC1CCA" w:rsidP="00FC1CCA">
      <w:pPr>
        <w:tabs>
          <w:tab w:val="left" w:pos="-720"/>
        </w:tabs>
        <w:suppressAutoHyphens/>
        <w:rPr>
          <w:rFonts w:ascii="Times New Roman" w:hAnsi="Times New Roman"/>
          <w:sz w:val="26"/>
          <w:szCs w:val="26"/>
        </w:rPr>
      </w:pPr>
    </w:p>
    <w:p w:rsidR="00FC1CCA" w:rsidRDefault="00FC1CCA" w:rsidP="00FC1CCA">
      <w:pPr>
        <w:tabs>
          <w:tab w:val="left" w:pos="-720"/>
        </w:tabs>
        <w:suppressAutoHyphens/>
        <w:rPr>
          <w:rFonts w:ascii="Times New Roman" w:hAnsi="Times New Roman"/>
          <w:sz w:val="26"/>
          <w:szCs w:val="26"/>
        </w:rPr>
      </w:pPr>
      <w:r w:rsidRPr="00AD292A">
        <w:rPr>
          <w:rFonts w:ascii="Times New Roman" w:hAnsi="Times New Roman"/>
          <w:sz w:val="26"/>
          <w:szCs w:val="26"/>
        </w:rPr>
        <w:t>ORDER ADOPTED:</w:t>
      </w:r>
      <w:r w:rsidR="009C2AD7">
        <w:rPr>
          <w:rFonts w:ascii="Times New Roman" w:hAnsi="Times New Roman"/>
          <w:sz w:val="26"/>
          <w:szCs w:val="26"/>
        </w:rPr>
        <w:tab/>
        <w:t>October 14, 2011</w:t>
      </w:r>
    </w:p>
    <w:p w:rsidR="00FC1CCA" w:rsidRPr="001B2BFB" w:rsidRDefault="00FC1CCA" w:rsidP="00FC1CCA">
      <w:pPr>
        <w:tabs>
          <w:tab w:val="left" w:pos="-720"/>
        </w:tabs>
        <w:suppressAutoHyphens/>
        <w:rPr>
          <w:rFonts w:ascii="Times New Roman" w:hAnsi="Times New Roman"/>
          <w:sz w:val="26"/>
          <w:szCs w:val="26"/>
        </w:rPr>
      </w:pPr>
    </w:p>
    <w:p w:rsidR="009E1B11" w:rsidRDefault="00FC1CCA" w:rsidP="00BC78F3">
      <w:pPr>
        <w:spacing w:line="360" w:lineRule="auto"/>
      </w:pPr>
      <w:r w:rsidRPr="00AD292A">
        <w:t>ORDER ENTERED:</w:t>
      </w:r>
      <w:r w:rsidR="00BC78F3">
        <w:t xml:space="preserve">  </w:t>
      </w:r>
      <w:r w:rsidR="009C2AD7">
        <w:t xml:space="preserve">         </w:t>
      </w:r>
      <w:r w:rsidR="00AB2281">
        <w:t xml:space="preserve">   October 14, 2011</w:t>
      </w:r>
    </w:p>
    <w:p w:rsidR="00EB41F7" w:rsidRDefault="008A2010" w:rsidP="008E7729">
      <w:pPr>
        <w:spacing w:line="360" w:lineRule="auto"/>
        <w:rPr>
          <w:rFonts w:ascii="Times New Roman" w:hAnsi="Times New Roman"/>
          <w:sz w:val="26"/>
          <w:szCs w:val="26"/>
        </w:rPr>
      </w:pPr>
      <w:r>
        <w:rPr>
          <w:rFonts w:ascii="Times New Roman" w:hAnsi="Times New Roman"/>
          <w:sz w:val="26"/>
          <w:szCs w:val="26"/>
        </w:rPr>
        <w:tab/>
      </w:r>
    </w:p>
    <w:sectPr w:rsidR="00EB41F7" w:rsidSect="004376EF">
      <w:footerReference w:type="default" r:id="rId10"/>
      <w:pgSz w:w="12240" w:h="1585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D86" w:rsidRDefault="00F02D86" w:rsidP="006A55DC">
      <w:r>
        <w:separator/>
      </w:r>
    </w:p>
  </w:endnote>
  <w:endnote w:type="continuationSeparator" w:id="0">
    <w:p w:rsidR="00F02D86" w:rsidRDefault="00F02D86" w:rsidP="006A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498" w:rsidRDefault="00F02D86">
    <w:pPr>
      <w:pStyle w:val="Footer"/>
      <w:jc w:val="center"/>
    </w:pPr>
    <w:r>
      <w:fldChar w:fldCharType="begin"/>
    </w:r>
    <w:r>
      <w:instrText xml:space="preserve"> PAGE   \* MERGEFORMAT </w:instrText>
    </w:r>
    <w:r>
      <w:fldChar w:fldCharType="separate"/>
    </w:r>
    <w:r w:rsidR="00AB2281">
      <w:rPr>
        <w:noProof/>
      </w:rPr>
      <w:t>22</w:t>
    </w:r>
    <w:r>
      <w:rPr>
        <w:noProof/>
      </w:rPr>
      <w:fldChar w:fldCharType="end"/>
    </w:r>
  </w:p>
  <w:p w:rsidR="00FF2921" w:rsidRDefault="00FF29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D86" w:rsidRDefault="00F02D86" w:rsidP="006A55DC">
      <w:r>
        <w:separator/>
      </w:r>
    </w:p>
  </w:footnote>
  <w:footnote w:type="continuationSeparator" w:id="0">
    <w:p w:rsidR="00F02D86" w:rsidRDefault="00F02D86" w:rsidP="006A55DC">
      <w:r>
        <w:continuationSeparator/>
      </w:r>
    </w:p>
  </w:footnote>
  <w:footnote w:id="1">
    <w:p w:rsidR="009F6357" w:rsidRPr="009F6357" w:rsidRDefault="009F6357">
      <w:pPr>
        <w:pStyle w:val="FootnoteText"/>
        <w:rPr>
          <w:rFonts w:ascii="Times New Roman" w:hAnsi="Times New Roman"/>
          <w:sz w:val="26"/>
          <w:szCs w:val="26"/>
        </w:rPr>
      </w:pPr>
      <w:r w:rsidRPr="009F6357">
        <w:rPr>
          <w:rStyle w:val="FootnoteReference"/>
          <w:rFonts w:ascii="Times New Roman" w:hAnsi="Times New Roman"/>
          <w:sz w:val="26"/>
          <w:szCs w:val="26"/>
        </w:rPr>
        <w:footnoteRef/>
      </w:r>
      <w:r w:rsidRPr="009F6357">
        <w:rPr>
          <w:rFonts w:ascii="Times New Roman" w:hAnsi="Times New Roman"/>
          <w:sz w:val="26"/>
          <w:szCs w:val="26"/>
        </w:rPr>
        <w:t xml:space="preserve"> </w:t>
      </w:r>
      <w:r w:rsidRPr="009F6357">
        <w:rPr>
          <w:rFonts w:ascii="Times New Roman" w:hAnsi="Times New Roman"/>
          <w:sz w:val="26"/>
          <w:szCs w:val="26"/>
        </w:rPr>
        <w:tab/>
        <w:t xml:space="preserve">With the Commission’s </w:t>
      </w:r>
      <w:r w:rsidR="00CB2726">
        <w:rPr>
          <w:rFonts w:ascii="Times New Roman" w:hAnsi="Times New Roman"/>
          <w:sz w:val="26"/>
          <w:szCs w:val="26"/>
        </w:rPr>
        <w:t xml:space="preserve">recent </w:t>
      </w:r>
      <w:r w:rsidRPr="009F6357">
        <w:rPr>
          <w:rFonts w:ascii="Times New Roman" w:hAnsi="Times New Roman"/>
          <w:sz w:val="26"/>
          <w:szCs w:val="26"/>
        </w:rPr>
        <w:t xml:space="preserve">reorganization, the Prosecutory Staff has been moved from the Law Bureau to the new Bureau of Investigation and Enforcement. </w:t>
      </w:r>
    </w:p>
  </w:footnote>
  <w:footnote w:id="2">
    <w:p w:rsidR="001C46D6" w:rsidRPr="001C46D6" w:rsidRDefault="001C46D6">
      <w:pPr>
        <w:pStyle w:val="FootnoteText"/>
        <w:rPr>
          <w:rFonts w:ascii="Times New Roman" w:hAnsi="Times New Roman"/>
          <w:sz w:val="26"/>
          <w:szCs w:val="26"/>
        </w:rPr>
      </w:pPr>
      <w:r w:rsidRPr="001C46D6">
        <w:rPr>
          <w:rStyle w:val="FootnoteReference"/>
          <w:rFonts w:ascii="Times New Roman" w:hAnsi="Times New Roman"/>
          <w:sz w:val="26"/>
          <w:szCs w:val="26"/>
        </w:rPr>
        <w:footnoteRef/>
      </w:r>
      <w:r w:rsidRPr="001C46D6">
        <w:rPr>
          <w:rFonts w:ascii="Times New Roman" w:hAnsi="Times New Roman"/>
          <w:sz w:val="26"/>
          <w:szCs w:val="26"/>
        </w:rPr>
        <w:t xml:space="preserve"> </w:t>
      </w:r>
      <w:r w:rsidRPr="001C46D6">
        <w:rPr>
          <w:rFonts w:ascii="Times New Roman" w:hAnsi="Times New Roman"/>
          <w:sz w:val="26"/>
          <w:szCs w:val="26"/>
        </w:rPr>
        <w:tab/>
        <w:t>PULP, part of the Pennsylvania Legal Aid Network, provides statewide representation, advice and support in energy and utility matters on behalf of low-income residential customers.</w:t>
      </w:r>
    </w:p>
  </w:footnote>
  <w:footnote w:id="3">
    <w:p w:rsidR="00494A3C" w:rsidRPr="00494A3C" w:rsidRDefault="00494A3C">
      <w:pPr>
        <w:pStyle w:val="FootnoteText"/>
        <w:rPr>
          <w:rFonts w:ascii="Times New Roman" w:hAnsi="Times New Roman"/>
          <w:sz w:val="26"/>
          <w:szCs w:val="26"/>
        </w:rPr>
      </w:pPr>
      <w:r w:rsidRPr="00494A3C">
        <w:rPr>
          <w:rStyle w:val="FootnoteReference"/>
          <w:rFonts w:ascii="Times New Roman" w:hAnsi="Times New Roman"/>
          <w:sz w:val="26"/>
          <w:szCs w:val="26"/>
        </w:rPr>
        <w:footnoteRef/>
      </w:r>
      <w:r w:rsidRPr="00494A3C">
        <w:rPr>
          <w:rFonts w:ascii="Times New Roman" w:hAnsi="Times New Roman"/>
          <w:sz w:val="26"/>
          <w:szCs w:val="26"/>
        </w:rPr>
        <w:t xml:space="preserve"> </w:t>
      </w:r>
      <w:r w:rsidRPr="00494A3C">
        <w:rPr>
          <w:rFonts w:ascii="Times New Roman" w:hAnsi="Times New Roman"/>
          <w:sz w:val="26"/>
          <w:szCs w:val="26"/>
        </w:rPr>
        <w:tab/>
        <w:t>Although our August 11, 2011 Opinion and Order did not explicitly permit the filing of Reply Comments, we believe the just and speedy disposition of this matter will be furthered by considering the Reply Comments of a signatory to the Settlement.  We therefore will consider PPL’s filing in issuing our Opinion and Order.</w:t>
      </w:r>
    </w:p>
  </w:footnote>
  <w:footnote w:id="4">
    <w:p w:rsidR="004A3C6D" w:rsidRPr="00C12FB4" w:rsidRDefault="004A3C6D">
      <w:pPr>
        <w:pStyle w:val="FootnoteText"/>
        <w:rPr>
          <w:rFonts w:ascii="Times New Roman" w:hAnsi="Times New Roman"/>
          <w:sz w:val="26"/>
          <w:szCs w:val="26"/>
        </w:rPr>
      </w:pPr>
      <w:r w:rsidRPr="00C12FB4">
        <w:rPr>
          <w:rStyle w:val="FootnoteReference"/>
          <w:rFonts w:ascii="Times New Roman" w:hAnsi="Times New Roman"/>
          <w:sz w:val="26"/>
          <w:szCs w:val="26"/>
        </w:rPr>
        <w:footnoteRef/>
      </w:r>
      <w:r w:rsidRPr="00C12FB4">
        <w:rPr>
          <w:rFonts w:ascii="Times New Roman" w:hAnsi="Times New Roman"/>
          <w:sz w:val="26"/>
          <w:szCs w:val="26"/>
        </w:rPr>
        <w:t xml:space="preserve"> </w:t>
      </w:r>
      <w:r w:rsidRPr="00C12FB4">
        <w:rPr>
          <w:rFonts w:ascii="Times New Roman" w:hAnsi="Times New Roman"/>
          <w:sz w:val="26"/>
          <w:szCs w:val="26"/>
        </w:rPr>
        <w:tab/>
        <w:t xml:space="preserve">According to PULP, the moratorium on Friday terminations was part of the </w:t>
      </w:r>
      <w:r w:rsidRPr="005641F3">
        <w:rPr>
          <w:rFonts w:ascii="Times New Roman" w:hAnsi="Times New Roman"/>
          <w:i/>
          <w:sz w:val="26"/>
          <w:szCs w:val="26"/>
        </w:rPr>
        <w:t>Lancaster Settlement</w:t>
      </w:r>
      <w:r w:rsidRPr="00C12FB4">
        <w:rPr>
          <w:rFonts w:ascii="Times New Roman" w:hAnsi="Times New Roman"/>
          <w:sz w:val="26"/>
          <w:szCs w:val="26"/>
        </w:rPr>
        <w:t>.  The moratorium is scheduled to end on January 1,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6FBE"/>
    <w:multiLevelType w:val="hybridMultilevel"/>
    <w:tmpl w:val="3D10F6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22301C0"/>
    <w:multiLevelType w:val="hybridMultilevel"/>
    <w:tmpl w:val="63727BE8"/>
    <w:lvl w:ilvl="0" w:tplc="A3FA25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59B09D2"/>
    <w:multiLevelType w:val="hybridMultilevel"/>
    <w:tmpl w:val="C2909A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69AE141B"/>
    <w:multiLevelType w:val="hybridMultilevel"/>
    <w:tmpl w:val="31FAA4F2"/>
    <w:lvl w:ilvl="0" w:tplc="AC90B4AE">
      <w:start w:val="41"/>
      <w:numFmt w:val="decimal"/>
      <w:lvlText w:val="%1."/>
      <w:lvlJc w:val="left"/>
      <w:pPr>
        <w:tabs>
          <w:tab w:val="num" w:pos="1080"/>
        </w:tabs>
        <w:ind w:left="1080" w:hanging="360"/>
      </w:pPr>
      <w:rPr>
        <w:rFonts w:hint="default"/>
      </w:rPr>
    </w:lvl>
    <w:lvl w:ilvl="1" w:tplc="4686F50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376EF"/>
    <w:rsid w:val="0000011B"/>
    <w:rsid w:val="00000745"/>
    <w:rsid w:val="00000DFE"/>
    <w:rsid w:val="0000287A"/>
    <w:rsid w:val="00003371"/>
    <w:rsid w:val="00003E73"/>
    <w:rsid w:val="00006F0C"/>
    <w:rsid w:val="00010092"/>
    <w:rsid w:val="00010E17"/>
    <w:rsid w:val="00010E69"/>
    <w:rsid w:val="000119E1"/>
    <w:rsid w:val="00011A64"/>
    <w:rsid w:val="00011FC5"/>
    <w:rsid w:val="00012070"/>
    <w:rsid w:val="00017B08"/>
    <w:rsid w:val="0002029B"/>
    <w:rsid w:val="00021233"/>
    <w:rsid w:val="000217A3"/>
    <w:rsid w:val="000219DF"/>
    <w:rsid w:val="00021C1E"/>
    <w:rsid w:val="00023559"/>
    <w:rsid w:val="000237E8"/>
    <w:rsid w:val="00025DBE"/>
    <w:rsid w:val="000267B1"/>
    <w:rsid w:val="00026DEE"/>
    <w:rsid w:val="00027C75"/>
    <w:rsid w:val="00027D13"/>
    <w:rsid w:val="00027D5A"/>
    <w:rsid w:val="00030397"/>
    <w:rsid w:val="0003040D"/>
    <w:rsid w:val="0003055B"/>
    <w:rsid w:val="0003066A"/>
    <w:rsid w:val="0003109A"/>
    <w:rsid w:val="0003143E"/>
    <w:rsid w:val="000330BB"/>
    <w:rsid w:val="00033EAB"/>
    <w:rsid w:val="00033EE8"/>
    <w:rsid w:val="000366F2"/>
    <w:rsid w:val="00036EA3"/>
    <w:rsid w:val="00040C3A"/>
    <w:rsid w:val="00040CB8"/>
    <w:rsid w:val="00040F41"/>
    <w:rsid w:val="00041245"/>
    <w:rsid w:val="000413AC"/>
    <w:rsid w:val="0004153E"/>
    <w:rsid w:val="00041A39"/>
    <w:rsid w:val="000430F9"/>
    <w:rsid w:val="00044144"/>
    <w:rsid w:val="000444CC"/>
    <w:rsid w:val="0004493A"/>
    <w:rsid w:val="000456A9"/>
    <w:rsid w:val="00045809"/>
    <w:rsid w:val="00045C5B"/>
    <w:rsid w:val="0004610F"/>
    <w:rsid w:val="000461DC"/>
    <w:rsid w:val="00046494"/>
    <w:rsid w:val="000465A2"/>
    <w:rsid w:val="00050618"/>
    <w:rsid w:val="000524BF"/>
    <w:rsid w:val="00052548"/>
    <w:rsid w:val="0005485D"/>
    <w:rsid w:val="000548F1"/>
    <w:rsid w:val="00054FBE"/>
    <w:rsid w:val="000551D2"/>
    <w:rsid w:val="00056FB2"/>
    <w:rsid w:val="00057E45"/>
    <w:rsid w:val="00060297"/>
    <w:rsid w:val="00060975"/>
    <w:rsid w:val="00060C7F"/>
    <w:rsid w:val="000610A8"/>
    <w:rsid w:val="00061AE9"/>
    <w:rsid w:val="00061CC5"/>
    <w:rsid w:val="00062960"/>
    <w:rsid w:val="0006511E"/>
    <w:rsid w:val="00065970"/>
    <w:rsid w:val="00065DDD"/>
    <w:rsid w:val="00065EE2"/>
    <w:rsid w:val="0007058E"/>
    <w:rsid w:val="00070729"/>
    <w:rsid w:val="000710D5"/>
    <w:rsid w:val="00071129"/>
    <w:rsid w:val="000715A9"/>
    <w:rsid w:val="00071684"/>
    <w:rsid w:val="000716CE"/>
    <w:rsid w:val="000718CF"/>
    <w:rsid w:val="00071A37"/>
    <w:rsid w:val="00073EA4"/>
    <w:rsid w:val="0007498A"/>
    <w:rsid w:val="00074F9E"/>
    <w:rsid w:val="000800F9"/>
    <w:rsid w:val="00080F56"/>
    <w:rsid w:val="00081CEE"/>
    <w:rsid w:val="00081ECF"/>
    <w:rsid w:val="000833F5"/>
    <w:rsid w:val="00083ACB"/>
    <w:rsid w:val="00084EC2"/>
    <w:rsid w:val="0008627F"/>
    <w:rsid w:val="000871DF"/>
    <w:rsid w:val="0009152D"/>
    <w:rsid w:val="00091652"/>
    <w:rsid w:val="0009185C"/>
    <w:rsid w:val="00092BC2"/>
    <w:rsid w:val="00093C50"/>
    <w:rsid w:val="00094667"/>
    <w:rsid w:val="00094AB7"/>
    <w:rsid w:val="00094E95"/>
    <w:rsid w:val="0009505A"/>
    <w:rsid w:val="0009512A"/>
    <w:rsid w:val="000966EC"/>
    <w:rsid w:val="000966F8"/>
    <w:rsid w:val="000976A1"/>
    <w:rsid w:val="00097727"/>
    <w:rsid w:val="000A1D58"/>
    <w:rsid w:val="000A1E20"/>
    <w:rsid w:val="000A22A7"/>
    <w:rsid w:val="000A2724"/>
    <w:rsid w:val="000A2C31"/>
    <w:rsid w:val="000A373B"/>
    <w:rsid w:val="000A3C37"/>
    <w:rsid w:val="000A3E00"/>
    <w:rsid w:val="000A4D49"/>
    <w:rsid w:val="000A66AC"/>
    <w:rsid w:val="000A68D3"/>
    <w:rsid w:val="000B067D"/>
    <w:rsid w:val="000B085D"/>
    <w:rsid w:val="000B1F27"/>
    <w:rsid w:val="000B21FC"/>
    <w:rsid w:val="000B30B8"/>
    <w:rsid w:val="000B3262"/>
    <w:rsid w:val="000B3595"/>
    <w:rsid w:val="000B4728"/>
    <w:rsid w:val="000B5426"/>
    <w:rsid w:val="000B6FD5"/>
    <w:rsid w:val="000B7244"/>
    <w:rsid w:val="000C0FFB"/>
    <w:rsid w:val="000C1169"/>
    <w:rsid w:val="000C15DD"/>
    <w:rsid w:val="000C27E8"/>
    <w:rsid w:val="000C2A96"/>
    <w:rsid w:val="000C424E"/>
    <w:rsid w:val="000C4A40"/>
    <w:rsid w:val="000C5CBF"/>
    <w:rsid w:val="000C5F21"/>
    <w:rsid w:val="000C608F"/>
    <w:rsid w:val="000C645A"/>
    <w:rsid w:val="000C646F"/>
    <w:rsid w:val="000C6FF7"/>
    <w:rsid w:val="000C7796"/>
    <w:rsid w:val="000D0153"/>
    <w:rsid w:val="000D0AE4"/>
    <w:rsid w:val="000D17A9"/>
    <w:rsid w:val="000D1A9F"/>
    <w:rsid w:val="000D4454"/>
    <w:rsid w:val="000D521A"/>
    <w:rsid w:val="000D5738"/>
    <w:rsid w:val="000D5C8D"/>
    <w:rsid w:val="000D711F"/>
    <w:rsid w:val="000E071E"/>
    <w:rsid w:val="000E1D17"/>
    <w:rsid w:val="000E2EE5"/>
    <w:rsid w:val="000E3894"/>
    <w:rsid w:val="000E5B39"/>
    <w:rsid w:val="000E6265"/>
    <w:rsid w:val="000E6605"/>
    <w:rsid w:val="000E6850"/>
    <w:rsid w:val="000E6B83"/>
    <w:rsid w:val="000E7641"/>
    <w:rsid w:val="000F1F20"/>
    <w:rsid w:val="000F2821"/>
    <w:rsid w:val="000F3F16"/>
    <w:rsid w:val="000F7823"/>
    <w:rsid w:val="00101B20"/>
    <w:rsid w:val="00101DBE"/>
    <w:rsid w:val="00102784"/>
    <w:rsid w:val="001037C1"/>
    <w:rsid w:val="001052E7"/>
    <w:rsid w:val="001062C3"/>
    <w:rsid w:val="001064CB"/>
    <w:rsid w:val="00106964"/>
    <w:rsid w:val="00110E35"/>
    <w:rsid w:val="00112B41"/>
    <w:rsid w:val="00113209"/>
    <w:rsid w:val="00113C22"/>
    <w:rsid w:val="00113CEA"/>
    <w:rsid w:val="001148FB"/>
    <w:rsid w:val="00115142"/>
    <w:rsid w:val="001175A4"/>
    <w:rsid w:val="001202B3"/>
    <w:rsid w:val="00121280"/>
    <w:rsid w:val="00121777"/>
    <w:rsid w:val="001217C0"/>
    <w:rsid w:val="00121AEA"/>
    <w:rsid w:val="00121FC0"/>
    <w:rsid w:val="001222CA"/>
    <w:rsid w:val="00122887"/>
    <w:rsid w:val="00123033"/>
    <w:rsid w:val="00123656"/>
    <w:rsid w:val="00123BB5"/>
    <w:rsid w:val="0012532B"/>
    <w:rsid w:val="00125805"/>
    <w:rsid w:val="00125E19"/>
    <w:rsid w:val="00125E4A"/>
    <w:rsid w:val="00126A5E"/>
    <w:rsid w:val="0013133F"/>
    <w:rsid w:val="00131995"/>
    <w:rsid w:val="00131E28"/>
    <w:rsid w:val="00132821"/>
    <w:rsid w:val="00132B8A"/>
    <w:rsid w:val="00132E2D"/>
    <w:rsid w:val="00133136"/>
    <w:rsid w:val="001333DD"/>
    <w:rsid w:val="0013461D"/>
    <w:rsid w:val="00135435"/>
    <w:rsid w:val="00135684"/>
    <w:rsid w:val="00140259"/>
    <w:rsid w:val="00141623"/>
    <w:rsid w:val="0014230C"/>
    <w:rsid w:val="00142509"/>
    <w:rsid w:val="00144651"/>
    <w:rsid w:val="001446AB"/>
    <w:rsid w:val="00144963"/>
    <w:rsid w:val="00145D96"/>
    <w:rsid w:val="00146E54"/>
    <w:rsid w:val="001513F6"/>
    <w:rsid w:val="00151491"/>
    <w:rsid w:val="00151E24"/>
    <w:rsid w:val="0015214B"/>
    <w:rsid w:val="00152625"/>
    <w:rsid w:val="001526D7"/>
    <w:rsid w:val="001527A5"/>
    <w:rsid w:val="001544BB"/>
    <w:rsid w:val="001558B9"/>
    <w:rsid w:val="00155AF6"/>
    <w:rsid w:val="001565A9"/>
    <w:rsid w:val="00160498"/>
    <w:rsid w:val="00161679"/>
    <w:rsid w:val="00161875"/>
    <w:rsid w:val="00162BF0"/>
    <w:rsid w:val="0016351B"/>
    <w:rsid w:val="0016360C"/>
    <w:rsid w:val="0016580B"/>
    <w:rsid w:val="00166140"/>
    <w:rsid w:val="001668AF"/>
    <w:rsid w:val="00166BF7"/>
    <w:rsid w:val="0017122F"/>
    <w:rsid w:val="001723C4"/>
    <w:rsid w:val="001731AF"/>
    <w:rsid w:val="0017375A"/>
    <w:rsid w:val="00174041"/>
    <w:rsid w:val="001755B1"/>
    <w:rsid w:val="0017646A"/>
    <w:rsid w:val="00176CBB"/>
    <w:rsid w:val="00177CFC"/>
    <w:rsid w:val="001810E5"/>
    <w:rsid w:val="0018124A"/>
    <w:rsid w:val="00182940"/>
    <w:rsid w:val="00182F31"/>
    <w:rsid w:val="00183781"/>
    <w:rsid w:val="0018384B"/>
    <w:rsid w:val="001857C8"/>
    <w:rsid w:val="00186BC4"/>
    <w:rsid w:val="00187129"/>
    <w:rsid w:val="00187478"/>
    <w:rsid w:val="00187BEC"/>
    <w:rsid w:val="001905C2"/>
    <w:rsid w:val="00190A2F"/>
    <w:rsid w:val="00192A8C"/>
    <w:rsid w:val="00192F76"/>
    <w:rsid w:val="00192FBF"/>
    <w:rsid w:val="00194611"/>
    <w:rsid w:val="00195871"/>
    <w:rsid w:val="001A0280"/>
    <w:rsid w:val="001A0BD9"/>
    <w:rsid w:val="001A0F0F"/>
    <w:rsid w:val="001A12D5"/>
    <w:rsid w:val="001A40CA"/>
    <w:rsid w:val="001A50B9"/>
    <w:rsid w:val="001A5591"/>
    <w:rsid w:val="001A63BD"/>
    <w:rsid w:val="001A6BC5"/>
    <w:rsid w:val="001B0B31"/>
    <w:rsid w:val="001B0ED6"/>
    <w:rsid w:val="001B1AFA"/>
    <w:rsid w:val="001B1B12"/>
    <w:rsid w:val="001B2DB0"/>
    <w:rsid w:val="001B30D7"/>
    <w:rsid w:val="001B3A5E"/>
    <w:rsid w:val="001B3C68"/>
    <w:rsid w:val="001B3D07"/>
    <w:rsid w:val="001B4211"/>
    <w:rsid w:val="001B4263"/>
    <w:rsid w:val="001B49F4"/>
    <w:rsid w:val="001B6D7F"/>
    <w:rsid w:val="001B7B0D"/>
    <w:rsid w:val="001C0EB0"/>
    <w:rsid w:val="001C26CA"/>
    <w:rsid w:val="001C2C15"/>
    <w:rsid w:val="001C4267"/>
    <w:rsid w:val="001C46D6"/>
    <w:rsid w:val="001C4807"/>
    <w:rsid w:val="001C6EEE"/>
    <w:rsid w:val="001C6F76"/>
    <w:rsid w:val="001C75EE"/>
    <w:rsid w:val="001C7C87"/>
    <w:rsid w:val="001D00FB"/>
    <w:rsid w:val="001D2174"/>
    <w:rsid w:val="001D2D94"/>
    <w:rsid w:val="001D3A71"/>
    <w:rsid w:val="001D5923"/>
    <w:rsid w:val="001D5F0B"/>
    <w:rsid w:val="001D760D"/>
    <w:rsid w:val="001D7FBE"/>
    <w:rsid w:val="001E0C81"/>
    <w:rsid w:val="001E23D0"/>
    <w:rsid w:val="001E3CCA"/>
    <w:rsid w:val="001E5F12"/>
    <w:rsid w:val="001E62A4"/>
    <w:rsid w:val="001F0E5B"/>
    <w:rsid w:val="001F26FF"/>
    <w:rsid w:val="001F5402"/>
    <w:rsid w:val="001F64E6"/>
    <w:rsid w:val="001F7275"/>
    <w:rsid w:val="001F7867"/>
    <w:rsid w:val="001F79F8"/>
    <w:rsid w:val="001F7C91"/>
    <w:rsid w:val="00200C76"/>
    <w:rsid w:val="0020135F"/>
    <w:rsid w:val="00202064"/>
    <w:rsid w:val="00203540"/>
    <w:rsid w:val="00203804"/>
    <w:rsid w:val="00204955"/>
    <w:rsid w:val="002056A4"/>
    <w:rsid w:val="0020647E"/>
    <w:rsid w:val="002074AE"/>
    <w:rsid w:val="00211469"/>
    <w:rsid w:val="00212364"/>
    <w:rsid w:val="00212BD4"/>
    <w:rsid w:val="00213155"/>
    <w:rsid w:val="00214B09"/>
    <w:rsid w:val="002153D2"/>
    <w:rsid w:val="00215879"/>
    <w:rsid w:val="00215AAA"/>
    <w:rsid w:val="00215B4F"/>
    <w:rsid w:val="002169D3"/>
    <w:rsid w:val="00217248"/>
    <w:rsid w:val="00220213"/>
    <w:rsid w:val="00220774"/>
    <w:rsid w:val="00221430"/>
    <w:rsid w:val="002217F8"/>
    <w:rsid w:val="00221B70"/>
    <w:rsid w:val="00222323"/>
    <w:rsid w:val="00222681"/>
    <w:rsid w:val="00224D86"/>
    <w:rsid w:val="0022659F"/>
    <w:rsid w:val="00227D6D"/>
    <w:rsid w:val="00230EB3"/>
    <w:rsid w:val="00231289"/>
    <w:rsid w:val="00231796"/>
    <w:rsid w:val="002319F5"/>
    <w:rsid w:val="00231E9F"/>
    <w:rsid w:val="002322A5"/>
    <w:rsid w:val="00233088"/>
    <w:rsid w:val="002333FA"/>
    <w:rsid w:val="00235BF3"/>
    <w:rsid w:val="00236130"/>
    <w:rsid w:val="002364D9"/>
    <w:rsid w:val="0023658B"/>
    <w:rsid w:val="0023669B"/>
    <w:rsid w:val="00236B31"/>
    <w:rsid w:val="00237145"/>
    <w:rsid w:val="00237203"/>
    <w:rsid w:val="00237406"/>
    <w:rsid w:val="00237C45"/>
    <w:rsid w:val="0024029B"/>
    <w:rsid w:val="0024047F"/>
    <w:rsid w:val="00240612"/>
    <w:rsid w:val="00240B2A"/>
    <w:rsid w:val="0024137F"/>
    <w:rsid w:val="00241937"/>
    <w:rsid w:val="00241EC4"/>
    <w:rsid w:val="00241F49"/>
    <w:rsid w:val="002420AB"/>
    <w:rsid w:val="0024248F"/>
    <w:rsid w:val="002426D4"/>
    <w:rsid w:val="00243A32"/>
    <w:rsid w:val="00244BC8"/>
    <w:rsid w:val="00244D01"/>
    <w:rsid w:val="0024514D"/>
    <w:rsid w:val="00245FF7"/>
    <w:rsid w:val="00246243"/>
    <w:rsid w:val="00250A5E"/>
    <w:rsid w:val="00250A7F"/>
    <w:rsid w:val="00250ED1"/>
    <w:rsid w:val="00250F5C"/>
    <w:rsid w:val="00251CB8"/>
    <w:rsid w:val="00252681"/>
    <w:rsid w:val="00252C29"/>
    <w:rsid w:val="0025376B"/>
    <w:rsid w:val="00253B46"/>
    <w:rsid w:val="00255826"/>
    <w:rsid w:val="002564B0"/>
    <w:rsid w:val="002568F4"/>
    <w:rsid w:val="00256F2E"/>
    <w:rsid w:val="00257991"/>
    <w:rsid w:val="002600E6"/>
    <w:rsid w:val="00261CB1"/>
    <w:rsid w:val="00261CFE"/>
    <w:rsid w:val="0026224C"/>
    <w:rsid w:val="00262833"/>
    <w:rsid w:val="00264233"/>
    <w:rsid w:val="00265D69"/>
    <w:rsid w:val="0026684B"/>
    <w:rsid w:val="00266CF4"/>
    <w:rsid w:val="00267241"/>
    <w:rsid w:val="00270D72"/>
    <w:rsid w:val="00270FB6"/>
    <w:rsid w:val="002712AD"/>
    <w:rsid w:val="002715AE"/>
    <w:rsid w:val="00272944"/>
    <w:rsid w:val="00272D84"/>
    <w:rsid w:val="00273079"/>
    <w:rsid w:val="00273E82"/>
    <w:rsid w:val="0027509E"/>
    <w:rsid w:val="00276336"/>
    <w:rsid w:val="002769E2"/>
    <w:rsid w:val="00276BED"/>
    <w:rsid w:val="00277241"/>
    <w:rsid w:val="00277847"/>
    <w:rsid w:val="00281D84"/>
    <w:rsid w:val="00281DB1"/>
    <w:rsid w:val="00282611"/>
    <w:rsid w:val="00283C47"/>
    <w:rsid w:val="0028456B"/>
    <w:rsid w:val="00286225"/>
    <w:rsid w:val="00286402"/>
    <w:rsid w:val="00286CFD"/>
    <w:rsid w:val="00286F0F"/>
    <w:rsid w:val="0029025C"/>
    <w:rsid w:val="002903FE"/>
    <w:rsid w:val="00290671"/>
    <w:rsid w:val="00290740"/>
    <w:rsid w:val="00291B09"/>
    <w:rsid w:val="00291C48"/>
    <w:rsid w:val="00292350"/>
    <w:rsid w:val="002932B5"/>
    <w:rsid w:val="00294681"/>
    <w:rsid w:val="00294E65"/>
    <w:rsid w:val="00297933"/>
    <w:rsid w:val="002A1069"/>
    <w:rsid w:val="002A1C49"/>
    <w:rsid w:val="002A1D9F"/>
    <w:rsid w:val="002A24FD"/>
    <w:rsid w:val="002A2AD2"/>
    <w:rsid w:val="002A53B3"/>
    <w:rsid w:val="002A70B0"/>
    <w:rsid w:val="002B00D5"/>
    <w:rsid w:val="002B0551"/>
    <w:rsid w:val="002B05AB"/>
    <w:rsid w:val="002B079A"/>
    <w:rsid w:val="002B0B8E"/>
    <w:rsid w:val="002B0ED2"/>
    <w:rsid w:val="002B20B7"/>
    <w:rsid w:val="002B2A78"/>
    <w:rsid w:val="002B2E97"/>
    <w:rsid w:val="002B36B7"/>
    <w:rsid w:val="002B4323"/>
    <w:rsid w:val="002B48F8"/>
    <w:rsid w:val="002B5271"/>
    <w:rsid w:val="002B57E7"/>
    <w:rsid w:val="002B71B7"/>
    <w:rsid w:val="002B720C"/>
    <w:rsid w:val="002B72A7"/>
    <w:rsid w:val="002B7370"/>
    <w:rsid w:val="002B764D"/>
    <w:rsid w:val="002C0007"/>
    <w:rsid w:val="002C01F4"/>
    <w:rsid w:val="002C0AA5"/>
    <w:rsid w:val="002C1376"/>
    <w:rsid w:val="002C3F3C"/>
    <w:rsid w:val="002C5386"/>
    <w:rsid w:val="002C5636"/>
    <w:rsid w:val="002C578E"/>
    <w:rsid w:val="002C5A83"/>
    <w:rsid w:val="002C5EAB"/>
    <w:rsid w:val="002C60BB"/>
    <w:rsid w:val="002C62CE"/>
    <w:rsid w:val="002D0EC7"/>
    <w:rsid w:val="002D0FEC"/>
    <w:rsid w:val="002D1D5C"/>
    <w:rsid w:val="002D1FC3"/>
    <w:rsid w:val="002D2AD3"/>
    <w:rsid w:val="002D2FA2"/>
    <w:rsid w:val="002D682A"/>
    <w:rsid w:val="002E0693"/>
    <w:rsid w:val="002E12E5"/>
    <w:rsid w:val="002E1415"/>
    <w:rsid w:val="002E22BF"/>
    <w:rsid w:val="002E652D"/>
    <w:rsid w:val="002E6FB1"/>
    <w:rsid w:val="002E7272"/>
    <w:rsid w:val="002F0730"/>
    <w:rsid w:val="002F07F7"/>
    <w:rsid w:val="002F24C1"/>
    <w:rsid w:val="002F24DF"/>
    <w:rsid w:val="002F27F7"/>
    <w:rsid w:val="002F3A41"/>
    <w:rsid w:val="002F3F0B"/>
    <w:rsid w:val="002F405C"/>
    <w:rsid w:val="002F5232"/>
    <w:rsid w:val="002F578C"/>
    <w:rsid w:val="002F6242"/>
    <w:rsid w:val="002F6359"/>
    <w:rsid w:val="002F65C2"/>
    <w:rsid w:val="002F691B"/>
    <w:rsid w:val="002F7438"/>
    <w:rsid w:val="002F74AB"/>
    <w:rsid w:val="00300648"/>
    <w:rsid w:val="00301961"/>
    <w:rsid w:val="00304042"/>
    <w:rsid w:val="003053B3"/>
    <w:rsid w:val="00306731"/>
    <w:rsid w:val="00307593"/>
    <w:rsid w:val="003100A5"/>
    <w:rsid w:val="003105A5"/>
    <w:rsid w:val="00311B3D"/>
    <w:rsid w:val="00312F46"/>
    <w:rsid w:val="0031319D"/>
    <w:rsid w:val="003155FA"/>
    <w:rsid w:val="00317992"/>
    <w:rsid w:val="00317A79"/>
    <w:rsid w:val="00320725"/>
    <w:rsid w:val="00321802"/>
    <w:rsid w:val="00321DA3"/>
    <w:rsid w:val="00321E63"/>
    <w:rsid w:val="003223DB"/>
    <w:rsid w:val="00323500"/>
    <w:rsid w:val="00323637"/>
    <w:rsid w:val="003237E8"/>
    <w:rsid w:val="00323D24"/>
    <w:rsid w:val="003249C6"/>
    <w:rsid w:val="003249DB"/>
    <w:rsid w:val="00324CB6"/>
    <w:rsid w:val="00325AFE"/>
    <w:rsid w:val="0032636E"/>
    <w:rsid w:val="003265BA"/>
    <w:rsid w:val="00327B32"/>
    <w:rsid w:val="00330E4E"/>
    <w:rsid w:val="00332548"/>
    <w:rsid w:val="00332C24"/>
    <w:rsid w:val="00334027"/>
    <w:rsid w:val="003343B1"/>
    <w:rsid w:val="003343E3"/>
    <w:rsid w:val="00334ED6"/>
    <w:rsid w:val="003350CF"/>
    <w:rsid w:val="00335411"/>
    <w:rsid w:val="0033695E"/>
    <w:rsid w:val="003417C8"/>
    <w:rsid w:val="0034334E"/>
    <w:rsid w:val="00343D87"/>
    <w:rsid w:val="00345B59"/>
    <w:rsid w:val="00346683"/>
    <w:rsid w:val="00346E38"/>
    <w:rsid w:val="00347A3E"/>
    <w:rsid w:val="00347BA3"/>
    <w:rsid w:val="00347E06"/>
    <w:rsid w:val="00347EBE"/>
    <w:rsid w:val="00350E73"/>
    <w:rsid w:val="00350F70"/>
    <w:rsid w:val="00351C4C"/>
    <w:rsid w:val="003524F8"/>
    <w:rsid w:val="003528FC"/>
    <w:rsid w:val="00353675"/>
    <w:rsid w:val="003545B5"/>
    <w:rsid w:val="00355008"/>
    <w:rsid w:val="0035557A"/>
    <w:rsid w:val="00355DD1"/>
    <w:rsid w:val="00356D41"/>
    <w:rsid w:val="0035760A"/>
    <w:rsid w:val="0036181D"/>
    <w:rsid w:val="0036188D"/>
    <w:rsid w:val="003618A8"/>
    <w:rsid w:val="0036335A"/>
    <w:rsid w:val="00363693"/>
    <w:rsid w:val="003650C9"/>
    <w:rsid w:val="003665C4"/>
    <w:rsid w:val="00367FEB"/>
    <w:rsid w:val="00370B77"/>
    <w:rsid w:val="0037269D"/>
    <w:rsid w:val="00372818"/>
    <w:rsid w:val="00373297"/>
    <w:rsid w:val="00373596"/>
    <w:rsid w:val="00373912"/>
    <w:rsid w:val="00373C71"/>
    <w:rsid w:val="003757FF"/>
    <w:rsid w:val="00375A95"/>
    <w:rsid w:val="003763FB"/>
    <w:rsid w:val="00377311"/>
    <w:rsid w:val="00377FF4"/>
    <w:rsid w:val="00380250"/>
    <w:rsid w:val="00380C0D"/>
    <w:rsid w:val="00380CA3"/>
    <w:rsid w:val="00381F09"/>
    <w:rsid w:val="00382382"/>
    <w:rsid w:val="00382FB8"/>
    <w:rsid w:val="003832D1"/>
    <w:rsid w:val="00383417"/>
    <w:rsid w:val="00383DCA"/>
    <w:rsid w:val="00384474"/>
    <w:rsid w:val="0038508D"/>
    <w:rsid w:val="00385177"/>
    <w:rsid w:val="00385BD8"/>
    <w:rsid w:val="003862FB"/>
    <w:rsid w:val="00386F55"/>
    <w:rsid w:val="0038764C"/>
    <w:rsid w:val="003878FA"/>
    <w:rsid w:val="003900F4"/>
    <w:rsid w:val="00390100"/>
    <w:rsid w:val="003912AC"/>
    <w:rsid w:val="00391DB8"/>
    <w:rsid w:val="00392085"/>
    <w:rsid w:val="00392A98"/>
    <w:rsid w:val="00393086"/>
    <w:rsid w:val="003942B0"/>
    <w:rsid w:val="0039458E"/>
    <w:rsid w:val="00395181"/>
    <w:rsid w:val="00395669"/>
    <w:rsid w:val="0039666D"/>
    <w:rsid w:val="00396D07"/>
    <w:rsid w:val="003A1B6C"/>
    <w:rsid w:val="003A2B33"/>
    <w:rsid w:val="003A3283"/>
    <w:rsid w:val="003A3B0E"/>
    <w:rsid w:val="003A46E2"/>
    <w:rsid w:val="003A547F"/>
    <w:rsid w:val="003A6CA2"/>
    <w:rsid w:val="003A6E03"/>
    <w:rsid w:val="003A7065"/>
    <w:rsid w:val="003B1758"/>
    <w:rsid w:val="003B59C0"/>
    <w:rsid w:val="003B5D1A"/>
    <w:rsid w:val="003B613A"/>
    <w:rsid w:val="003B7AC1"/>
    <w:rsid w:val="003B7E88"/>
    <w:rsid w:val="003C2550"/>
    <w:rsid w:val="003C511F"/>
    <w:rsid w:val="003C5506"/>
    <w:rsid w:val="003C7AF3"/>
    <w:rsid w:val="003D0E5A"/>
    <w:rsid w:val="003D151E"/>
    <w:rsid w:val="003D1B6E"/>
    <w:rsid w:val="003D3885"/>
    <w:rsid w:val="003D3A98"/>
    <w:rsid w:val="003D3EC8"/>
    <w:rsid w:val="003D4930"/>
    <w:rsid w:val="003D692F"/>
    <w:rsid w:val="003E13C3"/>
    <w:rsid w:val="003E19CE"/>
    <w:rsid w:val="003E1CFA"/>
    <w:rsid w:val="003E1F2E"/>
    <w:rsid w:val="003E2745"/>
    <w:rsid w:val="003E3638"/>
    <w:rsid w:val="003E46A4"/>
    <w:rsid w:val="003F05D3"/>
    <w:rsid w:val="003F0AD6"/>
    <w:rsid w:val="003F0BC3"/>
    <w:rsid w:val="003F2FA3"/>
    <w:rsid w:val="003F412E"/>
    <w:rsid w:val="003F465F"/>
    <w:rsid w:val="003F6085"/>
    <w:rsid w:val="003F72AF"/>
    <w:rsid w:val="003F7494"/>
    <w:rsid w:val="004015B6"/>
    <w:rsid w:val="00401CC1"/>
    <w:rsid w:val="00402252"/>
    <w:rsid w:val="00402B91"/>
    <w:rsid w:val="00403888"/>
    <w:rsid w:val="00403FED"/>
    <w:rsid w:val="004042A1"/>
    <w:rsid w:val="00404D2C"/>
    <w:rsid w:val="004057BF"/>
    <w:rsid w:val="004076A0"/>
    <w:rsid w:val="0041134A"/>
    <w:rsid w:val="00411836"/>
    <w:rsid w:val="00412763"/>
    <w:rsid w:val="004129AF"/>
    <w:rsid w:val="00416133"/>
    <w:rsid w:val="004200FC"/>
    <w:rsid w:val="00420E10"/>
    <w:rsid w:val="00423840"/>
    <w:rsid w:val="004259EB"/>
    <w:rsid w:val="00425CA9"/>
    <w:rsid w:val="00426B96"/>
    <w:rsid w:val="00426E3D"/>
    <w:rsid w:val="00427258"/>
    <w:rsid w:val="00427A4D"/>
    <w:rsid w:val="004314C2"/>
    <w:rsid w:val="00431769"/>
    <w:rsid w:val="00431B5E"/>
    <w:rsid w:val="00433129"/>
    <w:rsid w:val="004335E5"/>
    <w:rsid w:val="0043441B"/>
    <w:rsid w:val="004344EE"/>
    <w:rsid w:val="004346DE"/>
    <w:rsid w:val="0043695B"/>
    <w:rsid w:val="004376EF"/>
    <w:rsid w:val="00441F24"/>
    <w:rsid w:val="00442097"/>
    <w:rsid w:val="00442336"/>
    <w:rsid w:val="0044345C"/>
    <w:rsid w:val="00444901"/>
    <w:rsid w:val="00444B0F"/>
    <w:rsid w:val="00445114"/>
    <w:rsid w:val="00446DFB"/>
    <w:rsid w:val="0044766E"/>
    <w:rsid w:val="004500AC"/>
    <w:rsid w:val="0045010A"/>
    <w:rsid w:val="00451F31"/>
    <w:rsid w:val="0045239D"/>
    <w:rsid w:val="0045280A"/>
    <w:rsid w:val="00455DA7"/>
    <w:rsid w:val="00457459"/>
    <w:rsid w:val="0046013C"/>
    <w:rsid w:val="004607E8"/>
    <w:rsid w:val="00460A18"/>
    <w:rsid w:val="0046239F"/>
    <w:rsid w:val="0046340D"/>
    <w:rsid w:val="004634B9"/>
    <w:rsid w:val="004640CD"/>
    <w:rsid w:val="00464896"/>
    <w:rsid w:val="00465606"/>
    <w:rsid w:val="00465908"/>
    <w:rsid w:val="00465AB3"/>
    <w:rsid w:val="004679EE"/>
    <w:rsid w:val="00467F47"/>
    <w:rsid w:val="00470043"/>
    <w:rsid w:val="0047083E"/>
    <w:rsid w:val="0047247C"/>
    <w:rsid w:val="00472790"/>
    <w:rsid w:val="0047281C"/>
    <w:rsid w:val="00473205"/>
    <w:rsid w:val="00473FFB"/>
    <w:rsid w:val="00474766"/>
    <w:rsid w:val="004748F0"/>
    <w:rsid w:val="00474D59"/>
    <w:rsid w:val="00475664"/>
    <w:rsid w:val="00475849"/>
    <w:rsid w:val="00475E21"/>
    <w:rsid w:val="0047619F"/>
    <w:rsid w:val="00477627"/>
    <w:rsid w:val="00480607"/>
    <w:rsid w:val="00481E73"/>
    <w:rsid w:val="0048368A"/>
    <w:rsid w:val="0048370C"/>
    <w:rsid w:val="00484C5B"/>
    <w:rsid w:val="00487CAF"/>
    <w:rsid w:val="00491849"/>
    <w:rsid w:val="0049238E"/>
    <w:rsid w:val="00492748"/>
    <w:rsid w:val="00492D6D"/>
    <w:rsid w:val="00494A3C"/>
    <w:rsid w:val="0049609B"/>
    <w:rsid w:val="004963B7"/>
    <w:rsid w:val="00497A27"/>
    <w:rsid w:val="00497D42"/>
    <w:rsid w:val="004A0618"/>
    <w:rsid w:val="004A2205"/>
    <w:rsid w:val="004A34E4"/>
    <w:rsid w:val="004A386F"/>
    <w:rsid w:val="004A3BB6"/>
    <w:rsid w:val="004A3C6D"/>
    <w:rsid w:val="004A5B82"/>
    <w:rsid w:val="004A681D"/>
    <w:rsid w:val="004A6A10"/>
    <w:rsid w:val="004A79B9"/>
    <w:rsid w:val="004B0953"/>
    <w:rsid w:val="004B1316"/>
    <w:rsid w:val="004B1930"/>
    <w:rsid w:val="004B1F2D"/>
    <w:rsid w:val="004B2948"/>
    <w:rsid w:val="004B333B"/>
    <w:rsid w:val="004B4014"/>
    <w:rsid w:val="004B41AC"/>
    <w:rsid w:val="004B432B"/>
    <w:rsid w:val="004B487E"/>
    <w:rsid w:val="004B4E49"/>
    <w:rsid w:val="004B5CCD"/>
    <w:rsid w:val="004B5EA9"/>
    <w:rsid w:val="004B782C"/>
    <w:rsid w:val="004B784B"/>
    <w:rsid w:val="004B7FF7"/>
    <w:rsid w:val="004C02AD"/>
    <w:rsid w:val="004C0365"/>
    <w:rsid w:val="004C06FA"/>
    <w:rsid w:val="004C12FD"/>
    <w:rsid w:val="004C1433"/>
    <w:rsid w:val="004C156B"/>
    <w:rsid w:val="004C1F21"/>
    <w:rsid w:val="004C1F65"/>
    <w:rsid w:val="004C2D3C"/>
    <w:rsid w:val="004C42FC"/>
    <w:rsid w:val="004C449C"/>
    <w:rsid w:val="004C57F2"/>
    <w:rsid w:val="004C6A3A"/>
    <w:rsid w:val="004C7796"/>
    <w:rsid w:val="004C7E3B"/>
    <w:rsid w:val="004D07FD"/>
    <w:rsid w:val="004D0F07"/>
    <w:rsid w:val="004D15A5"/>
    <w:rsid w:val="004D1C9D"/>
    <w:rsid w:val="004D2AD1"/>
    <w:rsid w:val="004D2F5D"/>
    <w:rsid w:val="004D4899"/>
    <w:rsid w:val="004D49E3"/>
    <w:rsid w:val="004D4D4C"/>
    <w:rsid w:val="004D57F8"/>
    <w:rsid w:val="004D5AB6"/>
    <w:rsid w:val="004D63D7"/>
    <w:rsid w:val="004D6CEF"/>
    <w:rsid w:val="004D6CF1"/>
    <w:rsid w:val="004D6D03"/>
    <w:rsid w:val="004E0FE7"/>
    <w:rsid w:val="004E16C1"/>
    <w:rsid w:val="004E24CC"/>
    <w:rsid w:val="004E29B7"/>
    <w:rsid w:val="004E2CDB"/>
    <w:rsid w:val="004E3344"/>
    <w:rsid w:val="004E35C5"/>
    <w:rsid w:val="004E3602"/>
    <w:rsid w:val="004E3E7B"/>
    <w:rsid w:val="004E4BBD"/>
    <w:rsid w:val="004E7CE7"/>
    <w:rsid w:val="004F00C9"/>
    <w:rsid w:val="004F0FA4"/>
    <w:rsid w:val="004F1C35"/>
    <w:rsid w:val="004F2355"/>
    <w:rsid w:val="004F2B75"/>
    <w:rsid w:val="004F2C59"/>
    <w:rsid w:val="004F3487"/>
    <w:rsid w:val="004F60B6"/>
    <w:rsid w:val="004F67AA"/>
    <w:rsid w:val="004F6D8A"/>
    <w:rsid w:val="005005DE"/>
    <w:rsid w:val="0050093B"/>
    <w:rsid w:val="00500D4E"/>
    <w:rsid w:val="00501E83"/>
    <w:rsid w:val="005020ED"/>
    <w:rsid w:val="005028B6"/>
    <w:rsid w:val="00503269"/>
    <w:rsid w:val="005045EE"/>
    <w:rsid w:val="00505164"/>
    <w:rsid w:val="005051E2"/>
    <w:rsid w:val="0050523F"/>
    <w:rsid w:val="00507C16"/>
    <w:rsid w:val="0051077D"/>
    <w:rsid w:val="00510B4C"/>
    <w:rsid w:val="00511651"/>
    <w:rsid w:val="00512969"/>
    <w:rsid w:val="00512FB2"/>
    <w:rsid w:val="00513A82"/>
    <w:rsid w:val="00514378"/>
    <w:rsid w:val="00514692"/>
    <w:rsid w:val="00514A0D"/>
    <w:rsid w:val="00516BAC"/>
    <w:rsid w:val="00516E66"/>
    <w:rsid w:val="005218DF"/>
    <w:rsid w:val="00521ADF"/>
    <w:rsid w:val="00521D68"/>
    <w:rsid w:val="00522E92"/>
    <w:rsid w:val="00524D62"/>
    <w:rsid w:val="005251BC"/>
    <w:rsid w:val="00525316"/>
    <w:rsid w:val="00526043"/>
    <w:rsid w:val="005262D6"/>
    <w:rsid w:val="00526331"/>
    <w:rsid w:val="00526AB9"/>
    <w:rsid w:val="00527473"/>
    <w:rsid w:val="00527981"/>
    <w:rsid w:val="00530FC4"/>
    <w:rsid w:val="005312AC"/>
    <w:rsid w:val="0053192C"/>
    <w:rsid w:val="00532133"/>
    <w:rsid w:val="00532254"/>
    <w:rsid w:val="0053236C"/>
    <w:rsid w:val="00532997"/>
    <w:rsid w:val="00534256"/>
    <w:rsid w:val="00534EBF"/>
    <w:rsid w:val="00535E10"/>
    <w:rsid w:val="00536284"/>
    <w:rsid w:val="0053642D"/>
    <w:rsid w:val="00537891"/>
    <w:rsid w:val="00537EB3"/>
    <w:rsid w:val="00540431"/>
    <w:rsid w:val="00540524"/>
    <w:rsid w:val="005406AB"/>
    <w:rsid w:val="00540B07"/>
    <w:rsid w:val="005413D9"/>
    <w:rsid w:val="005417A3"/>
    <w:rsid w:val="00541C3B"/>
    <w:rsid w:val="005425F0"/>
    <w:rsid w:val="00542723"/>
    <w:rsid w:val="005427C0"/>
    <w:rsid w:val="00543A5C"/>
    <w:rsid w:val="00544653"/>
    <w:rsid w:val="00544AE5"/>
    <w:rsid w:val="00545BB1"/>
    <w:rsid w:val="00546D5E"/>
    <w:rsid w:val="00547162"/>
    <w:rsid w:val="00547A57"/>
    <w:rsid w:val="00550A61"/>
    <w:rsid w:val="00550F35"/>
    <w:rsid w:val="005525F7"/>
    <w:rsid w:val="00553288"/>
    <w:rsid w:val="00554043"/>
    <w:rsid w:val="0055475C"/>
    <w:rsid w:val="00555EE7"/>
    <w:rsid w:val="00557700"/>
    <w:rsid w:val="005629E0"/>
    <w:rsid w:val="00563F25"/>
    <w:rsid w:val="005641F3"/>
    <w:rsid w:val="005669EF"/>
    <w:rsid w:val="00566B3C"/>
    <w:rsid w:val="00570E30"/>
    <w:rsid w:val="00570E93"/>
    <w:rsid w:val="005753F2"/>
    <w:rsid w:val="0057557B"/>
    <w:rsid w:val="00576243"/>
    <w:rsid w:val="00576B4E"/>
    <w:rsid w:val="005815AA"/>
    <w:rsid w:val="00581EF2"/>
    <w:rsid w:val="00582093"/>
    <w:rsid w:val="0058220F"/>
    <w:rsid w:val="0058289C"/>
    <w:rsid w:val="00584593"/>
    <w:rsid w:val="0058502E"/>
    <w:rsid w:val="0058712E"/>
    <w:rsid w:val="00587603"/>
    <w:rsid w:val="00590870"/>
    <w:rsid w:val="00590B10"/>
    <w:rsid w:val="00590D41"/>
    <w:rsid w:val="00591104"/>
    <w:rsid w:val="00591622"/>
    <w:rsid w:val="005922EE"/>
    <w:rsid w:val="00592F82"/>
    <w:rsid w:val="005933AF"/>
    <w:rsid w:val="005934D6"/>
    <w:rsid w:val="005939CA"/>
    <w:rsid w:val="00593F41"/>
    <w:rsid w:val="00593F43"/>
    <w:rsid w:val="005941E1"/>
    <w:rsid w:val="0059422A"/>
    <w:rsid w:val="00595316"/>
    <w:rsid w:val="005973FD"/>
    <w:rsid w:val="00597563"/>
    <w:rsid w:val="00597618"/>
    <w:rsid w:val="005A1210"/>
    <w:rsid w:val="005A2746"/>
    <w:rsid w:val="005A2D14"/>
    <w:rsid w:val="005A37DE"/>
    <w:rsid w:val="005A406E"/>
    <w:rsid w:val="005A4629"/>
    <w:rsid w:val="005A534D"/>
    <w:rsid w:val="005A5641"/>
    <w:rsid w:val="005A5EFE"/>
    <w:rsid w:val="005A62BC"/>
    <w:rsid w:val="005B0CE8"/>
    <w:rsid w:val="005B0F2E"/>
    <w:rsid w:val="005B1723"/>
    <w:rsid w:val="005B47E6"/>
    <w:rsid w:val="005B5EA5"/>
    <w:rsid w:val="005B61C6"/>
    <w:rsid w:val="005B6AA7"/>
    <w:rsid w:val="005C00E9"/>
    <w:rsid w:val="005C1F84"/>
    <w:rsid w:val="005C2DDE"/>
    <w:rsid w:val="005C4184"/>
    <w:rsid w:val="005C588F"/>
    <w:rsid w:val="005C62F0"/>
    <w:rsid w:val="005C766A"/>
    <w:rsid w:val="005D0427"/>
    <w:rsid w:val="005D21D4"/>
    <w:rsid w:val="005D2858"/>
    <w:rsid w:val="005D2EFE"/>
    <w:rsid w:val="005D3132"/>
    <w:rsid w:val="005D6126"/>
    <w:rsid w:val="005E0480"/>
    <w:rsid w:val="005E20A3"/>
    <w:rsid w:val="005E20B3"/>
    <w:rsid w:val="005E275C"/>
    <w:rsid w:val="005E2E8B"/>
    <w:rsid w:val="005E36CC"/>
    <w:rsid w:val="005E505E"/>
    <w:rsid w:val="005E55A5"/>
    <w:rsid w:val="005E76E0"/>
    <w:rsid w:val="005E7A25"/>
    <w:rsid w:val="005F22BF"/>
    <w:rsid w:val="005F2C47"/>
    <w:rsid w:val="005F422F"/>
    <w:rsid w:val="005F52A8"/>
    <w:rsid w:val="005F62E2"/>
    <w:rsid w:val="005F6A8B"/>
    <w:rsid w:val="005F6BD3"/>
    <w:rsid w:val="005F790A"/>
    <w:rsid w:val="00600523"/>
    <w:rsid w:val="00602071"/>
    <w:rsid w:val="00602E67"/>
    <w:rsid w:val="00604353"/>
    <w:rsid w:val="00604A5A"/>
    <w:rsid w:val="0060518C"/>
    <w:rsid w:val="00605BAF"/>
    <w:rsid w:val="00607F07"/>
    <w:rsid w:val="006102E3"/>
    <w:rsid w:val="00610571"/>
    <w:rsid w:val="00611193"/>
    <w:rsid w:val="00611607"/>
    <w:rsid w:val="0061274E"/>
    <w:rsid w:val="006129D5"/>
    <w:rsid w:val="00612C36"/>
    <w:rsid w:val="00613521"/>
    <w:rsid w:val="006137ED"/>
    <w:rsid w:val="00615474"/>
    <w:rsid w:val="00616BB2"/>
    <w:rsid w:val="0062192C"/>
    <w:rsid w:val="006271C8"/>
    <w:rsid w:val="006300B8"/>
    <w:rsid w:val="006300CE"/>
    <w:rsid w:val="006305E2"/>
    <w:rsid w:val="00630A24"/>
    <w:rsid w:val="00633DC8"/>
    <w:rsid w:val="00634157"/>
    <w:rsid w:val="00635D43"/>
    <w:rsid w:val="006374EA"/>
    <w:rsid w:val="00637A27"/>
    <w:rsid w:val="00637D43"/>
    <w:rsid w:val="00640BF9"/>
    <w:rsid w:val="0064170B"/>
    <w:rsid w:val="006421FD"/>
    <w:rsid w:val="00642B77"/>
    <w:rsid w:val="0064557F"/>
    <w:rsid w:val="0064731A"/>
    <w:rsid w:val="0065076B"/>
    <w:rsid w:val="00650D10"/>
    <w:rsid w:val="00650E0B"/>
    <w:rsid w:val="006511E3"/>
    <w:rsid w:val="00651C6F"/>
    <w:rsid w:val="00652F87"/>
    <w:rsid w:val="006556EF"/>
    <w:rsid w:val="00655742"/>
    <w:rsid w:val="006560BF"/>
    <w:rsid w:val="00656210"/>
    <w:rsid w:val="00656B4D"/>
    <w:rsid w:val="006570B6"/>
    <w:rsid w:val="0065714F"/>
    <w:rsid w:val="0066064E"/>
    <w:rsid w:val="006616D5"/>
    <w:rsid w:val="00661911"/>
    <w:rsid w:val="00662072"/>
    <w:rsid w:val="00664CDF"/>
    <w:rsid w:val="00665553"/>
    <w:rsid w:val="00666282"/>
    <w:rsid w:val="00667F3C"/>
    <w:rsid w:val="006707C1"/>
    <w:rsid w:val="00671CF4"/>
    <w:rsid w:val="0067219A"/>
    <w:rsid w:val="006723E8"/>
    <w:rsid w:val="0067259A"/>
    <w:rsid w:val="00672693"/>
    <w:rsid w:val="00672F28"/>
    <w:rsid w:val="00673758"/>
    <w:rsid w:val="0067426F"/>
    <w:rsid w:val="006751B7"/>
    <w:rsid w:val="00675D28"/>
    <w:rsid w:val="00676AE5"/>
    <w:rsid w:val="00676B93"/>
    <w:rsid w:val="00680B55"/>
    <w:rsid w:val="006822A7"/>
    <w:rsid w:val="0068279B"/>
    <w:rsid w:val="006833DF"/>
    <w:rsid w:val="00683998"/>
    <w:rsid w:val="00683A9D"/>
    <w:rsid w:val="006849DC"/>
    <w:rsid w:val="00684AF0"/>
    <w:rsid w:val="00684CC7"/>
    <w:rsid w:val="0068697F"/>
    <w:rsid w:val="0068702F"/>
    <w:rsid w:val="00687233"/>
    <w:rsid w:val="00692F33"/>
    <w:rsid w:val="006935D4"/>
    <w:rsid w:val="00693E16"/>
    <w:rsid w:val="00695992"/>
    <w:rsid w:val="00696593"/>
    <w:rsid w:val="00696C1C"/>
    <w:rsid w:val="006A119C"/>
    <w:rsid w:val="006A129F"/>
    <w:rsid w:val="006A25FB"/>
    <w:rsid w:val="006A40D4"/>
    <w:rsid w:val="006A4D08"/>
    <w:rsid w:val="006A55DC"/>
    <w:rsid w:val="006A5C04"/>
    <w:rsid w:val="006A66BA"/>
    <w:rsid w:val="006A711E"/>
    <w:rsid w:val="006B1602"/>
    <w:rsid w:val="006B1BED"/>
    <w:rsid w:val="006B1F7B"/>
    <w:rsid w:val="006B43EB"/>
    <w:rsid w:val="006B5B48"/>
    <w:rsid w:val="006B6C6C"/>
    <w:rsid w:val="006B706D"/>
    <w:rsid w:val="006B7600"/>
    <w:rsid w:val="006B7A19"/>
    <w:rsid w:val="006B7E2D"/>
    <w:rsid w:val="006C03A8"/>
    <w:rsid w:val="006C2102"/>
    <w:rsid w:val="006C2213"/>
    <w:rsid w:val="006C2403"/>
    <w:rsid w:val="006C2EE6"/>
    <w:rsid w:val="006C3F98"/>
    <w:rsid w:val="006C5115"/>
    <w:rsid w:val="006C74D8"/>
    <w:rsid w:val="006D12A9"/>
    <w:rsid w:val="006D1400"/>
    <w:rsid w:val="006D3CCB"/>
    <w:rsid w:val="006D413C"/>
    <w:rsid w:val="006D4259"/>
    <w:rsid w:val="006D4435"/>
    <w:rsid w:val="006D45A5"/>
    <w:rsid w:val="006D463B"/>
    <w:rsid w:val="006D4958"/>
    <w:rsid w:val="006D5F62"/>
    <w:rsid w:val="006D61B6"/>
    <w:rsid w:val="006D67F2"/>
    <w:rsid w:val="006D6B31"/>
    <w:rsid w:val="006E0622"/>
    <w:rsid w:val="006E1F16"/>
    <w:rsid w:val="006E2ABF"/>
    <w:rsid w:val="006E3982"/>
    <w:rsid w:val="006E4988"/>
    <w:rsid w:val="006E52DF"/>
    <w:rsid w:val="006E561B"/>
    <w:rsid w:val="006E6252"/>
    <w:rsid w:val="006E6A4D"/>
    <w:rsid w:val="006E7570"/>
    <w:rsid w:val="006E7B07"/>
    <w:rsid w:val="006F06D5"/>
    <w:rsid w:val="006F1025"/>
    <w:rsid w:val="006F3EAB"/>
    <w:rsid w:val="006F4211"/>
    <w:rsid w:val="006F5B1D"/>
    <w:rsid w:val="006F69E5"/>
    <w:rsid w:val="006F6A97"/>
    <w:rsid w:val="006F6CF1"/>
    <w:rsid w:val="006F76FC"/>
    <w:rsid w:val="00700565"/>
    <w:rsid w:val="00700B10"/>
    <w:rsid w:val="00701BBB"/>
    <w:rsid w:val="00701F92"/>
    <w:rsid w:val="00703FD2"/>
    <w:rsid w:val="00706079"/>
    <w:rsid w:val="00706482"/>
    <w:rsid w:val="007065EA"/>
    <w:rsid w:val="007074D7"/>
    <w:rsid w:val="00707504"/>
    <w:rsid w:val="00707E9A"/>
    <w:rsid w:val="007110C3"/>
    <w:rsid w:val="00711112"/>
    <w:rsid w:val="00711C12"/>
    <w:rsid w:val="00711E14"/>
    <w:rsid w:val="00713D63"/>
    <w:rsid w:val="00714BC6"/>
    <w:rsid w:val="00714E85"/>
    <w:rsid w:val="007164C5"/>
    <w:rsid w:val="00716DF2"/>
    <w:rsid w:val="00717B98"/>
    <w:rsid w:val="00720ADE"/>
    <w:rsid w:val="00721202"/>
    <w:rsid w:val="007216A4"/>
    <w:rsid w:val="00721CFC"/>
    <w:rsid w:val="00724C92"/>
    <w:rsid w:val="00725768"/>
    <w:rsid w:val="00725F3F"/>
    <w:rsid w:val="00726C2C"/>
    <w:rsid w:val="0073061A"/>
    <w:rsid w:val="007309FD"/>
    <w:rsid w:val="007319E8"/>
    <w:rsid w:val="00733556"/>
    <w:rsid w:val="00733592"/>
    <w:rsid w:val="00733745"/>
    <w:rsid w:val="0073406E"/>
    <w:rsid w:val="00734895"/>
    <w:rsid w:val="007359D3"/>
    <w:rsid w:val="00736151"/>
    <w:rsid w:val="00736AD1"/>
    <w:rsid w:val="00736E01"/>
    <w:rsid w:val="00737052"/>
    <w:rsid w:val="00737CBD"/>
    <w:rsid w:val="007400FA"/>
    <w:rsid w:val="0074080E"/>
    <w:rsid w:val="007409C6"/>
    <w:rsid w:val="00740E53"/>
    <w:rsid w:val="007419F4"/>
    <w:rsid w:val="00741BFD"/>
    <w:rsid w:val="00742294"/>
    <w:rsid w:val="0074256D"/>
    <w:rsid w:val="00742C48"/>
    <w:rsid w:val="007446A3"/>
    <w:rsid w:val="007454D9"/>
    <w:rsid w:val="00745B5C"/>
    <w:rsid w:val="00746319"/>
    <w:rsid w:val="0074768C"/>
    <w:rsid w:val="00747AE7"/>
    <w:rsid w:val="00747B37"/>
    <w:rsid w:val="0075200B"/>
    <w:rsid w:val="007522E5"/>
    <w:rsid w:val="007529B5"/>
    <w:rsid w:val="0075308C"/>
    <w:rsid w:val="00753E8A"/>
    <w:rsid w:val="00754168"/>
    <w:rsid w:val="0075659E"/>
    <w:rsid w:val="00756C38"/>
    <w:rsid w:val="00761293"/>
    <w:rsid w:val="00761476"/>
    <w:rsid w:val="0076453C"/>
    <w:rsid w:val="0076515E"/>
    <w:rsid w:val="00765462"/>
    <w:rsid w:val="00766AE1"/>
    <w:rsid w:val="007671E4"/>
    <w:rsid w:val="00767FB9"/>
    <w:rsid w:val="007702F9"/>
    <w:rsid w:val="007717D7"/>
    <w:rsid w:val="00771B0E"/>
    <w:rsid w:val="007721B6"/>
    <w:rsid w:val="00772CC8"/>
    <w:rsid w:val="007739F8"/>
    <w:rsid w:val="00773FD1"/>
    <w:rsid w:val="00775482"/>
    <w:rsid w:val="00775693"/>
    <w:rsid w:val="00777F69"/>
    <w:rsid w:val="00777F71"/>
    <w:rsid w:val="007806C4"/>
    <w:rsid w:val="0078276B"/>
    <w:rsid w:val="0078396E"/>
    <w:rsid w:val="007850A9"/>
    <w:rsid w:val="00785243"/>
    <w:rsid w:val="00786F8B"/>
    <w:rsid w:val="00790461"/>
    <w:rsid w:val="007909A3"/>
    <w:rsid w:val="007917DF"/>
    <w:rsid w:val="007920A4"/>
    <w:rsid w:val="00793EA0"/>
    <w:rsid w:val="007941D0"/>
    <w:rsid w:val="00795070"/>
    <w:rsid w:val="007955D8"/>
    <w:rsid w:val="00795C08"/>
    <w:rsid w:val="00795D16"/>
    <w:rsid w:val="00797406"/>
    <w:rsid w:val="00797C79"/>
    <w:rsid w:val="007A1C3A"/>
    <w:rsid w:val="007A2334"/>
    <w:rsid w:val="007A26C0"/>
    <w:rsid w:val="007A2C69"/>
    <w:rsid w:val="007A43E0"/>
    <w:rsid w:val="007A4679"/>
    <w:rsid w:val="007A4CB6"/>
    <w:rsid w:val="007A4D93"/>
    <w:rsid w:val="007A51AE"/>
    <w:rsid w:val="007A5DFD"/>
    <w:rsid w:val="007A6279"/>
    <w:rsid w:val="007A7798"/>
    <w:rsid w:val="007B0C6E"/>
    <w:rsid w:val="007B21EA"/>
    <w:rsid w:val="007B6044"/>
    <w:rsid w:val="007B6CC3"/>
    <w:rsid w:val="007C0C28"/>
    <w:rsid w:val="007C1FC0"/>
    <w:rsid w:val="007C2002"/>
    <w:rsid w:val="007C20F1"/>
    <w:rsid w:val="007C2873"/>
    <w:rsid w:val="007C29B1"/>
    <w:rsid w:val="007C40AF"/>
    <w:rsid w:val="007C4AF0"/>
    <w:rsid w:val="007C5028"/>
    <w:rsid w:val="007C55AB"/>
    <w:rsid w:val="007C5BB1"/>
    <w:rsid w:val="007C67D6"/>
    <w:rsid w:val="007C77B4"/>
    <w:rsid w:val="007C7E4C"/>
    <w:rsid w:val="007C7EDE"/>
    <w:rsid w:val="007C7F49"/>
    <w:rsid w:val="007D088C"/>
    <w:rsid w:val="007D115E"/>
    <w:rsid w:val="007D1429"/>
    <w:rsid w:val="007D1A10"/>
    <w:rsid w:val="007D36A9"/>
    <w:rsid w:val="007D4D83"/>
    <w:rsid w:val="007D4F01"/>
    <w:rsid w:val="007D5233"/>
    <w:rsid w:val="007D5482"/>
    <w:rsid w:val="007D761F"/>
    <w:rsid w:val="007E0065"/>
    <w:rsid w:val="007E07F5"/>
    <w:rsid w:val="007E0DD4"/>
    <w:rsid w:val="007E1570"/>
    <w:rsid w:val="007E15EF"/>
    <w:rsid w:val="007E331B"/>
    <w:rsid w:val="007E38C1"/>
    <w:rsid w:val="007E3DE6"/>
    <w:rsid w:val="007E3F48"/>
    <w:rsid w:val="007E7633"/>
    <w:rsid w:val="007F1C97"/>
    <w:rsid w:val="007F34AF"/>
    <w:rsid w:val="007F49E6"/>
    <w:rsid w:val="007F73AF"/>
    <w:rsid w:val="00800438"/>
    <w:rsid w:val="00801CF5"/>
    <w:rsid w:val="008031ED"/>
    <w:rsid w:val="00804262"/>
    <w:rsid w:val="00804792"/>
    <w:rsid w:val="00811DAD"/>
    <w:rsid w:val="00811F93"/>
    <w:rsid w:val="008136D7"/>
    <w:rsid w:val="008140DB"/>
    <w:rsid w:val="008151F8"/>
    <w:rsid w:val="008153B0"/>
    <w:rsid w:val="0081597A"/>
    <w:rsid w:val="00816213"/>
    <w:rsid w:val="008208B6"/>
    <w:rsid w:val="00820D41"/>
    <w:rsid w:val="008211D0"/>
    <w:rsid w:val="00822629"/>
    <w:rsid w:val="00823017"/>
    <w:rsid w:val="0082398F"/>
    <w:rsid w:val="00825B89"/>
    <w:rsid w:val="00826FBD"/>
    <w:rsid w:val="0082779D"/>
    <w:rsid w:val="0083192E"/>
    <w:rsid w:val="00831CF7"/>
    <w:rsid w:val="0083303A"/>
    <w:rsid w:val="0083442C"/>
    <w:rsid w:val="0083582F"/>
    <w:rsid w:val="008360E7"/>
    <w:rsid w:val="00836567"/>
    <w:rsid w:val="0083754C"/>
    <w:rsid w:val="0083786A"/>
    <w:rsid w:val="00840248"/>
    <w:rsid w:val="00840C50"/>
    <w:rsid w:val="008414A2"/>
    <w:rsid w:val="0084180C"/>
    <w:rsid w:val="00841B01"/>
    <w:rsid w:val="00841BFC"/>
    <w:rsid w:val="00841DDD"/>
    <w:rsid w:val="00842010"/>
    <w:rsid w:val="00844906"/>
    <w:rsid w:val="00846725"/>
    <w:rsid w:val="00847201"/>
    <w:rsid w:val="008473F6"/>
    <w:rsid w:val="00850BD5"/>
    <w:rsid w:val="00850E8F"/>
    <w:rsid w:val="0085255D"/>
    <w:rsid w:val="00852637"/>
    <w:rsid w:val="00852ABD"/>
    <w:rsid w:val="00852BE7"/>
    <w:rsid w:val="00852E3B"/>
    <w:rsid w:val="0085323B"/>
    <w:rsid w:val="008541EC"/>
    <w:rsid w:val="008568F6"/>
    <w:rsid w:val="0085756A"/>
    <w:rsid w:val="008610EE"/>
    <w:rsid w:val="00862736"/>
    <w:rsid w:val="00862B66"/>
    <w:rsid w:val="00864828"/>
    <w:rsid w:val="00864CD8"/>
    <w:rsid w:val="00864D12"/>
    <w:rsid w:val="00865096"/>
    <w:rsid w:val="0086514B"/>
    <w:rsid w:val="00866C52"/>
    <w:rsid w:val="00867388"/>
    <w:rsid w:val="008675C8"/>
    <w:rsid w:val="00867BEF"/>
    <w:rsid w:val="008722F5"/>
    <w:rsid w:val="00872A9F"/>
    <w:rsid w:val="00873079"/>
    <w:rsid w:val="00874BD2"/>
    <w:rsid w:val="00874BD5"/>
    <w:rsid w:val="00874CBC"/>
    <w:rsid w:val="00875B57"/>
    <w:rsid w:val="0087687B"/>
    <w:rsid w:val="00876DAA"/>
    <w:rsid w:val="00877982"/>
    <w:rsid w:val="008809F1"/>
    <w:rsid w:val="0088194E"/>
    <w:rsid w:val="00882010"/>
    <w:rsid w:val="00883FA8"/>
    <w:rsid w:val="00884C19"/>
    <w:rsid w:val="008850BA"/>
    <w:rsid w:val="00885332"/>
    <w:rsid w:val="00886165"/>
    <w:rsid w:val="00887045"/>
    <w:rsid w:val="00890C56"/>
    <w:rsid w:val="00891822"/>
    <w:rsid w:val="00891905"/>
    <w:rsid w:val="00891E9E"/>
    <w:rsid w:val="008920AB"/>
    <w:rsid w:val="00892A7E"/>
    <w:rsid w:val="00892FB7"/>
    <w:rsid w:val="00893D54"/>
    <w:rsid w:val="008A0A67"/>
    <w:rsid w:val="008A11D5"/>
    <w:rsid w:val="008A2010"/>
    <w:rsid w:val="008A263E"/>
    <w:rsid w:val="008A3863"/>
    <w:rsid w:val="008A42DF"/>
    <w:rsid w:val="008A57E9"/>
    <w:rsid w:val="008A5A32"/>
    <w:rsid w:val="008A683B"/>
    <w:rsid w:val="008A6FD1"/>
    <w:rsid w:val="008A7202"/>
    <w:rsid w:val="008A7F6E"/>
    <w:rsid w:val="008B0660"/>
    <w:rsid w:val="008B0B3C"/>
    <w:rsid w:val="008B0D61"/>
    <w:rsid w:val="008B0F36"/>
    <w:rsid w:val="008B12A6"/>
    <w:rsid w:val="008B2D1D"/>
    <w:rsid w:val="008B4C0A"/>
    <w:rsid w:val="008B4DD7"/>
    <w:rsid w:val="008B4F9C"/>
    <w:rsid w:val="008B5878"/>
    <w:rsid w:val="008B70A0"/>
    <w:rsid w:val="008B79CF"/>
    <w:rsid w:val="008C080D"/>
    <w:rsid w:val="008C17DD"/>
    <w:rsid w:val="008C2625"/>
    <w:rsid w:val="008C2860"/>
    <w:rsid w:val="008C41FC"/>
    <w:rsid w:val="008C430C"/>
    <w:rsid w:val="008C69B6"/>
    <w:rsid w:val="008C7081"/>
    <w:rsid w:val="008D0A97"/>
    <w:rsid w:val="008D0AA0"/>
    <w:rsid w:val="008D1024"/>
    <w:rsid w:val="008D1694"/>
    <w:rsid w:val="008D1BEB"/>
    <w:rsid w:val="008D1F11"/>
    <w:rsid w:val="008D223E"/>
    <w:rsid w:val="008D2C03"/>
    <w:rsid w:val="008D45CD"/>
    <w:rsid w:val="008D588F"/>
    <w:rsid w:val="008D5BB6"/>
    <w:rsid w:val="008E0627"/>
    <w:rsid w:val="008E0801"/>
    <w:rsid w:val="008E1AA0"/>
    <w:rsid w:val="008E259F"/>
    <w:rsid w:val="008E3A41"/>
    <w:rsid w:val="008E4103"/>
    <w:rsid w:val="008E43B5"/>
    <w:rsid w:val="008E4A9E"/>
    <w:rsid w:val="008E694D"/>
    <w:rsid w:val="008E6F9A"/>
    <w:rsid w:val="008E7536"/>
    <w:rsid w:val="008E7729"/>
    <w:rsid w:val="008F18E9"/>
    <w:rsid w:val="008F26BC"/>
    <w:rsid w:val="008F2A38"/>
    <w:rsid w:val="008F42A0"/>
    <w:rsid w:val="008F465F"/>
    <w:rsid w:val="008F4ED3"/>
    <w:rsid w:val="008F5D74"/>
    <w:rsid w:val="008F5E28"/>
    <w:rsid w:val="008F77E5"/>
    <w:rsid w:val="00900756"/>
    <w:rsid w:val="00900B6B"/>
    <w:rsid w:val="009014B6"/>
    <w:rsid w:val="0090163C"/>
    <w:rsid w:val="009043FD"/>
    <w:rsid w:val="00904A5C"/>
    <w:rsid w:val="0090593C"/>
    <w:rsid w:val="0090599B"/>
    <w:rsid w:val="00906FF4"/>
    <w:rsid w:val="009071F2"/>
    <w:rsid w:val="009075A5"/>
    <w:rsid w:val="00907989"/>
    <w:rsid w:val="00907BD5"/>
    <w:rsid w:val="0091014B"/>
    <w:rsid w:val="009121CD"/>
    <w:rsid w:val="009127EA"/>
    <w:rsid w:val="00912D16"/>
    <w:rsid w:val="00913566"/>
    <w:rsid w:val="00915E60"/>
    <w:rsid w:val="00916179"/>
    <w:rsid w:val="00917BCF"/>
    <w:rsid w:val="00921C65"/>
    <w:rsid w:val="00925A8B"/>
    <w:rsid w:val="00925B23"/>
    <w:rsid w:val="0092630C"/>
    <w:rsid w:val="00926F23"/>
    <w:rsid w:val="00927006"/>
    <w:rsid w:val="00930729"/>
    <w:rsid w:val="00930F0B"/>
    <w:rsid w:val="00931032"/>
    <w:rsid w:val="009315FA"/>
    <w:rsid w:val="009327F5"/>
    <w:rsid w:val="00932B7C"/>
    <w:rsid w:val="00932FB8"/>
    <w:rsid w:val="00933AC7"/>
    <w:rsid w:val="00934715"/>
    <w:rsid w:val="009358A5"/>
    <w:rsid w:val="00940700"/>
    <w:rsid w:val="00940A07"/>
    <w:rsid w:val="00942444"/>
    <w:rsid w:val="009442BD"/>
    <w:rsid w:val="00944B88"/>
    <w:rsid w:val="00944C03"/>
    <w:rsid w:val="009450B0"/>
    <w:rsid w:val="0094565C"/>
    <w:rsid w:val="009469BC"/>
    <w:rsid w:val="00946F45"/>
    <w:rsid w:val="00950419"/>
    <w:rsid w:val="00950D70"/>
    <w:rsid w:val="00951B50"/>
    <w:rsid w:val="00952748"/>
    <w:rsid w:val="00952D14"/>
    <w:rsid w:val="00953178"/>
    <w:rsid w:val="009539A4"/>
    <w:rsid w:val="00953C8F"/>
    <w:rsid w:val="00954038"/>
    <w:rsid w:val="009542D4"/>
    <w:rsid w:val="0095637F"/>
    <w:rsid w:val="00956A61"/>
    <w:rsid w:val="0096095B"/>
    <w:rsid w:val="009617EE"/>
    <w:rsid w:val="00961896"/>
    <w:rsid w:val="00962152"/>
    <w:rsid w:val="00962366"/>
    <w:rsid w:val="00962A82"/>
    <w:rsid w:val="00962DB2"/>
    <w:rsid w:val="00963C42"/>
    <w:rsid w:val="0096647F"/>
    <w:rsid w:val="00967D23"/>
    <w:rsid w:val="00967D8A"/>
    <w:rsid w:val="00970377"/>
    <w:rsid w:val="00971DF8"/>
    <w:rsid w:val="009724EE"/>
    <w:rsid w:val="0097252A"/>
    <w:rsid w:val="009726E4"/>
    <w:rsid w:val="009742C1"/>
    <w:rsid w:val="00975429"/>
    <w:rsid w:val="00975F45"/>
    <w:rsid w:val="009776C1"/>
    <w:rsid w:val="00980FBC"/>
    <w:rsid w:val="00981A7A"/>
    <w:rsid w:val="00982715"/>
    <w:rsid w:val="009834D8"/>
    <w:rsid w:val="00983AFB"/>
    <w:rsid w:val="00986B7B"/>
    <w:rsid w:val="00991646"/>
    <w:rsid w:val="00991D22"/>
    <w:rsid w:val="00992469"/>
    <w:rsid w:val="0099308E"/>
    <w:rsid w:val="00994155"/>
    <w:rsid w:val="00995450"/>
    <w:rsid w:val="009A05E5"/>
    <w:rsid w:val="009A064D"/>
    <w:rsid w:val="009A06FB"/>
    <w:rsid w:val="009A0873"/>
    <w:rsid w:val="009A141B"/>
    <w:rsid w:val="009A1F52"/>
    <w:rsid w:val="009A26E3"/>
    <w:rsid w:val="009A32E4"/>
    <w:rsid w:val="009A442C"/>
    <w:rsid w:val="009A480B"/>
    <w:rsid w:val="009A4973"/>
    <w:rsid w:val="009A4ED1"/>
    <w:rsid w:val="009A5247"/>
    <w:rsid w:val="009A52A8"/>
    <w:rsid w:val="009A5B64"/>
    <w:rsid w:val="009A6448"/>
    <w:rsid w:val="009A6F56"/>
    <w:rsid w:val="009A727B"/>
    <w:rsid w:val="009A74E0"/>
    <w:rsid w:val="009A792D"/>
    <w:rsid w:val="009A7939"/>
    <w:rsid w:val="009A7CF6"/>
    <w:rsid w:val="009B0E4C"/>
    <w:rsid w:val="009B19C0"/>
    <w:rsid w:val="009B1B0F"/>
    <w:rsid w:val="009B280F"/>
    <w:rsid w:val="009B346D"/>
    <w:rsid w:val="009B3F59"/>
    <w:rsid w:val="009B6513"/>
    <w:rsid w:val="009B671A"/>
    <w:rsid w:val="009B6EAE"/>
    <w:rsid w:val="009C1D10"/>
    <w:rsid w:val="009C28A7"/>
    <w:rsid w:val="009C2A5C"/>
    <w:rsid w:val="009C2AD7"/>
    <w:rsid w:val="009C3EBF"/>
    <w:rsid w:val="009C63B3"/>
    <w:rsid w:val="009C6AC1"/>
    <w:rsid w:val="009C6AE4"/>
    <w:rsid w:val="009D0581"/>
    <w:rsid w:val="009D0864"/>
    <w:rsid w:val="009D0DAE"/>
    <w:rsid w:val="009D1559"/>
    <w:rsid w:val="009D1E77"/>
    <w:rsid w:val="009D28C7"/>
    <w:rsid w:val="009D2CB3"/>
    <w:rsid w:val="009D3577"/>
    <w:rsid w:val="009D4A28"/>
    <w:rsid w:val="009D4FD8"/>
    <w:rsid w:val="009D5C6D"/>
    <w:rsid w:val="009D5EF9"/>
    <w:rsid w:val="009D6173"/>
    <w:rsid w:val="009D699C"/>
    <w:rsid w:val="009E0043"/>
    <w:rsid w:val="009E0978"/>
    <w:rsid w:val="009E1B11"/>
    <w:rsid w:val="009E239F"/>
    <w:rsid w:val="009E2EBB"/>
    <w:rsid w:val="009E3B96"/>
    <w:rsid w:val="009E45A0"/>
    <w:rsid w:val="009E533F"/>
    <w:rsid w:val="009E68F5"/>
    <w:rsid w:val="009E7851"/>
    <w:rsid w:val="009F0F2F"/>
    <w:rsid w:val="009F15A9"/>
    <w:rsid w:val="009F3067"/>
    <w:rsid w:val="009F3277"/>
    <w:rsid w:val="009F32B4"/>
    <w:rsid w:val="009F36F9"/>
    <w:rsid w:val="009F6238"/>
    <w:rsid w:val="009F6357"/>
    <w:rsid w:val="009F6E26"/>
    <w:rsid w:val="009F7317"/>
    <w:rsid w:val="009F7623"/>
    <w:rsid w:val="009F79C5"/>
    <w:rsid w:val="00A00AD4"/>
    <w:rsid w:val="00A0146F"/>
    <w:rsid w:val="00A020DD"/>
    <w:rsid w:val="00A0361D"/>
    <w:rsid w:val="00A03923"/>
    <w:rsid w:val="00A03B36"/>
    <w:rsid w:val="00A05E25"/>
    <w:rsid w:val="00A0675C"/>
    <w:rsid w:val="00A06D91"/>
    <w:rsid w:val="00A076EA"/>
    <w:rsid w:val="00A076F5"/>
    <w:rsid w:val="00A1072C"/>
    <w:rsid w:val="00A11C84"/>
    <w:rsid w:val="00A11EC9"/>
    <w:rsid w:val="00A12B94"/>
    <w:rsid w:val="00A135D1"/>
    <w:rsid w:val="00A13B28"/>
    <w:rsid w:val="00A1592C"/>
    <w:rsid w:val="00A164FD"/>
    <w:rsid w:val="00A16CF2"/>
    <w:rsid w:val="00A17452"/>
    <w:rsid w:val="00A1756D"/>
    <w:rsid w:val="00A17FC4"/>
    <w:rsid w:val="00A21A2C"/>
    <w:rsid w:val="00A21F3A"/>
    <w:rsid w:val="00A22432"/>
    <w:rsid w:val="00A23155"/>
    <w:rsid w:val="00A23E12"/>
    <w:rsid w:val="00A24319"/>
    <w:rsid w:val="00A24430"/>
    <w:rsid w:val="00A24747"/>
    <w:rsid w:val="00A24AEA"/>
    <w:rsid w:val="00A25861"/>
    <w:rsid w:val="00A25BD1"/>
    <w:rsid w:val="00A25D10"/>
    <w:rsid w:val="00A27EC6"/>
    <w:rsid w:val="00A33332"/>
    <w:rsid w:val="00A3348C"/>
    <w:rsid w:val="00A339D8"/>
    <w:rsid w:val="00A34A6D"/>
    <w:rsid w:val="00A35967"/>
    <w:rsid w:val="00A35D13"/>
    <w:rsid w:val="00A35EA4"/>
    <w:rsid w:val="00A36FEA"/>
    <w:rsid w:val="00A37D3E"/>
    <w:rsid w:val="00A4271B"/>
    <w:rsid w:val="00A4286B"/>
    <w:rsid w:val="00A42900"/>
    <w:rsid w:val="00A4296B"/>
    <w:rsid w:val="00A43EE9"/>
    <w:rsid w:val="00A43FA0"/>
    <w:rsid w:val="00A44617"/>
    <w:rsid w:val="00A44D18"/>
    <w:rsid w:val="00A45043"/>
    <w:rsid w:val="00A4524A"/>
    <w:rsid w:val="00A46373"/>
    <w:rsid w:val="00A475B5"/>
    <w:rsid w:val="00A47EDD"/>
    <w:rsid w:val="00A509EC"/>
    <w:rsid w:val="00A5334C"/>
    <w:rsid w:val="00A534A6"/>
    <w:rsid w:val="00A56DFF"/>
    <w:rsid w:val="00A56EEF"/>
    <w:rsid w:val="00A574C9"/>
    <w:rsid w:val="00A57CA4"/>
    <w:rsid w:val="00A60134"/>
    <w:rsid w:val="00A610C5"/>
    <w:rsid w:val="00A6235B"/>
    <w:rsid w:val="00A63582"/>
    <w:rsid w:val="00A64855"/>
    <w:rsid w:val="00A66873"/>
    <w:rsid w:val="00A66D6C"/>
    <w:rsid w:val="00A6709E"/>
    <w:rsid w:val="00A670E3"/>
    <w:rsid w:val="00A679EB"/>
    <w:rsid w:val="00A706F7"/>
    <w:rsid w:val="00A70755"/>
    <w:rsid w:val="00A717EC"/>
    <w:rsid w:val="00A718C4"/>
    <w:rsid w:val="00A721D8"/>
    <w:rsid w:val="00A7452B"/>
    <w:rsid w:val="00A75F2E"/>
    <w:rsid w:val="00A76CDE"/>
    <w:rsid w:val="00A77370"/>
    <w:rsid w:val="00A77675"/>
    <w:rsid w:val="00A776F3"/>
    <w:rsid w:val="00A77AF1"/>
    <w:rsid w:val="00A80435"/>
    <w:rsid w:val="00A80F28"/>
    <w:rsid w:val="00A80F81"/>
    <w:rsid w:val="00A81EE5"/>
    <w:rsid w:val="00A821CF"/>
    <w:rsid w:val="00A83038"/>
    <w:rsid w:val="00A8318A"/>
    <w:rsid w:val="00A84579"/>
    <w:rsid w:val="00A8527A"/>
    <w:rsid w:val="00A853BF"/>
    <w:rsid w:val="00A854C0"/>
    <w:rsid w:val="00A87204"/>
    <w:rsid w:val="00A901DD"/>
    <w:rsid w:val="00A91B8A"/>
    <w:rsid w:val="00A94B95"/>
    <w:rsid w:val="00A952FE"/>
    <w:rsid w:val="00A95D03"/>
    <w:rsid w:val="00AA0F62"/>
    <w:rsid w:val="00AA364C"/>
    <w:rsid w:val="00AA4D66"/>
    <w:rsid w:val="00AA57C0"/>
    <w:rsid w:val="00AA65F1"/>
    <w:rsid w:val="00AA6822"/>
    <w:rsid w:val="00AA6875"/>
    <w:rsid w:val="00AA6E68"/>
    <w:rsid w:val="00AA7347"/>
    <w:rsid w:val="00AB2092"/>
    <w:rsid w:val="00AB2281"/>
    <w:rsid w:val="00AB2287"/>
    <w:rsid w:val="00AB2A69"/>
    <w:rsid w:val="00AB36F8"/>
    <w:rsid w:val="00AB3C1F"/>
    <w:rsid w:val="00AB3C97"/>
    <w:rsid w:val="00AB404B"/>
    <w:rsid w:val="00AB53F1"/>
    <w:rsid w:val="00AB5DD9"/>
    <w:rsid w:val="00AB6C41"/>
    <w:rsid w:val="00AB7ED1"/>
    <w:rsid w:val="00AC0317"/>
    <w:rsid w:val="00AC0778"/>
    <w:rsid w:val="00AC22A9"/>
    <w:rsid w:val="00AC22FB"/>
    <w:rsid w:val="00AC4287"/>
    <w:rsid w:val="00AC4E38"/>
    <w:rsid w:val="00AC4F8E"/>
    <w:rsid w:val="00AC69D9"/>
    <w:rsid w:val="00AC7554"/>
    <w:rsid w:val="00AC78A1"/>
    <w:rsid w:val="00AC7CCA"/>
    <w:rsid w:val="00AD051F"/>
    <w:rsid w:val="00AD107E"/>
    <w:rsid w:val="00AD1382"/>
    <w:rsid w:val="00AD1B95"/>
    <w:rsid w:val="00AD26AC"/>
    <w:rsid w:val="00AD2A51"/>
    <w:rsid w:val="00AD3000"/>
    <w:rsid w:val="00AD3243"/>
    <w:rsid w:val="00AD51D1"/>
    <w:rsid w:val="00AD5F33"/>
    <w:rsid w:val="00AD60FC"/>
    <w:rsid w:val="00AD6C2C"/>
    <w:rsid w:val="00AD6C70"/>
    <w:rsid w:val="00AD76A3"/>
    <w:rsid w:val="00AE0CBB"/>
    <w:rsid w:val="00AE112F"/>
    <w:rsid w:val="00AE11C9"/>
    <w:rsid w:val="00AE27B1"/>
    <w:rsid w:val="00AE3781"/>
    <w:rsid w:val="00AE413A"/>
    <w:rsid w:val="00AE4D25"/>
    <w:rsid w:val="00AE55F6"/>
    <w:rsid w:val="00AE5AF0"/>
    <w:rsid w:val="00AE5EAE"/>
    <w:rsid w:val="00AE6759"/>
    <w:rsid w:val="00AE676F"/>
    <w:rsid w:val="00AF055B"/>
    <w:rsid w:val="00AF1080"/>
    <w:rsid w:val="00AF1DED"/>
    <w:rsid w:val="00AF3539"/>
    <w:rsid w:val="00AF3695"/>
    <w:rsid w:val="00AF3A65"/>
    <w:rsid w:val="00AF3A72"/>
    <w:rsid w:val="00AF4147"/>
    <w:rsid w:val="00AF5097"/>
    <w:rsid w:val="00AF5262"/>
    <w:rsid w:val="00AF6051"/>
    <w:rsid w:val="00AF7465"/>
    <w:rsid w:val="00AF7ADA"/>
    <w:rsid w:val="00B001A4"/>
    <w:rsid w:val="00B01450"/>
    <w:rsid w:val="00B01A44"/>
    <w:rsid w:val="00B01AB2"/>
    <w:rsid w:val="00B02185"/>
    <w:rsid w:val="00B0240E"/>
    <w:rsid w:val="00B02FCA"/>
    <w:rsid w:val="00B032EA"/>
    <w:rsid w:val="00B03494"/>
    <w:rsid w:val="00B03642"/>
    <w:rsid w:val="00B04E17"/>
    <w:rsid w:val="00B04FDD"/>
    <w:rsid w:val="00B05145"/>
    <w:rsid w:val="00B05C10"/>
    <w:rsid w:val="00B07914"/>
    <w:rsid w:val="00B10A84"/>
    <w:rsid w:val="00B10B41"/>
    <w:rsid w:val="00B13745"/>
    <w:rsid w:val="00B138A7"/>
    <w:rsid w:val="00B16D13"/>
    <w:rsid w:val="00B17D57"/>
    <w:rsid w:val="00B20923"/>
    <w:rsid w:val="00B20E45"/>
    <w:rsid w:val="00B212BC"/>
    <w:rsid w:val="00B21F12"/>
    <w:rsid w:val="00B23154"/>
    <w:rsid w:val="00B2349B"/>
    <w:rsid w:val="00B23587"/>
    <w:rsid w:val="00B23E78"/>
    <w:rsid w:val="00B23F63"/>
    <w:rsid w:val="00B27465"/>
    <w:rsid w:val="00B27490"/>
    <w:rsid w:val="00B3034D"/>
    <w:rsid w:val="00B30BBC"/>
    <w:rsid w:val="00B316D3"/>
    <w:rsid w:val="00B32445"/>
    <w:rsid w:val="00B33209"/>
    <w:rsid w:val="00B3505A"/>
    <w:rsid w:val="00B3576F"/>
    <w:rsid w:val="00B36023"/>
    <w:rsid w:val="00B361FB"/>
    <w:rsid w:val="00B376B6"/>
    <w:rsid w:val="00B40A3D"/>
    <w:rsid w:val="00B40EDB"/>
    <w:rsid w:val="00B420FA"/>
    <w:rsid w:val="00B4310F"/>
    <w:rsid w:val="00B43C4A"/>
    <w:rsid w:val="00B440C2"/>
    <w:rsid w:val="00B4465D"/>
    <w:rsid w:val="00B458B3"/>
    <w:rsid w:val="00B467E4"/>
    <w:rsid w:val="00B47186"/>
    <w:rsid w:val="00B47CA0"/>
    <w:rsid w:val="00B47ED1"/>
    <w:rsid w:val="00B502DB"/>
    <w:rsid w:val="00B51262"/>
    <w:rsid w:val="00B53A2B"/>
    <w:rsid w:val="00B54115"/>
    <w:rsid w:val="00B56649"/>
    <w:rsid w:val="00B56E74"/>
    <w:rsid w:val="00B57547"/>
    <w:rsid w:val="00B606AC"/>
    <w:rsid w:val="00B609B6"/>
    <w:rsid w:val="00B60C24"/>
    <w:rsid w:val="00B61473"/>
    <w:rsid w:val="00B61C09"/>
    <w:rsid w:val="00B63153"/>
    <w:rsid w:val="00B63E23"/>
    <w:rsid w:val="00B6541F"/>
    <w:rsid w:val="00B66B55"/>
    <w:rsid w:val="00B7122D"/>
    <w:rsid w:val="00B71B7F"/>
    <w:rsid w:val="00B71F8E"/>
    <w:rsid w:val="00B731C9"/>
    <w:rsid w:val="00B74233"/>
    <w:rsid w:val="00B7546F"/>
    <w:rsid w:val="00B75492"/>
    <w:rsid w:val="00B7572A"/>
    <w:rsid w:val="00B75E40"/>
    <w:rsid w:val="00B7685A"/>
    <w:rsid w:val="00B768F2"/>
    <w:rsid w:val="00B76D2F"/>
    <w:rsid w:val="00B772E2"/>
    <w:rsid w:val="00B80A02"/>
    <w:rsid w:val="00B80BD1"/>
    <w:rsid w:val="00B82934"/>
    <w:rsid w:val="00B836BC"/>
    <w:rsid w:val="00B846B7"/>
    <w:rsid w:val="00B84E47"/>
    <w:rsid w:val="00B87076"/>
    <w:rsid w:val="00B8719A"/>
    <w:rsid w:val="00B877A4"/>
    <w:rsid w:val="00B906CE"/>
    <w:rsid w:val="00B9134C"/>
    <w:rsid w:val="00B91797"/>
    <w:rsid w:val="00B92D8E"/>
    <w:rsid w:val="00B93C63"/>
    <w:rsid w:val="00B93F33"/>
    <w:rsid w:val="00B9537C"/>
    <w:rsid w:val="00B953D9"/>
    <w:rsid w:val="00B955AF"/>
    <w:rsid w:val="00B968F9"/>
    <w:rsid w:val="00BA1588"/>
    <w:rsid w:val="00BA19B9"/>
    <w:rsid w:val="00BA225E"/>
    <w:rsid w:val="00BA234B"/>
    <w:rsid w:val="00BA263B"/>
    <w:rsid w:val="00BA3401"/>
    <w:rsid w:val="00BA3C06"/>
    <w:rsid w:val="00BA3F07"/>
    <w:rsid w:val="00BA45D5"/>
    <w:rsid w:val="00BA4832"/>
    <w:rsid w:val="00BA4CBD"/>
    <w:rsid w:val="00BA5502"/>
    <w:rsid w:val="00BA5A91"/>
    <w:rsid w:val="00BA6508"/>
    <w:rsid w:val="00BA69F7"/>
    <w:rsid w:val="00BA72D5"/>
    <w:rsid w:val="00BA7A63"/>
    <w:rsid w:val="00BA7CD3"/>
    <w:rsid w:val="00BB03A8"/>
    <w:rsid w:val="00BB0A21"/>
    <w:rsid w:val="00BB2A31"/>
    <w:rsid w:val="00BB2C8A"/>
    <w:rsid w:val="00BB35BF"/>
    <w:rsid w:val="00BB402E"/>
    <w:rsid w:val="00BB477E"/>
    <w:rsid w:val="00BB49BD"/>
    <w:rsid w:val="00BB4B71"/>
    <w:rsid w:val="00BB6907"/>
    <w:rsid w:val="00BB6B22"/>
    <w:rsid w:val="00BB7C22"/>
    <w:rsid w:val="00BC13DD"/>
    <w:rsid w:val="00BC18A8"/>
    <w:rsid w:val="00BC3BF8"/>
    <w:rsid w:val="00BC4234"/>
    <w:rsid w:val="00BC5894"/>
    <w:rsid w:val="00BC5B84"/>
    <w:rsid w:val="00BC65AB"/>
    <w:rsid w:val="00BC74BD"/>
    <w:rsid w:val="00BC783D"/>
    <w:rsid w:val="00BC78F3"/>
    <w:rsid w:val="00BD0771"/>
    <w:rsid w:val="00BD1855"/>
    <w:rsid w:val="00BD31F5"/>
    <w:rsid w:val="00BD48DB"/>
    <w:rsid w:val="00BD5CB2"/>
    <w:rsid w:val="00BD67C9"/>
    <w:rsid w:val="00BE0A79"/>
    <w:rsid w:val="00BE2F08"/>
    <w:rsid w:val="00BE31DE"/>
    <w:rsid w:val="00BE38C7"/>
    <w:rsid w:val="00BE4D84"/>
    <w:rsid w:val="00BE4DEF"/>
    <w:rsid w:val="00BE5783"/>
    <w:rsid w:val="00BE592C"/>
    <w:rsid w:val="00BE5AB3"/>
    <w:rsid w:val="00BE6658"/>
    <w:rsid w:val="00BE6682"/>
    <w:rsid w:val="00BE6891"/>
    <w:rsid w:val="00BE68F0"/>
    <w:rsid w:val="00BF3197"/>
    <w:rsid w:val="00BF3743"/>
    <w:rsid w:val="00BF40DC"/>
    <w:rsid w:val="00BF4C9E"/>
    <w:rsid w:val="00BF4DEF"/>
    <w:rsid w:val="00BF60F1"/>
    <w:rsid w:val="00BF63CB"/>
    <w:rsid w:val="00BF74DD"/>
    <w:rsid w:val="00C0059C"/>
    <w:rsid w:val="00C01041"/>
    <w:rsid w:val="00C0367F"/>
    <w:rsid w:val="00C04B88"/>
    <w:rsid w:val="00C05894"/>
    <w:rsid w:val="00C05CFF"/>
    <w:rsid w:val="00C061FB"/>
    <w:rsid w:val="00C07770"/>
    <w:rsid w:val="00C07BC2"/>
    <w:rsid w:val="00C12FB4"/>
    <w:rsid w:val="00C14A5A"/>
    <w:rsid w:val="00C14A5F"/>
    <w:rsid w:val="00C1572E"/>
    <w:rsid w:val="00C15A7F"/>
    <w:rsid w:val="00C16399"/>
    <w:rsid w:val="00C166D3"/>
    <w:rsid w:val="00C171C7"/>
    <w:rsid w:val="00C178DA"/>
    <w:rsid w:val="00C17B36"/>
    <w:rsid w:val="00C20251"/>
    <w:rsid w:val="00C202C5"/>
    <w:rsid w:val="00C2077E"/>
    <w:rsid w:val="00C21610"/>
    <w:rsid w:val="00C21C75"/>
    <w:rsid w:val="00C2255C"/>
    <w:rsid w:val="00C24C01"/>
    <w:rsid w:val="00C26500"/>
    <w:rsid w:val="00C26A37"/>
    <w:rsid w:val="00C27461"/>
    <w:rsid w:val="00C277F1"/>
    <w:rsid w:val="00C27E85"/>
    <w:rsid w:val="00C305A6"/>
    <w:rsid w:val="00C31220"/>
    <w:rsid w:val="00C32095"/>
    <w:rsid w:val="00C324E2"/>
    <w:rsid w:val="00C36C9B"/>
    <w:rsid w:val="00C373E7"/>
    <w:rsid w:val="00C3767D"/>
    <w:rsid w:val="00C40CFA"/>
    <w:rsid w:val="00C40F1A"/>
    <w:rsid w:val="00C40F1E"/>
    <w:rsid w:val="00C4649B"/>
    <w:rsid w:val="00C47479"/>
    <w:rsid w:val="00C47C02"/>
    <w:rsid w:val="00C50E64"/>
    <w:rsid w:val="00C52CBE"/>
    <w:rsid w:val="00C53B2B"/>
    <w:rsid w:val="00C549BA"/>
    <w:rsid w:val="00C55B54"/>
    <w:rsid w:val="00C566A7"/>
    <w:rsid w:val="00C569E0"/>
    <w:rsid w:val="00C56D48"/>
    <w:rsid w:val="00C60414"/>
    <w:rsid w:val="00C60E12"/>
    <w:rsid w:val="00C60E21"/>
    <w:rsid w:val="00C6250C"/>
    <w:rsid w:val="00C628B5"/>
    <w:rsid w:val="00C62D27"/>
    <w:rsid w:val="00C63B22"/>
    <w:rsid w:val="00C64CD4"/>
    <w:rsid w:val="00C66442"/>
    <w:rsid w:val="00C666E9"/>
    <w:rsid w:val="00C70D91"/>
    <w:rsid w:val="00C71443"/>
    <w:rsid w:val="00C72635"/>
    <w:rsid w:val="00C7282C"/>
    <w:rsid w:val="00C7301F"/>
    <w:rsid w:val="00C73344"/>
    <w:rsid w:val="00C7372D"/>
    <w:rsid w:val="00C73F54"/>
    <w:rsid w:val="00C74B66"/>
    <w:rsid w:val="00C75BDB"/>
    <w:rsid w:val="00C7677D"/>
    <w:rsid w:val="00C76D1F"/>
    <w:rsid w:val="00C77367"/>
    <w:rsid w:val="00C77D40"/>
    <w:rsid w:val="00C80210"/>
    <w:rsid w:val="00C80923"/>
    <w:rsid w:val="00C80C1A"/>
    <w:rsid w:val="00C81151"/>
    <w:rsid w:val="00C815F3"/>
    <w:rsid w:val="00C81DB8"/>
    <w:rsid w:val="00C82588"/>
    <w:rsid w:val="00C82D1F"/>
    <w:rsid w:val="00C83C50"/>
    <w:rsid w:val="00C84330"/>
    <w:rsid w:val="00C843CF"/>
    <w:rsid w:val="00C84DE6"/>
    <w:rsid w:val="00C85269"/>
    <w:rsid w:val="00C87AC5"/>
    <w:rsid w:val="00C91854"/>
    <w:rsid w:val="00C92DE1"/>
    <w:rsid w:val="00C93094"/>
    <w:rsid w:val="00C9327A"/>
    <w:rsid w:val="00C9434E"/>
    <w:rsid w:val="00C94D6C"/>
    <w:rsid w:val="00C970A1"/>
    <w:rsid w:val="00C97184"/>
    <w:rsid w:val="00C9719B"/>
    <w:rsid w:val="00CA033B"/>
    <w:rsid w:val="00CA0BE0"/>
    <w:rsid w:val="00CA49A6"/>
    <w:rsid w:val="00CA5BEE"/>
    <w:rsid w:val="00CA6008"/>
    <w:rsid w:val="00CA634E"/>
    <w:rsid w:val="00CB0177"/>
    <w:rsid w:val="00CB01EE"/>
    <w:rsid w:val="00CB0539"/>
    <w:rsid w:val="00CB066E"/>
    <w:rsid w:val="00CB0C15"/>
    <w:rsid w:val="00CB1245"/>
    <w:rsid w:val="00CB1EF7"/>
    <w:rsid w:val="00CB2726"/>
    <w:rsid w:val="00CB2F42"/>
    <w:rsid w:val="00CB3649"/>
    <w:rsid w:val="00CB3FA1"/>
    <w:rsid w:val="00CB439E"/>
    <w:rsid w:val="00CB48DA"/>
    <w:rsid w:val="00CB51DA"/>
    <w:rsid w:val="00CB573F"/>
    <w:rsid w:val="00CB5B7A"/>
    <w:rsid w:val="00CB6CD5"/>
    <w:rsid w:val="00CB779C"/>
    <w:rsid w:val="00CB7F18"/>
    <w:rsid w:val="00CC0767"/>
    <w:rsid w:val="00CC0BA1"/>
    <w:rsid w:val="00CC2C89"/>
    <w:rsid w:val="00CC2C91"/>
    <w:rsid w:val="00CC3FFA"/>
    <w:rsid w:val="00CC62B3"/>
    <w:rsid w:val="00CC648A"/>
    <w:rsid w:val="00CC6A83"/>
    <w:rsid w:val="00CC6AEE"/>
    <w:rsid w:val="00CC6FA5"/>
    <w:rsid w:val="00CC758E"/>
    <w:rsid w:val="00CC7604"/>
    <w:rsid w:val="00CD0B94"/>
    <w:rsid w:val="00CD10E0"/>
    <w:rsid w:val="00CD1141"/>
    <w:rsid w:val="00CD17C7"/>
    <w:rsid w:val="00CD1A02"/>
    <w:rsid w:val="00CD1C5E"/>
    <w:rsid w:val="00CD20D2"/>
    <w:rsid w:val="00CD3283"/>
    <w:rsid w:val="00CD51BC"/>
    <w:rsid w:val="00CD5277"/>
    <w:rsid w:val="00CD5504"/>
    <w:rsid w:val="00CD572D"/>
    <w:rsid w:val="00CD580A"/>
    <w:rsid w:val="00CD63B8"/>
    <w:rsid w:val="00CD64AB"/>
    <w:rsid w:val="00CD66FF"/>
    <w:rsid w:val="00CD6A4C"/>
    <w:rsid w:val="00CD73BC"/>
    <w:rsid w:val="00CE0D83"/>
    <w:rsid w:val="00CE110E"/>
    <w:rsid w:val="00CE2354"/>
    <w:rsid w:val="00CE2AA0"/>
    <w:rsid w:val="00CE3112"/>
    <w:rsid w:val="00CE3273"/>
    <w:rsid w:val="00CE3668"/>
    <w:rsid w:val="00CE45CF"/>
    <w:rsid w:val="00CE48D1"/>
    <w:rsid w:val="00CE7501"/>
    <w:rsid w:val="00CE7B6D"/>
    <w:rsid w:val="00CE7C4D"/>
    <w:rsid w:val="00CE7CD7"/>
    <w:rsid w:val="00CF002F"/>
    <w:rsid w:val="00CF014C"/>
    <w:rsid w:val="00CF06E6"/>
    <w:rsid w:val="00CF0B21"/>
    <w:rsid w:val="00CF14CF"/>
    <w:rsid w:val="00CF189B"/>
    <w:rsid w:val="00CF1EE9"/>
    <w:rsid w:val="00CF3557"/>
    <w:rsid w:val="00CF4635"/>
    <w:rsid w:val="00CF55D8"/>
    <w:rsid w:val="00CF6D9C"/>
    <w:rsid w:val="00CF722E"/>
    <w:rsid w:val="00CF73A0"/>
    <w:rsid w:val="00D00240"/>
    <w:rsid w:val="00D01870"/>
    <w:rsid w:val="00D01F16"/>
    <w:rsid w:val="00D038EE"/>
    <w:rsid w:val="00D067C0"/>
    <w:rsid w:val="00D075DD"/>
    <w:rsid w:val="00D07B78"/>
    <w:rsid w:val="00D114AB"/>
    <w:rsid w:val="00D131A6"/>
    <w:rsid w:val="00D13556"/>
    <w:rsid w:val="00D13D59"/>
    <w:rsid w:val="00D13E63"/>
    <w:rsid w:val="00D1412D"/>
    <w:rsid w:val="00D156BC"/>
    <w:rsid w:val="00D15E6F"/>
    <w:rsid w:val="00D17EE5"/>
    <w:rsid w:val="00D20B90"/>
    <w:rsid w:val="00D234CC"/>
    <w:rsid w:val="00D24469"/>
    <w:rsid w:val="00D24C6B"/>
    <w:rsid w:val="00D251C4"/>
    <w:rsid w:val="00D2547D"/>
    <w:rsid w:val="00D2608D"/>
    <w:rsid w:val="00D266E8"/>
    <w:rsid w:val="00D276EF"/>
    <w:rsid w:val="00D27ADE"/>
    <w:rsid w:val="00D30164"/>
    <w:rsid w:val="00D3051F"/>
    <w:rsid w:val="00D30C2D"/>
    <w:rsid w:val="00D30F9E"/>
    <w:rsid w:val="00D3109B"/>
    <w:rsid w:val="00D31D6C"/>
    <w:rsid w:val="00D33511"/>
    <w:rsid w:val="00D34C93"/>
    <w:rsid w:val="00D36C2B"/>
    <w:rsid w:val="00D37033"/>
    <w:rsid w:val="00D37063"/>
    <w:rsid w:val="00D406C8"/>
    <w:rsid w:val="00D40AA3"/>
    <w:rsid w:val="00D40AB3"/>
    <w:rsid w:val="00D41984"/>
    <w:rsid w:val="00D431DE"/>
    <w:rsid w:val="00D439C7"/>
    <w:rsid w:val="00D43B02"/>
    <w:rsid w:val="00D451DD"/>
    <w:rsid w:val="00D45512"/>
    <w:rsid w:val="00D50158"/>
    <w:rsid w:val="00D50356"/>
    <w:rsid w:val="00D50805"/>
    <w:rsid w:val="00D5179D"/>
    <w:rsid w:val="00D51F07"/>
    <w:rsid w:val="00D523AC"/>
    <w:rsid w:val="00D52EAE"/>
    <w:rsid w:val="00D55B2F"/>
    <w:rsid w:val="00D55EDD"/>
    <w:rsid w:val="00D576DC"/>
    <w:rsid w:val="00D57916"/>
    <w:rsid w:val="00D62EE8"/>
    <w:rsid w:val="00D63624"/>
    <w:rsid w:val="00D644D9"/>
    <w:rsid w:val="00D656B1"/>
    <w:rsid w:val="00D65E57"/>
    <w:rsid w:val="00D66283"/>
    <w:rsid w:val="00D66841"/>
    <w:rsid w:val="00D66B15"/>
    <w:rsid w:val="00D66D38"/>
    <w:rsid w:val="00D67947"/>
    <w:rsid w:val="00D717A8"/>
    <w:rsid w:val="00D727C2"/>
    <w:rsid w:val="00D72840"/>
    <w:rsid w:val="00D72913"/>
    <w:rsid w:val="00D72A8D"/>
    <w:rsid w:val="00D72CA3"/>
    <w:rsid w:val="00D72F53"/>
    <w:rsid w:val="00D73456"/>
    <w:rsid w:val="00D7655E"/>
    <w:rsid w:val="00D7665F"/>
    <w:rsid w:val="00D76F3A"/>
    <w:rsid w:val="00D8022F"/>
    <w:rsid w:val="00D8039B"/>
    <w:rsid w:val="00D8088B"/>
    <w:rsid w:val="00D80D6F"/>
    <w:rsid w:val="00D83A49"/>
    <w:rsid w:val="00D84854"/>
    <w:rsid w:val="00D8596E"/>
    <w:rsid w:val="00D86447"/>
    <w:rsid w:val="00D8671F"/>
    <w:rsid w:val="00D86DBE"/>
    <w:rsid w:val="00D87546"/>
    <w:rsid w:val="00D90890"/>
    <w:rsid w:val="00D90CD9"/>
    <w:rsid w:val="00D90F21"/>
    <w:rsid w:val="00D9161D"/>
    <w:rsid w:val="00D92238"/>
    <w:rsid w:val="00D93455"/>
    <w:rsid w:val="00D938A5"/>
    <w:rsid w:val="00D9483F"/>
    <w:rsid w:val="00D96331"/>
    <w:rsid w:val="00D9748D"/>
    <w:rsid w:val="00D9783B"/>
    <w:rsid w:val="00DA06E7"/>
    <w:rsid w:val="00DA1806"/>
    <w:rsid w:val="00DA1A9E"/>
    <w:rsid w:val="00DA4FB6"/>
    <w:rsid w:val="00DA50F0"/>
    <w:rsid w:val="00DA50F7"/>
    <w:rsid w:val="00DA5C72"/>
    <w:rsid w:val="00DA5E46"/>
    <w:rsid w:val="00DA6A8B"/>
    <w:rsid w:val="00DA7A74"/>
    <w:rsid w:val="00DA7DC5"/>
    <w:rsid w:val="00DB0265"/>
    <w:rsid w:val="00DB0466"/>
    <w:rsid w:val="00DB0653"/>
    <w:rsid w:val="00DB1512"/>
    <w:rsid w:val="00DB153D"/>
    <w:rsid w:val="00DB23F7"/>
    <w:rsid w:val="00DB280C"/>
    <w:rsid w:val="00DB3D9D"/>
    <w:rsid w:val="00DB4113"/>
    <w:rsid w:val="00DB4E63"/>
    <w:rsid w:val="00DB6BE4"/>
    <w:rsid w:val="00DB77DF"/>
    <w:rsid w:val="00DC002C"/>
    <w:rsid w:val="00DC07FB"/>
    <w:rsid w:val="00DC134C"/>
    <w:rsid w:val="00DC161F"/>
    <w:rsid w:val="00DC2916"/>
    <w:rsid w:val="00DC2BF3"/>
    <w:rsid w:val="00DC2DE4"/>
    <w:rsid w:val="00DC2F02"/>
    <w:rsid w:val="00DC3410"/>
    <w:rsid w:val="00DC3F8A"/>
    <w:rsid w:val="00DC48F9"/>
    <w:rsid w:val="00DC52F2"/>
    <w:rsid w:val="00DC567C"/>
    <w:rsid w:val="00DC5F1B"/>
    <w:rsid w:val="00DC658E"/>
    <w:rsid w:val="00DC6667"/>
    <w:rsid w:val="00DC7293"/>
    <w:rsid w:val="00DC775A"/>
    <w:rsid w:val="00DD0416"/>
    <w:rsid w:val="00DD079B"/>
    <w:rsid w:val="00DD15B8"/>
    <w:rsid w:val="00DD2A05"/>
    <w:rsid w:val="00DD2D91"/>
    <w:rsid w:val="00DD36DA"/>
    <w:rsid w:val="00DD487A"/>
    <w:rsid w:val="00DD4B45"/>
    <w:rsid w:val="00DD4DD6"/>
    <w:rsid w:val="00DD5F21"/>
    <w:rsid w:val="00DE1B11"/>
    <w:rsid w:val="00DE1BC9"/>
    <w:rsid w:val="00DE2C69"/>
    <w:rsid w:val="00DE2FA6"/>
    <w:rsid w:val="00DE37C9"/>
    <w:rsid w:val="00DE4034"/>
    <w:rsid w:val="00DE4329"/>
    <w:rsid w:val="00DE5FF9"/>
    <w:rsid w:val="00DE6949"/>
    <w:rsid w:val="00DE719A"/>
    <w:rsid w:val="00DF2A9C"/>
    <w:rsid w:val="00DF3A9B"/>
    <w:rsid w:val="00DF4101"/>
    <w:rsid w:val="00DF4C45"/>
    <w:rsid w:val="00DF52DB"/>
    <w:rsid w:val="00DF5749"/>
    <w:rsid w:val="00DF5DB2"/>
    <w:rsid w:val="00DF65D2"/>
    <w:rsid w:val="00DF721F"/>
    <w:rsid w:val="00DF7245"/>
    <w:rsid w:val="00DF7A84"/>
    <w:rsid w:val="00E01167"/>
    <w:rsid w:val="00E02676"/>
    <w:rsid w:val="00E026F6"/>
    <w:rsid w:val="00E02795"/>
    <w:rsid w:val="00E042BB"/>
    <w:rsid w:val="00E061EC"/>
    <w:rsid w:val="00E06AEA"/>
    <w:rsid w:val="00E101DD"/>
    <w:rsid w:val="00E10D1F"/>
    <w:rsid w:val="00E10ED8"/>
    <w:rsid w:val="00E119B8"/>
    <w:rsid w:val="00E1298A"/>
    <w:rsid w:val="00E12D45"/>
    <w:rsid w:val="00E14D1A"/>
    <w:rsid w:val="00E151E6"/>
    <w:rsid w:val="00E153EF"/>
    <w:rsid w:val="00E162CB"/>
    <w:rsid w:val="00E16F7E"/>
    <w:rsid w:val="00E173CD"/>
    <w:rsid w:val="00E17E08"/>
    <w:rsid w:val="00E20325"/>
    <w:rsid w:val="00E2077F"/>
    <w:rsid w:val="00E2187E"/>
    <w:rsid w:val="00E22209"/>
    <w:rsid w:val="00E22F74"/>
    <w:rsid w:val="00E23AE6"/>
    <w:rsid w:val="00E24F5B"/>
    <w:rsid w:val="00E2530E"/>
    <w:rsid w:val="00E2543E"/>
    <w:rsid w:val="00E26FD8"/>
    <w:rsid w:val="00E27105"/>
    <w:rsid w:val="00E313E1"/>
    <w:rsid w:val="00E33AA5"/>
    <w:rsid w:val="00E3432E"/>
    <w:rsid w:val="00E34AF1"/>
    <w:rsid w:val="00E36779"/>
    <w:rsid w:val="00E3780E"/>
    <w:rsid w:val="00E40094"/>
    <w:rsid w:val="00E40F04"/>
    <w:rsid w:val="00E41EEE"/>
    <w:rsid w:val="00E42030"/>
    <w:rsid w:val="00E44B0C"/>
    <w:rsid w:val="00E44CB6"/>
    <w:rsid w:val="00E44E88"/>
    <w:rsid w:val="00E458DC"/>
    <w:rsid w:val="00E467A5"/>
    <w:rsid w:val="00E50489"/>
    <w:rsid w:val="00E50CF4"/>
    <w:rsid w:val="00E519DC"/>
    <w:rsid w:val="00E51FD0"/>
    <w:rsid w:val="00E528D1"/>
    <w:rsid w:val="00E53E5F"/>
    <w:rsid w:val="00E54A0F"/>
    <w:rsid w:val="00E555A2"/>
    <w:rsid w:val="00E55BE1"/>
    <w:rsid w:val="00E55EB0"/>
    <w:rsid w:val="00E57A33"/>
    <w:rsid w:val="00E6337E"/>
    <w:rsid w:val="00E639DD"/>
    <w:rsid w:val="00E64D37"/>
    <w:rsid w:val="00E6579B"/>
    <w:rsid w:val="00E65A2A"/>
    <w:rsid w:val="00E65BA6"/>
    <w:rsid w:val="00E66753"/>
    <w:rsid w:val="00E667E1"/>
    <w:rsid w:val="00E66EAD"/>
    <w:rsid w:val="00E71D61"/>
    <w:rsid w:val="00E72451"/>
    <w:rsid w:val="00E7374B"/>
    <w:rsid w:val="00E74257"/>
    <w:rsid w:val="00E74839"/>
    <w:rsid w:val="00E75499"/>
    <w:rsid w:val="00E768F4"/>
    <w:rsid w:val="00E77170"/>
    <w:rsid w:val="00E805DD"/>
    <w:rsid w:val="00E810DA"/>
    <w:rsid w:val="00E81C9C"/>
    <w:rsid w:val="00E82910"/>
    <w:rsid w:val="00E82DC6"/>
    <w:rsid w:val="00E82E75"/>
    <w:rsid w:val="00E83211"/>
    <w:rsid w:val="00E83761"/>
    <w:rsid w:val="00E85A8A"/>
    <w:rsid w:val="00E8615F"/>
    <w:rsid w:val="00E861BD"/>
    <w:rsid w:val="00E8625F"/>
    <w:rsid w:val="00E8648B"/>
    <w:rsid w:val="00E86C68"/>
    <w:rsid w:val="00E86CE4"/>
    <w:rsid w:val="00E87687"/>
    <w:rsid w:val="00E90379"/>
    <w:rsid w:val="00E90D88"/>
    <w:rsid w:val="00E9117F"/>
    <w:rsid w:val="00E9175C"/>
    <w:rsid w:val="00E93E4B"/>
    <w:rsid w:val="00E95384"/>
    <w:rsid w:val="00E9544E"/>
    <w:rsid w:val="00E96280"/>
    <w:rsid w:val="00EA08C7"/>
    <w:rsid w:val="00EA1A16"/>
    <w:rsid w:val="00EA1B1A"/>
    <w:rsid w:val="00EA26EB"/>
    <w:rsid w:val="00EA3B43"/>
    <w:rsid w:val="00EA4682"/>
    <w:rsid w:val="00EA529E"/>
    <w:rsid w:val="00EA533C"/>
    <w:rsid w:val="00EA53A1"/>
    <w:rsid w:val="00EA5880"/>
    <w:rsid w:val="00EA684A"/>
    <w:rsid w:val="00EA708C"/>
    <w:rsid w:val="00EB0215"/>
    <w:rsid w:val="00EB074A"/>
    <w:rsid w:val="00EB107D"/>
    <w:rsid w:val="00EB1CCF"/>
    <w:rsid w:val="00EB2A8E"/>
    <w:rsid w:val="00EB2AB7"/>
    <w:rsid w:val="00EB2B91"/>
    <w:rsid w:val="00EB3AD2"/>
    <w:rsid w:val="00EB41F7"/>
    <w:rsid w:val="00EB4BEF"/>
    <w:rsid w:val="00EB54CB"/>
    <w:rsid w:val="00EB5888"/>
    <w:rsid w:val="00EB6D7C"/>
    <w:rsid w:val="00EB7527"/>
    <w:rsid w:val="00EB77B8"/>
    <w:rsid w:val="00EC0395"/>
    <w:rsid w:val="00EC056C"/>
    <w:rsid w:val="00EC3142"/>
    <w:rsid w:val="00EC3E1B"/>
    <w:rsid w:val="00EC3EE4"/>
    <w:rsid w:val="00EC4C6B"/>
    <w:rsid w:val="00EC5146"/>
    <w:rsid w:val="00EC5339"/>
    <w:rsid w:val="00EC5656"/>
    <w:rsid w:val="00EC5D7A"/>
    <w:rsid w:val="00EC62F4"/>
    <w:rsid w:val="00EC64DC"/>
    <w:rsid w:val="00EC6673"/>
    <w:rsid w:val="00ED0033"/>
    <w:rsid w:val="00ED06FA"/>
    <w:rsid w:val="00ED0946"/>
    <w:rsid w:val="00ED1377"/>
    <w:rsid w:val="00ED3F3E"/>
    <w:rsid w:val="00ED5350"/>
    <w:rsid w:val="00ED5357"/>
    <w:rsid w:val="00ED5444"/>
    <w:rsid w:val="00ED65D5"/>
    <w:rsid w:val="00EE0D9A"/>
    <w:rsid w:val="00EE1380"/>
    <w:rsid w:val="00EE1583"/>
    <w:rsid w:val="00EE4D55"/>
    <w:rsid w:val="00EE5290"/>
    <w:rsid w:val="00EE5386"/>
    <w:rsid w:val="00EE5B25"/>
    <w:rsid w:val="00EE5F6C"/>
    <w:rsid w:val="00EE6BBC"/>
    <w:rsid w:val="00EF093D"/>
    <w:rsid w:val="00EF2487"/>
    <w:rsid w:val="00EF2E0C"/>
    <w:rsid w:val="00EF4123"/>
    <w:rsid w:val="00EF476A"/>
    <w:rsid w:val="00EF4837"/>
    <w:rsid w:val="00EF7411"/>
    <w:rsid w:val="00F00562"/>
    <w:rsid w:val="00F00FCE"/>
    <w:rsid w:val="00F0162F"/>
    <w:rsid w:val="00F01C34"/>
    <w:rsid w:val="00F0286B"/>
    <w:rsid w:val="00F02D86"/>
    <w:rsid w:val="00F03965"/>
    <w:rsid w:val="00F03A49"/>
    <w:rsid w:val="00F045B3"/>
    <w:rsid w:val="00F052DA"/>
    <w:rsid w:val="00F06463"/>
    <w:rsid w:val="00F067E8"/>
    <w:rsid w:val="00F07A56"/>
    <w:rsid w:val="00F07B94"/>
    <w:rsid w:val="00F10F6F"/>
    <w:rsid w:val="00F11377"/>
    <w:rsid w:val="00F1270C"/>
    <w:rsid w:val="00F12AFD"/>
    <w:rsid w:val="00F12E65"/>
    <w:rsid w:val="00F12F17"/>
    <w:rsid w:val="00F14656"/>
    <w:rsid w:val="00F16531"/>
    <w:rsid w:val="00F16806"/>
    <w:rsid w:val="00F168C9"/>
    <w:rsid w:val="00F16C20"/>
    <w:rsid w:val="00F16C3A"/>
    <w:rsid w:val="00F16F5E"/>
    <w:rsid w:val="00F17406"/>
    <w:rsid w:val="00F17554"/>
    <w:rsid w:val="00F17774"/>
    <w:rsid w:val="00F2226A"/>
    <w:rsid w:val="00F22860"/>
    <w:rsid w:val="00F2301E"/>
    <w:rsid w:val="00F233EA"/>
    <w:rsid w:val="00F24242"/>
    <w:rsid w:val="00F25814"/>
    <w:rsid w:val="00F2657F"/>
    <w:rsid w:val="00F26646"/>
    <w:rsid w:val="00F308D9"/>
    <w:rsid w:val="00F30AB4"/>
    <w:rsid w:val="00F3154B"/>
    <w:rsid w:val="00F31598"/>
    <w:rsid w:val="00F31BD1"/>
    <w:rsid w:val="00F31D1A"/>
    <w:rsid w:val="00F31FD1"/>
    <w:rsid w:val="00F32664"/>
    <w:rsid w:val="00F32E46"/>
    <w:rsid w:val="00F331E3"/>
    <w:rsid w:val="00F33AF8"/>
    <w:rsid w:val="00F35794"/>
    <w:rsid w:val="00F35C74"/>
    <w:rsid w:val="00F36121"/>
    <w:rsid w:val="00F404F6"/>
    <w:rsid w:val="00F40894"/>
    <w:rsid w:val="00F40CBA"/>
    <w:rsid w:val="00F40F32"/>
    <w:rsid w:val="00F41E11"/>
    <w:rsid w:val="00F42440"/>
    <w:rsid w:val="00F42D89"/>
    <w:rsid w:val="00F442C6"/>
    <w:rsid w:val="00F44641"/>
    <w:rsid w:val="00F446C4"/>
    <w:rsid w:val="00F46063"/>
    <w:rsid w:val="00F462F8"/>
    <w:rsid w:val="00F463B5"/>
    <w:rsid w:val="00F470AA"/>
    <w:rsid w:val="00F5066A"/>
    <w:rsid w:val="00F50B56"/>
    <w:rsid w:val="00F51946"/>
    <w:rsid w:val="00F53AFA"/>
    <w:rsid w:val="00F55C2E"/>
    <w:rsid w:val="00F562A5"/>
    <w:rsid w:val="00F56467"/>
    <w:rsid w:val="00F5661A"/>
    <w:rsid w:val="00F56F61"/>
    <w:rsid w:val="00F571F4"/>
    <w:rsid w:val="00F57EF5"/>
    <w:rsid w:val="00F614F6"/>
    <w:rsid w:val="00F621F3"/>
    <w:rsid w:val="00F6310E"/>
    <w:rsid w:val="00F6346B"/>
    <w:rsid w:val="00F63563"/>
    <w:rsid w:val="00F65593"/>
    <w:rsid w:val="00F6606F"/>
    <w:rsid w:val="00F66B7F"/>
    <w:rsid w:val="00F70366"/>
    <w:rsid w:val="00F70F97"/>
    <w:rsid w:val="00F71166"/>
    <w:rsid w:val="00F7124B"/>
    <w:rsid w:val="00F716F1"/>
    <w:rsid w:val="00F742E8"/>
    <w:rsid w:val="00F74F48"/>
    <w:rsid w:val="00F75173"/>
    <w:rsid w:val="00F751A9"/>
    <w:rsid w:val="00F753EB"/>
    <w:rsid w:val="00F764A6"/>
    <w:rsid w:val="00F77C51"/>
    <w:rsid w:val="00F80101"/>
    <w:rsid w:val="00F8036C"/>
    <w:rsid w:val="00F80C4B"/>
    <w:rsid w:val="00F81FE5"/>
    <w:rsid w:val="00F82CAA"/>
    <w:rsid w:val="00F832C3"/>
    <w:rsid w:val="00F839B7"/>
    <w:rsid w:val="00F84D03"/>
    <w:rsid w:val="00F8554D"/>
    <w:rsid w:val="00F85BB6"/>
    <w:rsid w:val="00F86180"/>
    <w:rsid w:val="00F874F1"/>
    <w:rsid w:val="00F87BF6"/>
    <w:rsid w:val="00F90004"/>
    <w:rsid w:val="00F945E6"/>
    <w:rsid w:val="00F95CED"/>
    <w:rsid w:val="00F95E34"/>
    <w:rsid w:val="00F96808"/>
    <w:rsid w:val="00F96C1B"/>
    <w:rsid w:val="00F976E1"/>
    <w:rsid w:val="00FA1749"/>
    <w:rsid w:val="00FA1A14"/>
    <w:rsid w:val="00FA22B3"/>
    <w:rsid w:val="00FA27A1"/>
    <w:rsid w:val="00FA2F68"/>
    <w:rsid w:val="00FA33CE"/>
    <w:rsid w:val="00FA485F"/>
    <w:rsid w:val="00FA546E"/>
    <w:rsid w:val="00FA6C41"/>
    <w:rsid w:val="00FA7822"/>
    <w:rsid w:val="00FB0DBE"/>
    <w:rsid w:val="00FB1DF6"/>
    <w:rsid w:val="00FB29D9"/>
    <w:rsid w:val="00FB2A7C"/>
    <w:rsid w:val="00FB54C7"/>
    <w:rsid w:val="00FB7754"/>
    <w:rsid w:val="00FB7768"/>
    <w:rsid w:val="00FC0766"/>
    <w:rsid w:val="00FC0A73"/>
    <w:rsid w:val="00FC1838"/>
    <w:rsid w:val="00FC1B7C"/>
    <w:rsid w:val="00FC1CCA"/>
    <w:rsid w:val="00FC2CBA"/>
    <w:rsid w:val="00FC34AE"/>
    <w:rsid w:val="00FC35A3"/>
    <w:rsid w:val="00FC43A9"/>
    <w:rsid w:val="00FC6780"/>
    <w:rsid w:val="00FD0C8D"/>
    <w:rsid w:val="00FD1D20"/>
    <w:rsid w:val="00FD302D"/>
    <w:rsid w:val="00FD50B8"/>
    <w:rsid w:val="00FD6E47"/>
    <w:rsid w:val="00FD747D"/>
    <w:rsid w:val="00FD79BD"/>
    <w:rsid w:val="00FE0243"/>
    <w:rsid w:val="00FE1163"/>
    <w:rsid w:val="00FE2270"/>
    <w:rsid w:val="00FE2FBA"/>
    <w:rsid w:val="00FE3999"/>
    <w:rsid w:val="00FE4B81"/>
    <w:rsid w:val="00FE4C2D"/>
    <w:rsid w:val="00FE75FC"/>
    <w:rsid w:val="00FF0510"/>
    <w:rsid w:val="00FF0876"/>
    <w:rsid w:val="00FF1125"/>
    <w:rsid w:val="00FF1679"/>
    <w:rsid w:val="00FF1AF7"/>
    <w:rsid w:val="00FF2921"/>
    <w:rsid w:val="00FF4BA6"/>
    <w:rsid w:val="00FF5575"/>
    <w:rsid w:val="00FF5F52"/>
    <w:rsid w:val="00FF5F65"/>
    <w:rsid w:val="00FF66FA"/>
    <w:rsid w:val="00FF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76EF"/>
    <w:rPr>
      <w:rFonts w:ascii="CG Times" w:hAnsi="CG Times"/>
      <w:sz w:val="24"/>
    </w:rPr>
  </w:style>
  <w:style w:type="paragraph" w:styleId="Heading1">
    <w:name w:val="heading 1"/>
    <w:basedOn w:val="Normal"/>
    <w:next w:val="Normal"/>
    <w:qFormat/>
    <w:rsid w:val="004376EF"/>
    <w:pPr>
      <w:keepNext/>
      <w:tabs>
        <w:tab w:val="center" w:pos="4680"/>
      </w:tabs>
      <w:suppressAutoHyphens/>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30E4E"/>
    <w:pPr>
      <w:ind w:firstLine="720"/>
    </w:pPr>
    <w:rPr>
      <w:sz w:val="20"/>
    </w:rPr>
  </w:style>
  <w:style w:type="paragraph" w:styleId="Footer">
    <w:name w:val="footer"/>
    <w:basedOn w:val="Normal"/>
    <w:link w:val="FooterChar"/>
    <w:uiPriority w:val="99"/>
    <w:rsid w:val="004376EF"/>
    <w:pPr>
      <w:tabs>
        <w:tab w:val="center" w:pos="4320"/>
        <w:tab w:val="right" w:pos="8640"/>
      </w:tabs>
    </w:pPr>
  </w:style>
  <w:style w:type="character" w:styleId="PageNumber">
    <w:name w:val="page number"/>
    <w:basedOn w:val="DefaultParagraphFont"/>
    <w:rsid w:val="004376EF"/>
  </w:style>
  <w:style w:type="paragraph" w:styleId="BodyText">
    <w:name w:val="Body Text"/>
    <w:basedOn w:val="Normal"/>
    <w:rsid w:val="004376EF"/>
    <w:pPr>
      <w:spacing w:line="360" w:lineRule="auto"/>
    </w:pPr>
    <w:rPr>
      <w:rFonts w:ascii="Times New Roman" w:hAnsi="Times New Roman"/>
      <w:sz w:val="26"/>
    </w:rPr>
  </w:style>
  <w:style w:type="paragraph" w:styleId="NormalWeb">
    <w:name w:val="Normal (Web)"/>
    <w:basedOn w:val="Normal"/>
    <w:rsid w:val="00AF7465"/>
    <w:pPr>
      <w:spacing w:before="100" w:beforeAutospacing="1" w:after="100" w:afterAutospacing="1"/>
    </w:pPr>
    <w:rPr>
      <w:rFonts w:ascii="Times New Roman" w:hAnsi="Times New Roman"/>
      <w:szCs w:val="24"/>
    </w:rPr>
  </w:style>
  <w:style w:type="paragraph" w:styleId="BalloonText">
    <w:name w:val="Balloon Text"/>
    <w:basedOn w:val="Normal"/>
    <w:semiHidden/>
    <w:rsid w:val="00995450"/>
    <w:rPr>
      <w:rFonts w:ascii="Tahoma" w:hAnsi="Tahoma" w:cs="Tahoma"/>
      <w:sz w:val="16"/>
      <w:szCs w:val="16"/>
    </w:rPr>
  </w:style>
  <w:style w:type="paragraph" w:styleId="DocumentMap">
    <w:name w:val="Document Map"/>
    <w:basedOn w:val="Normal"/>
    <w:semiHidden/>
    <w:rsid w:val="00995450"/>
    <w:pPr>
      <w:shd w:val="clear" w:color="auto" w:fill="000080"/>
    </w:pPr>
    <w:rPr>
      <w:rFonts w:ascii="Tahoma" w:hAnsi="Tahoma" w:cs="Tahoma"/>
      <w:sz w:val="20"/>
    </w:rPr>
  </w:style>
  <w:style w:type="paragraph" w:styleId="Header">
    <w:name w:val="header"/>
    <w:basedOn w:val="Normal"/>
    <w:rsid w:val="00995450"/>
    <w:pPr>
      <w:tabs>
        <w:tab w:val="center" w:pos="4320"/>
        <w:tab w:val="right" w:pos="8640"/>
      </w:tabs>
    </w:pPr>
  </w:style>
  <w:style w:type="character" w:styleId="FootnoteReference">
    <w:name w:val="footnote reference"/>
    <w:basedOn w:val="DefaultParagraphFont"/>
    <w:rsid w:val="00864CD8"/>
    <w:rPr>
      <w:vertAlign w:val="superscript"/>
    </w:rPr>
  </w:style>
  <w:style w:type="character" w:customStyle="1" w:styleId="FooterChar">
    <w:name w:val="Footer Char"/>
    <w:basedOn w:val="DefaultParagraphFont"/>
    <w:link w:val="Footer"/>
    <w:uiPriority w:val="99"/>
    <w:rsid w:val="003249DB"/>
    <w:rPr>
      <w:rFonts w:ascii="CG Times" w:hAnsi="CG 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337792">
      <w:bodyDiv w:val="1"/>
      <w:marLeft w:val="0"/>
      <w:marRight w:val="0"/>
      <w:marTop w:val="0"/>
      <w:marBottom w:val="0"/>
      <w:divBdr>
        <w:top w:val="none" w:sz="0" w:space="0" w:color="auto"/>
        <w:left w:val="none" w:sz="0" w:space="0" w:color="auto"/>
        <w:bottom w:val="none" w:sz="0" w:space="0" w:color="auto"/>
        <w:right w:val="none" w:sz="0" w:space="0" w:color="auto"/>
      </w:divBdr>
      <w:divsChild>
        <w:div w:id="2134056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258">
      <w:bodyDiv w:val="1"/>
      <w:marLeft w:val="0"/>
      <w:marRight w:val="0"/>
      <w:marTop w:val="0"/>
      <w:marBottom w:val="0"/>
      <w:divBdr>
        <w:top w:val="none" w:sz="0" w:space="0" w:color="auto"/>
        <w:left w:val="none" w:sz="0" w:space="0" w:color="auto"/>
        <w:bottom w:val="none" w:sz="0" w:space="0" w:color="auto"/>
        <w:right w:val="none" w:sz="0" w:space="0" w:color="auto"/>
      </w:divBdr>
      <w:divsChild>
        <w:div w:id="782697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5066919">
      <w:bodyDiv w:val="1"/>
      <w:marLeft w:val="0"/>
      <w:marRight w:val="0"/>
      <w:marTop w:val="0"/>
      <w:marBottom w:val="0"/>
      <w:divBdr>
        <w:top w:val="none" w:sz="0" w:space="0" w:color="auto"/>
        <w:left w:val="none" w:sz="0" w:space="0" w:color="auto"/>
        <w:bottom w:val="none" w:sz="0" w:space="0" w:color="auto"/>
        <w:right w:val="none" w:sz="0" w:space="0" w:color="auto"/>
      </w:divBdr>
      <w:divsChild>
        <w:div w:id="604771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C3858-32D4-471F-BFD3-1D7C965E0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6046</Words>
  <Characters>34467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40433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Bert Marinko</dc:creator>
  <cp:keywords/>
  <cp:lastModifiedBy>Miller, Sara</cp:lastModifiedBy>
  <cp:revision>4</cp:revision>
  <cp:lastPrinted>2011-10-14T18:05:00Z</cp:lastPrinted>
  <dcterms:created xsi:type="dcterms:W3CDTF">2011-10-03T19:48:00Z</dcterms:created>
  <dcterms:modified xsi:type="dcterms:W3CDTF">2011-10-14T18:05:00Z</dcterms:modified>
</cp:coreProperties>
</file>