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F4" w:rsidRDefault="00FF50F4" w:rsidP="00FF50F4">
      <w:pPr>
        <w:pStyle w:val="Title"/>
        <w:tabs>
          <w:tab w:val="clear" w:pos="360"/>
          <w:tab w:val="left" w:pos="0"/>
        </w:tabs>
      </w:pPr>
      <w:r>
        <w:t>BEFORE THE</w:t>
      </w:r>
    </w:p>
    <w:p w:rsidR="00FF50F4" w:rsidRDefault="00FF50F4" w:rsidP="00FF50F4">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6A6ABB" w:rsidRPr="00A03D6F" w:rsidRDefault="006A6ABB" w:rsidP="006A6ABB">
      <w:pPr>
        <w:tabs>
          <w:tab w:val="left" w:pos="0"/>
        </w:tabs>
        <w:spacing w:line="240" w:lineRule="auto"/>
        <w:jc w:val="both"/>
        <w:rPr>
          <w:b/>
        </w:rPr>
      </w:pPr>
      <w:r>
        <w:t xml:space="preserve">Dennis </w:t>
      </w:r>
      <w:proofErr w:type="spellStart"/>
      <w:r>
        <w:t>Mowrey</w:t>
      </w:r>
      <w:proofErr w:type="spellEnd"/>
      <w:r w:rsidRPr="00A03D6F">
        <w:tab/>
      </w:r>
      <w:r w:rsidRPr="00A03D6F">
        <w:tab/>
      </w:r>
      <w:r w:rsidRPr="00A03D6F">
        <w:tab/>
      </w:r>
      <w:r w:rsidRPr="00A03D6F">
        <w:tab/>
      </w:r>
      <w:r w:rsidRPr="00A03D6F">
        <w:tab/>
      </w:r>
      <w:r w:rsidRPr="00A03D6F">
        <w:rPr>
          <w:b/>
        </w:rPr>
        <w:t>:</w:t>
      </w:r>
    </w:p>
    <w:p w:rsidR="006A6ABB" w:rsidRPr="00A03D6F" w:rsidRDefault="006A6ABB" w:rsidP="006A6ABB">
      <w:pPr>
        <w:tabs>
          <w:tab w:val="left" w:pos="0"/>
        </w:tabs>
        <w:spacing w:line="240" w:lineRule="auto"/>
        <w:jc w:val="both"/>
      </w:pPr>
      <w:r w:rsidRPr="00A03D6F">
        <w:rPr>
          <w:b/>
        </w:rPr>
        <w:tab/>
      </w:r>
      <w:r w:rsidRPr="00A03D6F">
        <w:rPr>
          <w:b/>
        </w:rPr>
        <w:tab/>
      </w:r>
      <w:r w:rsidRPr="00A03D6F">
        <w:rPr>
          <w:b/>
        </w:rPr>
        <w:tab/>
      </w:r>
      <w:r w:rsidRPr="00A03D6F">
        <w:rPr>
          <w:b/>
        </w:rPr>
        <w:tab/>
      </w:r>
      <w:r w:rsidRPr="00A03D6F">
        <w:rPr>
          <w:b/>
        </w:rPr>
        <w:tab/>
      </w:r>
      <w:r w:rsidRPr="00A03D6F">
        <w:rPr>
          <w:b/>
        </w:rPr>
        <w:tab/>
      </w:r>
      <w:r w:rsidRPr="00A03D6F">
        <w:rPr>
          <w:b/>
        </w:rPr>
        <w:tab/>
        <w:t>:</w:t>
      </w:r>
    </w:p>
    <w:p w:rsidR="006A6ABB" w:rsidRPr="00A03D6F" w:rsidRDefault="006A6ABB" w:rsidP="006A6ABB">
      <w:pPr>
        <w:tabs>
          <w:tab w:val="left" w:pos="0"/>
        </w:tabs>
        <w:spacing w:line="240" w:lineRule="auto"/>
        <w:jc w:val="both"/>
      </w:pPr>
      <w:r w:rsidRPr="00A03D6F">
        <w:tab/>
        <w:t>v.</w:t>
      </w:r>
      <w:r w:rsidRPr="00A03D6F">
        <w:tab/>
      </w:r>
      <w:r w:rsidRPr="00A03D6F">
        <w:tab/>
      </w:r>
      <w:r w:rsidRPr="00A03D6F">
        <w:tab/>
      </w:r>
      <w:r w:rsidRPr="00A03D6F">
        <w:tab/>
      </w:r>
      <w:r w:rsidRPr="00A03D6F">
        <w:tab/>
      </w:r>
      <w:r w:rsidRPr="00A03D6F">
        <w:tab/>
      </w:r>
      <w:r w:rsidRPr="00A03D6F">
        <w:rPr>
          <w:b/>
        </w:rPr>
        <w:t>:</w:t>
      </w:r>
      <w:r w:rsidRPr="00A03D6F">
        <w:tab/>
      </w:r>
      <w:r w:rsidRPr="00A03D6F">
        <w:tab/>
      </w:r>
      <w:r>
        <w:t>F-2010-2196812</w:t>
      </w:r>
    </w:p>
    <w:p w:rsidR="006A6ABB" w:rsidRPr="00A03D6F" w:rsidRDefault="006A6ABB" w:rsidP="006A6ABB">
      <w:pPr>
        <w:tabs>
          <w:tab w:val="left" w:pos="0"/>
        </w:tabs>
        <w:spacing w:line="240" w:lineRule="auto"/>
        <w:jc w:val="both"/>
      </w:pPr>
      <w:r w:rsidRPr="00A03D6F">
        <w:tab/>
      </w:r>
      <w:r w:rsidRPr="00A03D6F">
        <w:tab/>
      </w:r>
      <w:r w:rsidRPr="00A03D6F">
        <w:tab/>
      </w:r>
      <w:r w:rsidRPr="00A03D6F">
        <w:tab/>
      </w:r>
      <w:r w:rsidRPr="00A03D6F">
        <w:tab/>
      </w:r>
      <w:r w:rsidRPr="00A03D6F">
        <w:tab/>
      </w:r>
      <w:r w:rsidRPr="00A03D6F">
        <w:tab/>
      </w:r>
      <w:r w:rsidRPr="00A03D6F">
        <w:rPr>
          <w:b/>
        </w:rPr>
        <w:t>:</w:t>
      </w:r>
    </w:p>
    <w:p w:rsidR="006A6ABB" w:rsidRPr="00A03D6F" w:rsidRDefault="006A6ABB" w:rsidP="006A6ABB">
      <w:pPr>
        <w:tabs>
          <w:tab w:val="left" w:pos="0"/>
        </w:tabs>
        <w:spacing w:line="240" w:lineRule="auto"/>
        <w:jc w:val="both"/>
        <w:rPr>
          <w:b/>
        </w:rPr>
      </w:pPr>
      <w:r>
        <w:t>Duquesne Light Company</w:t>
      </w:r>
      <w:r w:rsidRPr="00A03D6F">
        <w:tab/>
      </w:r>
      <w:r w:rsidRPr="00A03D6F">
        <w:tab/>
      </w:r>
      <w:r w:rsidRPr="00A03D6F">
        <w:tab/>
      </w:r>
      <w:r w:rsidRPr="00A03D6F">
        <w:tab/>
      </w:r>
      <w:r w:rsidRPr="00A03D6F">
        <w:rPr>
          <w:b/>
        </w:rPr>
        <w:t>:</w:t>
      </w:r>
    </w:p>
    <w:p w:rsidR="00A566DD" w:rsidRDefault="00A566DD" w:rsidP="00FF50F4">
      <w:pPr>
        <w:tabs>
          <w:tab w:val="left" w:pos="0"/>
        </w:tabs>
        <w:spacing w:line="233" w:lineRule="auto"/>
        <w:jc w:val="both"/>
      </w:pPr>
    </w:p>
    <w:p w:rsidR="00E85D64" w:rsidRDefault="00E85D64"/>
    <w:p w:rsidR="006A6ABB" w:rsidRDefault="006A6ABB" w:rsidP="00540E48">
      <w:pPr>
        <w:spacing w:line="240" w:lineRule="auto"/>
        <w:jc w:val="center"/>
        <w:rPr>
          <w:b/>
          <w:u w:val="single"/>
        </w:rPr>
      </w:pPr>
    </w:p>
    <w:p w:rsidR="00927ED9" w:rsidRDefault="00975F23" w:rsidP="00540E48">
      <w:pPr>
        <w:spacing w:line="240" w:lineRule="auto"/>
        <w:jc w:val="center"/>
        <w:rPr>
          <w:b/>
          <w:u w:val="single"/>
        </w:rPr>
      </w:pPr>
      <w:r>
        <w:rPr>
          <w:b/>
          <w:u w:val="single"/>
        </w:rPr>
        <w:t>INITIAL</w:t>
      </w:r>
      <w:r w:rsidR="003763E0">
        <w:rPr>
          <w:b/>
          <w:u w:val="single"/>
        </w:rPr>
        <w:t xml:space="preserve"> DECISION</w:t>
      </w:r>
    </w:p>
    <w:p w:rsidR="00540E48" w:rsidRPr="003F3C6F" w:rsidRDefault="00540E48" w:rsidP="00540E48">
      <w:pPr>
        <w:spacing w:line="240" w:lineRule="auto"/>
        <w:jc w:val="center"/>
        <w:rPr>
          <w:b/>
          <w:u w:val="single"/>
        </w:rPr>
      </w:pPr>
    </w:p>
    <w:p w:rsidR="000A15DB" w:rsidRDefault="000A15DB" w:rsidP="003763E0">
      <w:pPr>
        <w:spacing w:line="240" w:lineRule="auto"/>
        <w:jc w:val="center"/>
      </w:pPr>
    </w:p>
    <w:p w:rsidR="00E85D64" w:rsidRPr="003763E0" w:rsidRDefault="003763E0" w:rsidP="003763E0">
      <w:pPr>
        <w:spacing w:line="240" w:lineRule="auto"/>
        <w:jc w:val="center"/>
      </w:pPr>
      <w:r w:rsidRPr="003763E0">
        <w:t>Before</w:t>
      </w:r>
    </w:p>
    <w:p w:rsidR="003763E0" w:rsidRPr="003763E0" w:rsidRDefault="003763E0" w:rsidP="003763E0">
      <w:pPr>
        <w:spacing w:line="240" w:lineRule="auto"/>
        <w:jc w:val="center"/>
      </w:pPr>
      <w:r w:rsidRPr="003763E0">
        <w:t>Mary D. Long</w:t>
      </w:r>
    </w:p>
    <w:p w:rsidR="00DF68B2" w:rsidRDefault="00DF68B2" w:rsidP="00DF68B2">
      <w:pPr>
        <w:spacing w:line="240" w:lineRule="auto"/>
        <w:contextualSpacing/>
        <w:jc w:val="center"/>
      </w:pPr>
      <w:r w:rsidRPr="0063357B">
        <w:t>Administrative Law Judge</w:t>
      </w:r>
    </w:p>
    <w:p w:rsidR="00975F23" w:rsidRDefault="00975F23" w:rsidP="00DF68B2">
      <w:pPr>
        <w:spacing w:line="240" w:lineRule="auto"/>
        <w:contextualSpacing/>
        <w:jc w:val="center"/>
      </w:pPr>
    </w:p>
    <w:p w:rsidR="00975F23" w:rsidRDefault="00975F23" w:rsidP="00DF68B2">
      <w:pPr>
        <w:spacing w:line="240" w:lineRule="auto"/>
        <w:contextualSpacing/>
        <w:jc w:val="center"/>
      </w:pPr>
    </w:p>
    <w:p w:rsidR="006A6ABB" w:rsidRPr="00540DEC" w:rsidRDefault="006A6ABB" w:rsidP="0060682A">
      <w:pPr>
        <w:tabs>
          <w:tab w:val="left" w:pos="0"/>
        </w:tabs>
      </w:pPr>
      <w:r>
        <w:tab/>
      </w:r>
      <w:r>
        <w:tab/>
      </w:r>
      <w:r w:rsidRPr="00540DEC">
        <w:t xml:space="preserve">This decision grants in part and denies in part a complaint by Dennis </w:t>
      </w:r>
      <w:proofErr w:type="spellStart"/>
      <w:r w:rsidRPr="00540DEC">
        <w:t>Mowrey</w:t>
      </w:r>
      <w:proofErr w:type="spellEnd"/>
      <w:r w:rsidR="0060682A">
        <w:t xml:space="preserve">, who </w:t>
      </w:r>
      <w:r>
        <w:t>contends</w:t>
      </w:r>
      <w:r w:rsidRPr="00540DEC">
        <w:t xml:space="preserve"> that Duquesne Light Company unreasonably defaulted him from it</w:t>
      </w:r>
      <w:r w:rsidR="0048765A">
        <w:t>s</w:t>
      </w:r>
      <w:r w:rsidRPr="00540DEC">
        <w:t xml:space="preserve"> Customer Assistance Program and seeks a payment arrangement for his past due balance.</w:t>
      </w:r>
    </w:p>
    <w:p w:rsidR="006A6ABB" w:rsidRDefault="006A6ABB" w:rsidP="006A6ABB">
      <w:pPr>
        <w:tabs>
          <w:tab w:val="left" w:pos="0"/>
        </w:tabs>
        <w:jc w:val="both"/>
      </w:pPr>
    </w:p>
    <w:p w:rsidR="006A6ABB" w:rsidRDefault="006A6ABB" w:rsidP="006A6ABB">
      <w:pPr>
        <w:tabs>
          <w:tab w:val="left" w:pos="0"/>
        </w:tabs>
        <w:jc w:val="center"/>
        <w:rPr>
          <w:u w:val="single"/>
        </w:rPr>
      </w:pPr>
      <w:r w:rsidRPr="00540DEC">
        <w:rPr>
          <w:u w:val="single"/>
        </w:rPr>
        <w:t>HISTORY OF THE PROCEEDING</w:t>
      </w:r>
    </w:p>
    <w:p w:rsidR="006A6ABB" w:rsidRDefault="006A6ABB" w:rsidP="006A6ABB">
      <w:pPr>
        <w:tabs>
          <w:tab w:val="left" w:pos="0"/>
        </w:tabs>
        <w:jc w:val="center"/>
        <w:rPr>
          <w:u w:val="single"/>
        </w:rPr>
      </w:pPr>
    </w:p>
    <w:p w:rsidR="006A6ABB" w:rsidRDefault="006A6ABB" w:rsidP="006A6ABB">
      <w:pPr>
        <w:tabs>
          <w:tab w:val="left" w:pos="0"/>
        </w:tabs>
      </w:pPr>
      <w:r>
        <w:tab/>
      </w:r>
      <w:r>
        <w:tab/>
        <w:t xml:space="preserve">The Complainant, Dennis </w:t>
      </w:r>
      <w:proofErr w:type="spellStart"/>
      <w:r>
        <w:t>Mowrey</w:t>
      </w:r>
      <w:proofErr w:type="spellEnd"/>
      <w:r>
        <w:t xml:space="preserve">, filed a formal complaint against Duquesne Light Company (Duquesne Light) on August 31, 2010, complaining that Duquesne Light had unreasonably </w:t>
      </w:r>
      <w:proofErr w:type="gramStart"/>
      <w:r>
        <w:t>defaulted</w:t>
      </w:r>
      <w:proofErr w:type="gramEnd"/>
      <w:r>
        <w:t xml:space="preserve"> him from Duquesne Light’s Customer Assistance Program.  The Complainant filed another formal complaint form on June 29, 2011, that was added to the docket as an amended complaint on July 18, 201</w:t>
      </w:r>
      <w:r w:rsidR="0048765A">
        <w:t>1</w:t>
      </w:r>
      <w:r>
        <w:t>.  The June 29, 2011 filing requested a payment plan, and assurance that the company would provide him with paperwork and information concerning assistance programs.</w:t>
      </w:r>
    </w:p>
    <w:p w:rsidR="006A6ABB" w:rsidRDefault="006A6ABB" w:rsidP="006A6ABB">
      <w:pPr>
        <w:tabs>
          <w:tab w:val="left" w:pos="0"/>
        </w:tabs>
      </w:pPr>
    </w:p>
    <w:p w:rsidR="006A6ABB" w:rsidRDefault="006A6ABB" w:rsidP="006A6ABB">
      <w:pPr>
        <w:tabs>
          <w:tab w:val="left" w:pos="0"/>
        </w:tabs>
      </w:pPr>
      <w:r>
        <w:tab/>
      </w:r>
      <w:r>
        <w:tab/>
        <w:t xml:space="preserve">Duquesne Light filed an answer to the initial complaint filing on September 22, 2010.  By hearing notice dated June 21, 2011 this matter was set for hearing on Tuesday, July 26, </w:t>
      </w:r>
      <w:r>
        <w:lastRenderedPageBreak/>
        <w:t xml:space="preserve">2011.  I issued my customary prehearing order outlining procedural guidelines for the conduct of the hearing on June 23, 2011. </w:t>
      </w:r>
    </w:p>
    <w:p w:rsidR="006A6ABB" w:rsidRDefault="006A6ABB" w:rsidP="006A6ABB">
      <w:pPr>
        <w:tabs>
          <w:tab w:val="left" w:pos="0"/>
        </w:tabs>
      </w:pPr>
    </w:p>
    <w:p w:rsidR="006A6ABB" w:rsidRDefault="006A6ABB" w:rsidP="006A6ABB">
      <w:pPr>
        <w:tabs>
          <w:tab w:val="left" w:pos="0"/>
        </w:tabs>
      </w:pPr>
      <w:r>
        <w:tab/>
      </w:r>
      <w:r>
        <w:tab/>
        <w:t xml:space="preserve">The hearing was held by telephone as scheduled.  The Complainant appeared on his own behalf.  He offered his own testimony, but did not proffer any exhibits for admission into the record.  Duquesne Light was represented by Jennifer Allison, Esquire.  Duquesne Light offered the testimony of two witnesses, Ms. Marie </w:t>
      </w:r>
      <w:proofErr w:type="spellStart"/>
      <w:r>
        <w:t>Tamilia</w:t>
      </w:r>
      <w:proofErr w:type="spellEnd"/>
      <w:r>
        <w:t xml:space="preserve"> and Mr. Gary Miller.  Additionally</w:t>
      </w:r>
      <w:r w:rsidR="0048765A">
        <w:t>,</w:t>
      </w:r>
      <w:r>
        <w:t xml:space="preserve"> four exhibits were admitted into the record. </w:t>
      </w:r>
      <w:r w:rsidR="0048765A">
        <w:t xml:space="preserve"> </w:t>
      </w:r>
      <w:r>
        <w:t>The hearing generated a transcript of 98 pages.</w:t>
      </w:r>
    </w:p>
    <w:p w:rsidR="006A6ABB" w:rsidRDefault="006A6ABB" w:rsidP="006A6ABB">
      <w:pPr>
        <w:tabs>
          <w:tab w:val="left" w:pos="0"/>
        </w:tabs>
      </w:pPr>
    </w:p>
    <w:p w:rsidR="006A6ABB" w:rsidRDefault="006A6ABB" w:rsidP="006A6ABB">
      <w:pPr>
        <w:tabs>
          <w:tab w:val="left" w:pos="0"/>
        </w:tabs>
      </w:pPr>
      <w:r>
        <w:tab/>
      </w:r>
      <w:r>
        <w:tab/>
        <w:t>The record was closed by interim order dated August 29, 2011.  No briefs were filed.</w:t>
      </w:r>
      <w:r>
        <w:rPr>
          <w:rStyle w:val="FootnoteReference"/>
        </w:rPr>
        <w:footnoteReference w:id="1"/>
      </w:r>
      <w:r>
        <w:t xml:space="preserve">  After a full and complete review of the record in this matter, I make the following:</w:t>
      </w:r>
    </w:p>
    <w:p w:rsidR="006A6ABB" w:rsidRDefault="006A6ABB" w:rsidP="006A6ABB">
      <w:pPr>
        <w:tabs>
          <w:tab w:val="left" w:pos="0"/>
        </w:tabs>
      </w:pPr>
    </w:p>
    <w:p w:rsidR="006A6ABB" w:rsidRDefault="006A6ABB" w:rsidP="006A6ABB">
      <w:pPr>
        <w:tabs>
          <w:tab w:val="left" w:pos="0"/>
        </w:tabs>
        <w:jc w:val="center"/>
        <w:rPr>
          <w:u w:val="single"/>
        </w:rPr>
      </w:pPr>
      <w:r w:rsidRPr="006F2A02">
        <w:rPr>
          <w:u w:val="single"/>
        </w:rPr>
        <w:t>FINDING</w:t>
      </w:r>
      <w:r>
        <w:rPr>
          <w:u w:val="single"/>
        </w:rPr>
        <w:t>S</w:t>
      </w:r>
      <w:r w:rsidRPr="006F2A02">
        <w:rPr>
          <w:u w:val="single"/>
        </w:rPr>
        <w:t xml:space="preserve"> OF FACT</w:t>
      </w:r>
    </w:p>
    <w:p w:rsidR="006A6ABB" w:rsidRDefault="006A6ABB" w:rsidP="006A6ABB"/>
    <w:p w:rsidR="006A6ABB" w:rsidRDefault="006A6ABB" w:rsidP="006A6ABB">
      <w:pPr>
        <w:pStyle w:val="StyleListParagraph12ptLinespacing15lines"/>
        <w:spacing w:after="0"/>
        <w:ind w:firstLine="1440"/>
      </w:pPr>
      <w:r w:rsidRPr="00932BCF">
        <w:t xml:space="preserve">The Complainant is Dennis </w:t>
      </w:r>
      <w:proofErr w:type="spellStart"/>
      <w:r w:rsidRPr="00932BCF">
        <w:t>Mowr</w:t>
      </w:r>
      <w:r>
        <w:t>e</w:t>
      </w:r>
      <w:r w:rsidRPr="00932BCF">
        <w:t>y</w:t>
      </w:r>
      <w:proofErr w:type="spellEnd"/>
      <w:r w:rsidRPr="00932BCF">
        <w:t xml:space="preserve">, who resides at 373 </w:t>
      </w:r>
      <w:proofErr w:type="spellStart"/>
      <w:r w:rsidRPr="00932BCF">
        <w:t>Kaercher</w:t>
      </w:r>
      <w:proofErr w:type="spellEnd"/>
      <w:r w:rsidRPr="00932BCF">
        <w:t xml:space="preserve"> Street, Pittsburgh, Pennsylvania</w:t>
      </w:r>
      <w:r>
        <w:t xml:space="preserve"> (Service Address)</w:t>
      </w:r>
      <w:r w:rsidRPr="00932BCF">
        <w:t xml:space="preserve">. </w:t>
      </w:r>
      <w:r w:rsidR="0048765A">
        <w:t xml:space="preserve"> </w:t>
      </w:r>
      <w:r w:rsidRPr="00932BCF">
        <w:t>He receives electric service from Duquesne Light Company at this address.</w:t>
      </w:r>
    </w:p>
    <w:p w:rsidR="006A6ABB" w:rsidRDefault="006A6ABB" w:rsidP="006A6ABB">
      <w:pPr>
        <w:pStyle w:val="StyleListParagraph12ptLinespacing15lines"/>
        <w:numPr>
          <w:ilvl w:val="0"/>
          <w:numId w:val="0"/>
        </w:numPr>
        <w:spacing w:after="0"/>
        <w:ind w:left="720" w:firstLine="1440"/>
      </w:pPr>
    </w:p>
    <w:p w:rsidR="006A6ABB" w:rsidRDefault="006A6ABB" w:rsidP="006A6ABB">
      <w:pPr>
        <w:pStyle w:val="StyleListParagraph12ptLinespacing15lines"/>
        <w:spacing w:after="0"/>
        <w:ind w:firstLine="1440"/>
      </w:pPr>
      <w:r>
        <w:t>The Respondent is Duquesne Light Company, a jurisdictional public utility providing electricity service in the Commonwealth of Pennsylvania.</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Complainant resides at the Service Address with a roommate.  (N.T. 9)</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In September 2005 the Complainant was enrolled in Duquesne Light’s Customer Assistance Program (CAP).  (N.T. 8, 23, 69; Ex. 2)</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 xml:space="preserve">The CAP program is for low-income customers.  Each month a customer is expected to pay a percentage of the budget amount for their electricity bill.  The percentage </w:t>
      </w:r>
      <w:r>
        <w:lastRenderedPageBreak/>
        <w:t>varies, depending on the household income level.  If a customer pays the full CAP amount each month, then 1/36</w:t>
      </w:r>
      <w:r w:rsidRPr="00F93BA0">
        <w:rPr>
          <w:vertAlign w:val="superscript"/>
        </w:rPr>
        <w:t>th</w:t>
      </w:r>
      <w:r>
        <w:t xml:space="preserve"> of the account balance that existed at the time they were enrolled in CAP is written off the bill.  (N.T. 22</w:t>
      </w:r>
      <w:r w:rsidR="0048765A">
        <w:t>,</w:t>
      </w:r>
      <w:r>
        <w:t xml:space="preserve"> 57-59)</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Duquesne Light also requires CAP customers to conserve energy.  If a customer exceeds a certain kilowatt hour per month limit, they ask the customer to schedule a Smart Comfort visit in which an energy expert performs a usage audit and weatherization measures.  (N.T. 58)</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final feature of the CAP program is that once per year, the difference between the percentage of the budget amount that is paid by the customer and the actual usage of the customer is written off.  (N.T. 61-62)</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Complainant was “auto-verified” for continued eligibility in CAP until 2009.  In 2009 he was informed that he was required to provide income verification no later than October 1.  He failed to provide income information to Duquesne Light’s CAP administrator as directed and was consequently dropp</w:t>
      </w:r>
      <w:r w:rsidR="0048765A">
        <w:t>ed from the program.  (N.T. 7-8, 23,</w:t>
      </w:r>
      <w:r>
        <w:t xml:space="preserve"> 71-72; Duquesne Light Ex. 2)</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Duquesne Light through its CAP administrator may not ask for income verification every year if, for example, the CAP amount did not exceed the current billed amount, or a customer made at least a minimum number of payments.  In this case, the Complainant was auto-verified because he was considered a “good CAP-paying customer.”  (N.T. 83)</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 xml:space="preserve">However, since the Complainant had been auto-recertified a number of times, the CAP administrator, in her professional judgment, determined that it was appropriate to update the Complainant’s income information before </w:t>
      </w:r>
      <w:proofErr w:type="spellStart"/>
      <w:r>
        <w:t>requalifiying</w:t>
      </w:r>
      <w:proofErr w:type="spellEnd"/>
      <w:r>
        <w:t xml:space="preserve"> him.  (N.T. 83-84)</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lastRenderedPageBreak/>
        <w:t>The CAP administrator sends a letter to a customer to notify them that they have been defaulted from Duquesne Light’s CAP program.  (N.T. 73; Duquesne Light Ex. 2)</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Complainant claims that he was “unaware” that he needed to provide income information because he had not been required to do so in the past.  (N.T. 8, 18)</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On October 13, 2009, the Complainant contacted Duquesne Light, after his default from the CAP program.  Duquesne Light provided him with a payment agreement in</w:t>
      </w:r>
      <w:r w:rsidR="00A808E2">
        <w:t xml:space="preserve"> the</w:t>
      </w:r>
      <w:r>
        <w:t xml:space="preserve"> form of a budget amount plus $40, which was due on November 12, 2009.  (Duquesne Light Ex. 5)</w:t>
      </w:r>
      <w:r w:rsidRPr="001F40DE">
        <w:t xml:space="preserve"> </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Complainant has made no payments to Duquesne Light since October 2009.  He says that he did not make payments because he was unaware of what amount he was supposed to be paying.  (N.T. 17)</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As of the date of the hearing, the balance due on the Complainant’s account was $4,708.11</w:t>
      </w:r>
      <w:r w:rsidR="00512D0B">
        <w:t>.</w:t>
      </w:r>
      <w:r>
        <w:t xml:space="preserve">  (N.T. 23)</w:t>
      </w:r>
      <w:r w:rsidRPr="001F40DE">
        <w:t xml:space="preserve"> </w:t>
      </w:r>
      <w:r>
        <w:t xml:space="preserve"> Duquesne Light’s records indicate that on June 9, 2011 a 10-day notice was mailed for termination on June 23.  The undisputed amount at that time was $1,617.67.  </w:t>
      </w:r>
      <w:r w:rsidR="00A808E2">
        <w:t>(N.T. 35; Duquesne Light Ex. 5)</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On June 14, 2011, the Complainant received a shut-off notice.  He testified that on June 15</w:t>
      </w:r>
      <w:r w:rsidRPr="001D366A">
        <w:rPr>
          <w:vertAlign w:val="superscript"/>
        </w:rPr>
        <w:t>th</w:t>
      </w:r>
      <w:r>
        <w:t>, he called Duquesne Light and was told “don’t worry about it” and “there’s an agreement.”  The Complainant says he told Duquesne Light that he was unaware of any agreement.  (N.T. 13)</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 xml:space="preserve">He says that he had another conversation with Duquesne Light on the same day, and he was told that he needed to pay “the whole thing” but the amount was $300 higher than what he says was written on the notice.  He could not recall the exact amount, but </w:t>
      </w:r>
      <w:r w:rsidR="0060682A">
        <w:t xml:space="preserve">he </w:t>
      </w:r>
      <w:r>
        <w:t>said that it was more than $1,900, but less than $2,000.  (N.T. 14)</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lastRenderedPageBreak/>
        <w:t>The Complainant also testified that in another conversation on June 17</w:t>
      </w:r>
      <w:r w:rsidRPr="00B84A4B">
        <w:rPr>
          <w:vertAlign w:val="superscript"/>
        </w:rPr>
        <w:t>th</w:t>
      </w:r>
      <w:r>
        <w:t>, he was told by a customer service representative to pay approximately $154.  That statement is not documented in Duquesne Light’s customer service log.  (N.T. 43-44, 47, 50, 52)</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Complainant also called Duquesne Light’s automated system, which provided him with a different account balance than the customer service representative or the shut-off notice provided.  (N.T. 44)</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termination notice was only for “undisputed dollars” but the automated system would have given him the amount due to catch up on his most recent payment agreement.  Thus the customer service representative told him that the “catch-up</w:t>
      </w:r>
      <w:r w:rsidR="00A808E2">
        <w:t>”</w:t>
      </w:r>
      <w:r>
        <w:t xml:space="preserve"> </w:t>
      </w:r>
      <w:r w:rsidR="00957F34">
        <w:t xml:space="preserve">amount </w:t>
      </w:r>
      <w:r>
        <w:t xml:space="preserve">was $1,008, </w:t>
      </w:r>
      <w:r w:rsidR="00A808E2">
        <w:t xml:space="preserve">and </w:t>
      </w:r>
      <w:r>
        <w:t xml:space="preserve">that was derived from </w:t>
      </w:r>
      <w:r w:rsidR="00A808E2">
        <w:t xml:space="preserve">the </w:t>
      </w:r>
      <w:r>
        <w:t>PUC agreement of budget plus $41.  However, the undisputed amount which was the subject of the termination notice was $1,617.67.  The undisputed amount was for electricity service which had accumulated from September 1, 2010 through June 14, 2011.  (N.T. 45-46)</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At the time of the hearing the Complainant’s electricity service had not been terminated because he had secured a medical certificate due to the medical condition of his roommate.  (N.T. 15)</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The Complainant is adamant that he never received any information or paperwork about any PUC agreement and that he was unaware of its terms.  (N.T. 11)</w:t>
      </w:r>
    </w:p>
    <w:p w:rsidR="006A6ABB" w:rsidRDefault="006A6ABB" w:rsidP="006A6ABB">
      <w:pPr>
        <w:pStyle w:val="StyleListParagraph12ptLinespacing15lines"/>
        <w:numPr>
          <w:ilvl w:val="0"/>
          <w:numId w:val="0"/>
        </w:numPr>
        <w:spacing w:after="0"/>
        <w:ind w:left="1440"/>
      </w:pPr>
      <w:r w:rsidRPr="001F40DE">
        <w:t xml:space="preserve"> </w:t>
      </w:r>
    </w:p>
    <w:p w:rsidR="006A6ABB" w:rsidRDefault="006A6ABB" w:rsidP="006A6ABB">
      <w:pPr>
        <w:pStyle w:val="StyleListParagraph12ptLinespacing15lines"/>
        <w:spacing w:after="0"/>
        <w:ind w:firstLine="1440"/>
      </w:pPr>
      <w:r>
        <w:t>The Complainant is currently working and earns $2,400 per month.  The Complainant’s roommate receives social security disability benefits in the amount of $763 per month.  (N.T. 10)</w:t>
      </w:r>
    </w:p>
    <w:p w:rsidR="006A6ABB" w:rsidRDefault="006A6ABB" w:rsidP="006A6ABB">
      <w:pPr>
        <w:pStyle w:val="StyleListParagraph12ptLinespacing15lines"/>
        <w:numPr>
          <w:ilvl w:val="0"/>
          <w:numId w:val="0"/>
        </w:numPr>
        <w:spacing w:after="0"/>
        <w:ind w:left="1440"/>
      </w:pPr>
    </w:p>
    <w:p w:rsidR="006A6ABB" w:rsidRDefault="006A6ABB" w:rsidP="006A6ABB">
      <w:pPr>
        <w:pStyle w:val="StyleListParagraph12ptLinespacing15lines"/>
        <w:spacing w:after="0"/>
        <w:ind w:firstLine="1440"/>
      </w:pPr>
      <w:r>
        <w:t>Duquesne Light customer service representatives are trained to document every conversation that they have with a customer.  (N.T. 42-43, 53-54)</w:t>
      </w:r>
    </w:p>
    <w:p w:rsidR="006A6ABB" w:rsidRDefault="006A6ABB" w:rsidP="006A6ABB">
      <w:pPr>
        <w:pStyle w:val="StyleListParagraph12ptLinespacing15lines"/>
        <w:numPr>
          <w:ilvl w:val="0"/>
          <w:numId w:val="0"/>
        </w:numPr>
        <w:ind w:left="720"/>
      </w:pPr>
    </w:p>
    <w:p w:rsidR="006A6ABB" w:rsidRDefault="006A6ABB" w:rsidP="006A6ABB">
      <w:pPr>
        <w:spacing w:line="240" w:lineRule="auto"/>
        <w:rPr>
          <w:u w:val="single"/>
        </w:rPr>
      </w:pPr>
      <w:r>
        <w:rPr>
          <w:u w:val="single"/>
        </w:rPr>
        <w:br w:type="page"/>
      </w:r>
    </w:p>
    <w:p w:rsidR="006A6ABB" w:rsidRDefault="006A6ABB" w:rsidP="006A6ABB">
      <w:pPr>
        <w:jc w:val="center"/>
        <w:rPr>
          <w:u w:val="single"/>
        </w:rPr>
      </w:pPr>
      <w:r w:rsidRPr="0012289C">
        <w:rPr>
          <w:u w:val="single"/>
        </w:rPr>
        <w:lastRenderedPageBreak/>
        <w:t>DISCUSSION</w:t>
      </w:r>
    </w:p>
    <w:p w:rsidR="006A6ABB" w:rsidRDefault="006A6ABB" w:rsidP="006A6ABB">
      <w:pPr>
        <w:jc w:val="center"/>
      </w:pPr>
    </w:p>
    <w:p w:rsidR="006A6ABB" w:rsidRDefault="006A6ABB" w:rsidP="006A6ABB">
      <w:r>
        <w:tab/>
      </w:r>
      <w:r>
        <w:tab/>
        <w:t xml:space="preserve">In his initial formal complaint filed on August 31, 2010, the Complainant contends that Duquesne Light terminated him from the CAP program for failing to provide income information, when he was not asked to provide income verification since 2005 when he was first enrolled in the program.  As relief he states that his balance should have been forgiven because he had made payments in the CAP program for three years. </w:t>
      </w:r>
    </w:p>
    <w:p w:rsidR="006A6ABB" w:rsidRDefault="006A6ABB" w:rsidP="006A6ABB"/>
    <w:p w:rsidR="006A6ABB" w:rsidRDefault="006A6ABB" w:rsidP="006A6ABB">
      <w:pPr>
        <w:ind w:firstLine="720"/>
      </w:pPr>
      <w:r>
        <w:tab/>
        <w:t xml:space="preserve"> In June 2011, he submitted another formal complaint form which was treated as an amendment to his August 2010 complaint.  In that complaint he stated that he had received a shut-off notice from Duquesne Light even though he had a formal complaint pending before the Commission.  As relief he wants a payment arrangement wherein he can pay $50 plus his budget amount until the balance is paid in full.</w:t>
      </w:r>
    </w:p>
    <w:p w:rsidR="006A6ABB" w:rsidRDefault="006A6ABB" w:rsidP="006A6ABB">
      <w:pPr>
        <w:ind w:firstLine="720"/>
      </w:pPr>
    </w:p>
    <w:p w:rsidR="006A6ABB" w:rsidRDefault="006A6ABB" w:rsidP="006A6ABB">
      <w:pPr>
        <w:ind w:firstLine="720"/>
      </w:pPr>
      <w:r>
        <w:tab/>
      </w:r>
      <w:r w:rsidRPr="00F81039">
        <w:t xml:space="preserve">Section 701 of the Public Utility </w:t>
      </w:r>
      <w:r>
        <w:t>C</w:t>
      </w:r>
      <w:r w:rsidRPr="00F81039">
        <w:t>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Pr>
          <w:rStyle w:val="FootnoteReference"/>
        </w:rPr>
        <w:footnoteReference w:id="2"/>
      </w:r>
      <w:r w:rsidRPr="00F81039">
        <w:t xml:space="preserve">  </w:t>
      </w:r>
      <w:r>
        <w:t>A person</w:t>
      </w:r>
      <w:r w:rsidRPr="00F81039">
        <w:t xml:space="preserve"> seeking affirmative relief from the Commi</w:t>
      </w:r>
      <w:r>
        <w:t>ssion has the burden of proof.</w:t>
      </w:r>
      <w:r>
        <w:rPr>
          <w:rStyle w:val="FootnoteReference"/>
        </w:rPr>
        <w:footnoteReference w:id="3"/>
      </w:r>
    </w:p>
    <w:p w:rsidR="006A6ABB" w:rsidRDefault="006A6ABB" w:rsidP="006A6ABB">
      <w:pPr>
        <w:ind w:firstLine="720"/>
      </w:pPr>
    </w:p>
    <w:p w:rsidR="006A6ABB" w:rsidRDefault="006A6ABB" w:rsidP="006A6ABB">
      <w:pPr>
        <w:ind w:firstLine="720"/>
      </w:pPr>
      <w:r>
        <w:tab/>
      </w:r>
      <w:r w:rsidRPr="00F81039">
        <w:t>In alleging</w:t>
      </w:r>
      <w:r>
        <w:t xml:space="preserve"> a service and billing dispute</w:t>
      </w:r>
      <w:r w:rsidRPr="00F81039">
        <w:t>, it is clear that</w:t>
      </w:r>
      <w:r>
        <w:t xml:space="preserve"> the Complainant </w:t>
      </w:r>
      <w:r w:rsidRPr="00F81039">
        <w:t>is the party seeking affirmative relief from the Commission and</w:t>
      </w:r>
      <w:r>
        <w:t>,</w:t>
      </w:r>
      <w:r w:rsidRPr="00F81039">
        <w:t xml:space="preserve"> therefore,</w:t>
      </w:r>
      <w:r>
        <w:t xml:space="preserve"> he</w:t>
      </w:r>
      <w:r w:rsidRPr="00F81039">
        <w:t xml:space="preserve"> has the burden of proof.  This means that </w:t>
      </w:r>
      <w:r>
        <w:t>in order to prevail, he must prove facts that support his claims</w:t>
      </w:r>
      <w:r w:rsidRPr="00F81039">
        <w:t xml:space="preserve"> by a preponderance of the evidence, and must show that the utility is responsible or accountable for the problem described in the complaint.</w:t>
      </w:r>
      <w:r>
        <w:rPr>
          <w:rStyle w:val="FootnoteReference"/>
        </w:rPr>
        <w:footnoteReference w:id="4"/>
      </w:r>
      <w:r w:rsidRPr="00F81039">
        <w:t xml:space="preserve">  </w:t>
      </w:r>
    </w:p>
    <w:p w:rsidR="006A6ABB" w:rsidRDefault="006A6ABB" w:rsidP="006A6ABB">
      <w:pPr>
        <w:ind w:firstLine="720"/>
        <w:jc w:val="center"/>
      </w:pPr>
    </w:p>
    <w:p w:rsidR="006A6ABB" w:rsidRDefault="006A6ABB" w:rsidP="006A6ABB">
      <w:pPr>
        <w:ind w:firstLine="720"/>
      </w:pPr>
      <w:r>
        <w:lastRenderedPageBreak/>
        <w:tab/>
        <w:t>First, the Complainant contends that he should not have been terminated from Duquesne Light’s CAP because he was “unaware” that he had to provide income verification.  However, in reviewing his testimony at the hearing as a whole, taken in conjunction with the characterization in his complaint, it is evident that he was not “unaware,” but that he objected because in the past he had been automatically recertified for the CAP program without the necessity of producing updated income information.  He objected to the notion that the CAP administrator could exercise judgment and decide whether or not to seek updated income information rather than automatically verifying his continued eligibility for CAP.</w:t>
      </w:r>
    </w:p>
    <w:p w:rsidR="006A6ABB" w:rsidRDefault="006A6ABB" w:rsidP="006A6ABB">
      <w:pPr>
        <w:ind w:firstLine="720"/>
      </w:pPr>
    </w:p>
    <w:p w:rsidR="006A6ABB" w:rsidRDefault="006A6ABB" w:rsidP="006A6ABB">
      <w:pPr>
        <w:ind w:firstLine="720"/>
      </w:pPr>
      <w:r>
        <w:tab/>
        <w:t xml:space="preserve">Duquesne Light’s action in </w:t>
      </w:r>
      <w:proofErr w:type="gramStart"/>
      <w:r>
        <w:t>defaulting</w:t>
      </w:r>
      <w:proofErr w:type="gramEnd"/>
      <w:r>
        <w:t xml:space="preserve"> the Complainant from the CAP program because he failed to provide income verification was proper and in accordance with the Commission’s regulations.  Customer assistance programs are designed to assist payment-troubled, low</w:t>
      </w:r>
      <w:r w:rsidR="00512D0B">
        <w:t>-</w:t>
      </w:r>
      <w:r>
        <w:t>income customers to make at least some payments on their utility bills.  CAP programs are funded from a variety of sources, including through the rates that a utility charges non-CAP customers and payments made by enrolled CAP customers.  Chapter 14 of the Public Utility Code, known as the Responsible Utility Customer Protection Act</w:t>
      </w:r>
      <w:proofErr w:type="gramStart"/>
      <w:r>
        <w:t>,  requires</w:t>
      </w:r>
      <w:proofErr w:type="gramEnd"/>
      <w:r>
        <w:t xml:space="preserve"> customers enrolled in CAP to make timely payments.</w:t>
      </w:r>
      <w:r>
        <w:rPr>
          <w:rStyle w:val="FootnoteReference"/>
        </w:rPr>
        <w:footnoteReference w:id="5"/>
      </w:r>
      <w:r>
        <w:t xml:space="preserve">  The Commission’s policy regulations permit a utility to default a customer from its CAP program for failure to report a change in income</w:t>
      </w:r>
      <w:r>
        <w:rPr>
          <w:rStyle w:val="FootnoteReference"/>
        </w:rPr>
        <w:footnoteReference w:id="6"/>
      </w:r>
      <w:r>
        <w:t xml:space="preserve"> or for failure to annually verify eligibility.</w:t>
      </w:r>
      <w:r>
        <w:rPr>
          <w:rStyle w:val="FootnoteReference"/>
        </w:rPr>
        <w:footnoteReference w:id="7"/>
      </w:r>
      <w:r>
        <w:t xml:space="preserve"> </w:t>
      </w:r>
    </w:p>
    <w:p w:rsidR="006A6ABB" w:rsidRDefault="006A6ABB" w:rsidP="006A6ABB">
      <w:pPr>
        <w:ind w:firstLine="720"/>
      </w:pPr>
      <w:r>
        <w:t xml:space="preserve"> </w:t>
      </w:r>
    </w:p>
    <w:p w:rsidR="006A6ABB" w:rsidRDefault="006A6ABB" w:rsidP="006A6ABB">
      <w:pPr>
        <w:ind w:firstLine="720"/>
      </w:pPr>
      <w:r>
        <w:tab/>
        <w:t xml:space="preserve">It is true, as the Complainant </w:t>
      </w:r>
      <w:proofErr w:type="gramStart"/>
      <w:r>
        <w:t>contends,</w:t>
      </w:r>
      <w:proofErr w:type="gramEnd"/>
      <w:r>
        <w:t xml:space="preserve"> that Duquesne Light’s CAP administrator automatically recertified the Complainant for CAP eligibility in 2006, 2007 and 2008.  Therefore, given the passage of time, it was not unreasonable or inappropriate for the administrator to seek updated income information in order to verify the Complainant’s continued eligibility for the CAP program.  The Complainant’s failure to update his income information was sufficient reason for the administrator to default him from the program.  Accordingly, this portion of the complaint is dismissed.</w:t>
      </w:r>
    </w:p>
    <w:p w:rsidR="006A6ABB" w:rsidRDefault="006A6ABB" w:rsidP="006A6ABB">
      <w:pPr>
        <w:ind w:firstLine="720"/>
      </w:pPr>
    </w:p>
    <w:p w:rsidR="006A6ABB" w:rsidRDefault="006A6ABB" w:rsidP="006A6ABB">
      <w:pPr>
        <w:ind w:firstLine="720"/>
      </w:pPr>
      <w:r>
        <w:tab/>
        <w:t>Nor is the Complainant entitled to forgiveness of his balance.  While he did make payments while he was on the CAP program, a review of his account record shows that there were periods of time between 2005 and 2009 when he failed to make payments.  Therefore he accumulated new arrearages and never made sufficient payments to catch up with the balance.</w:t>
      </w:r>
    </w:p>
    <w:p w:rsidR="006A6ABB" w:rsidRDefault="006A6ABB" w:rsidP="006A6ABB">
      <w:pPr>
        <w:ind w:firstLine="720"/>
      </w:pPr>
    </w:p>
    <w:p w:rsidR="006A6ABB" w:rsidRDefault="006A6ABB" w:rsidP="006A6ABB">
      <w:pPr>
        <w:ind w:firstLine="720"/>
      </w:pPr>
      <w:r>
        <w:tab/>
        <w:t xml:space="preserve">Next, the Complainant seeks a payment agreement for his unpaid balance.  He has not made any payments for utility service since October 2009 because he says that he did not understand what he was supposed to pay.  </w:t>
      </w:r>
    </w:p>
    <w:p w:rsidR="006A6ABB" w:rsidRDefault="006A6ABB" w:rsidP="006A6ABB">
      <w:pPr>
        <w:ind w:firstLine="720"/>
      </w:pPr>
    </w:p>
    <w:p w:rsidR="006A6ABB" w:rsidRDefault="006A6ABB" w:rsidP="006A6ABB">
      <w:pPr>
        <w:ind w:firstLine="720"/>
      </w:pPr>
      <w:r>
        <w:tab/>
        <w:t>At the hearing he expressed a high level of frustration and confusion about his communication with Duquesne Light and his obligation to pay for service when he had outstanding complaints pending before the Commission.  He testified that he did not understand what amount his “budget payment” should be, and questioned the amount of the total balance on his account.  On June 14, 2011, the Complainant received a shut-off notice.  He testified that on June 15th, he called Duquesne Light and was told “don’t worry about it” and “there’s an agreement.”  The Complainant says he told Duquesne Light that he was unaware of any agreement.</w:t>
      </w:r>
      <w:r>
        <w:rPr>
          <w:rStyle w:val="FootnoteReference"/>
        </w:rPr>
        <w:footnoteReference w:id="8"/>
      </w:r>
      <w:r>
        <w:t xml:space="preserve">  He says that he had another conversation with Duquesne Light on the same day, and he was told that he needed to pay “the whole thing” but the amount was $300 higher than what he says was written on the notice. </w:t>
      </w:r>
      <w:r>
        <w:rPr>
          <w:rStyle w:val="FootnoteReference"/>
        </w:rPr>
        <w:footnoteReference w:id="9"/>
      </w:r>
    </w:p>
    <w:p w:rsidR="006A6ABB" w:rsidRDefault="006A6ABB" w:rsidP="006A6ABB">
      <w:pPr>
        <w:ind w:firstLine="720"/>
      </w:pPr>
    </w:p>
    <w:p w:rsidR="006A6ABB" w:rsidRDefault="006A6ABB" w:rsidP="006A6ABB">
      <w:pPr>
        <w:ind w:firstLine="720"/>
      </w:pPr>
      <w:r>
        <w:tab/>
        <w:t>Duquesne Light’s records indicate that on June 9, 2011 a 10-day termination notice was mailed for termination on June 23.  The undisputed amount at that time was $1,617.67.</w:t>
      </w:r>
      <w:r>
        <w:rPr>
          <w:rStyle w:val="FootnoteReference"/>
        </w:rPr>
        <w:footnoteReference w:id="10"/>
      </w:r>
      <w:r>
        <w:t xml:space="preserve">  The Complainant also called Duquesne Light’s automated system, which provided him with a different account balance than the customer service representative or the shut-off notice provided. </w:t>
      </w:r>
      <w:r>
        <w:rPr>
          <w:rStyle w:val="FootnoteReference"/>
        </w:rPr>
        <w:footnoteReference w:id="11"/>
      </w:r>
    </w:p>
    <w:p w:rsidR="006A6ABB" w:rsidRDefault="006A6ABB" w:rsidP="006A6ABB">
      <w:pPr>
        <w:ind w:firstLine="720"/>
      </w:pPr>
    </w:p>
    <w:p w:rsidR="006A6ABB" w:rsidRDefault="006A6ABB" w:rsidP="006A6ABB">
      <w:pPr>
        <w:ind w:firstLine="720"/>
      </w:pPr>
      <w:r>
        <w:tab/>
        <w:t xml:space="preserve">Duquesne Light’s witness, Ms. </w:t>
      </w:r>
      <w:proofErr w:type="spellStart"/>
      <w:r>
        <w:t>Tamilia</w:t>
      </w:r>
      <w:proofErr w:type="spellEnd"/>
      <w:r w:rsidR="00A808E2">
        <w:t>,</w:t>
      </w:r>
      <w:r>
        <w:t xml:space="preserve"> explained that the termination notice was only for “undisputed dollars” but the automated system would have given him the amount due to catch up on his most recent payment agreement.  Thus the customer service representative told him that the “catch-up” was $1,008.  However, the undisputed amount which was the subject of the termination notice was $1,617.67, which was for electricity service which had accumulated from the time that the Complainant filed a complaint, from September 1, 2010 through June 14, 2011.</w:t>
      </w:r>
      <w:r>
        <w:rPr>
          <w:rStyle w:val="FootnoteReference"/>
        </w:rPr>
        <w:footnoteReference w:id="12"/>
      </w:r>
      <w:r>
        <w:t xml:space="preserve">  </w:t>
      </w:r>
    </w:p>
    <w:p w:rsidR="006A6ABB" w:rsidRDefault="006A6ABB" w:rsidP="006A6ABB">
      <w:pPr>
        <w:ind w:firstLine="720"/>
      </w:pPr>
    </w:p>
    <w:p w:rsidR="006A6ABB" w:rsidRDefault="006A6ABB" w:rsidP="006A6ABB">
      <w:pPr>
        <w:ind w:firstLine="720"/>
      </w:pPr>
      <w:r>
        <w:tab/>
        <w:t xml:space="preserve">The “disputed balance” of a customer’s account is the amount which the customer claims is subject to a grievance including </w:t>
      </w:r>
    </w:p>
    <w:p w:rsidR="006A6ABB" w:rsidRDefault="006A6ABB" w:rsidP="006A6ABB">
      <w:pPr>
        <w:ind w:firstLine="720"/>
      </w:pPr>
    </w:p>
    <w:p w:rsidR="006A6ABB" w:rsidRDefault="006A6ABB" w:rsidP="00512D0B">
      <w:pPr>
        <w:spacing w:line="240" w:lineRule="auto"/>
        <w:ind w:left="1440" w:right="1440"/>
      </w:pPr>
      <w:proofErr w:type="gramStart"/>
      <w:r>
        <w:t>a</w:t>
      </w:r>
      <w:proofErr w:type="gramEnd"/>
      <w:r>
        <w:t xml:space="preserve"> utility’s application of a provision covered by [Chapter 56 of the Commission’s regulations], including subjects such as credit determinations, deposit requirements, the accuracy of meter readings or bill amounts or the proper party to be charged.</w:t>
      </w:r>
      <w:r>
        <w:rPr>
          <w:rStyle w:val="FootnoteReference"/>
        </w:rPr>
        <w:footnoteReference w:id="13"/>
      </w:r>
      <w:r>
        <w:t xml:space="preserve"> </w:t>
      </w:r>
    </w:p>
    <w:p w:rsidR="006A6ABB" w:rsidRDefault="006A6ABB" w:rsidP="006A6ABB">
      <w:pPr>
        <w:spacing w:line="240" w:lineRule="auto"/>
        <w:ind w:left="1440" w:right="720" w:firstLine="720"/>
      </w:pPr>
    </w:p>
    <w:p w:rsidR="006A6ABB" w:rsidRDefault="006A6ABB" w:rsidP="006A6ABB">
      <w:r>
        <w:t>When a utility customer files a formal complaint with the Commission the “disputed amount” is “frozen” by Duquesne Light.</w:t>
      </w:r>
      <w:r>
        <w:rPr>
          <w:rStyle w:val="FootnoteReference"/>
        </w:rPr>
        <w:footnoteReference w:id="14"/>
      </w:r>
      <w:r>
        <w:t xml:space="preserve">  However, a customer remains responsible for paying the current amount due on the account going forward until the dispute is resolved:</w:t>
      </w:r>
    </w:p>
    <w:p w:rsidR="006A6ABB" w:rsidRDefault="006A6ABB" w:rsidP="006A6ABB"/>
    <w:p w:rsidR="006A6ABB" w:rsidRDefault="006A6ABB" w:rsidP="006A6ABB">
      <w:pPr>
        <w:spacing w:line="240" w:lineRule="auto"/>
        <w:ind w:left="1440" w:right="1440" w:firstLine="720"/>
      </w:pPr>
      <w:r>
        <w:t>Pending the outcome of a complaint filed with the commission, the customer shall be obligated to pay that portion of the bill which is not in dispute and subsequent bills which are not in dispute.</w:t>
      </w:r>
      <w:r>
        <w:rPr>
          <w:rStyle w:val="FootnoteReference"/>
        </w:rPr>
        <w:footnoteReference w:id="15"/>
      </w:r>
    </w:p>
    <w:p w:rsidR="006A6ABB" w:rsidRDefault="006A6ABB" w:rsidP="006A6ABB">
      <w:pPr>
        <w:spacing w:line="240" w:lineRule="auto"/>
        <w:ind w:left="1440" w:right="1440" w:firstLine="720"/>
      </w:pPr>
    </w:p>
    <w:p w:rsidR="006A6ABB" w:rsidRDefault="006A6ABB" w:rsidP="006A6ABB">
      <w:pPr>
        <w:spacing w:line="240" w:lineRule="auto"/>
        <w:ind w:left="720" w:right="720" w:firstLine="720"/>
      </w:pPr>
    </w:p>
    <w:p w:rsidR="006A6ABB" w:rsidRDefault="006A6ABB" w:rsidP="006A6ABB">
      <w:r>
        <w:t xml:space="preserve">Duquesne Light’s explanation for the various balance amounts provided to the Complainant are consistent with the regulations.  The Complainant did not submit any evidence that these amounts, or any other charges on his account, were incorrect.  Duquesne Light’s witness testified </w:t>
      </w:r>
      <w:r>
        <w:lastRenderedPageBreak/>
        <w:t xml:space="preserve">that although the calculation of a “budget amount” is not provided explicitly on a customer’s bill, the amount due is shown on the bill.  The Complainant did not provide any bills as evidence and did not make any specific showing that the amount due on his bills was incorrect.  Nor did he state that he had not received any bills.  He simply did not pay them. </w:t>
      </w:r>
    </w:p>
    <w:p w:rsidR="006A6ABB" w:rsidRDefault="006A6ABB" w:rsidP="006A6ABB"/>
    <w:p w:rsidR="006A6ABB" w:rsidRDefault="006A6ABB" w:rsidP="006A6ABB">
      <w:r>
        <w:tab/>
      </w:r>
      <w:r>
        <w:tab/>
        <w:t>Turning to the Complainant’s request for a payment agreement, Chapter 14 provides that in certain circumstances a customer may be permitted to amortize the amount due on a utility account.</w:t>
      </w:r>
      <w:r>
        <w:rPr>
          <w:rStyle w:val="FootnoteReference"/>
        </w:rPr>
        <w:footnoteReference w:id="16"/>
      </w:r>
      <w:r>
        <w:t xml:space="preserve">  The Commission is authorized to order one payment agreement per customer.</w:t>
      </w:r>
      <w:r>
        <w:rPr>
          <w:rStyle w:val="FootnoteReference"/>
        </w:rPr>
        <w:footnoteReference w:id="17"/>
      </w:r>
      <w:r>
        <w:t xml:space="preserve">  Obviously, the Complainant has a poor payment history because he has made no payments on his account since October 2009.  However, while enrolled on the CAP program, his payment history was at least sufficient to satisfy the CAP administrator and maintain his enrollment in the program.  The Complainant testified that he currently holds a job and earns $2,400 per month.  His roommate does not work, but receives social security disability payments in the amount of $763 per month.  Accordingly, the monthly household income for the account is $3,163.  This places the Complainant between 250% and 300% of the Federal Poverty Level Guidelines.</w:t>
      </w:r>
      <w:r>
        <w:rPr>
          <w:rStyle w:val="FootnoteReference"/>
        </w:rPr>
        <w:footnoteReference w:id="18"/>
      </w:r>
      <w:r>
        <w:t xml:space="preserve">  Section 1405(b</w:t>
      </w:r>
      <w:proofErr w:type="gramStart"/>
      <w:r>
        <w:t>)(</w:t>
      </w:r>
      <w:proofErr w:type="gramEnd"/>
      <w:r>
        <w:t>3) of the Responsible Utility Customer Protection Act, authorizes the Commission to grant the Complainant a repayment term of one year to repay the arrearage on his account.</w:t>
      </w:r>
      <w:r>
        <w:rPr>
          <w:rStyle w:val="FootnoteReference"/>
        </w:rPr>
        <w:footnoteReference w:id="19"/>
      </w:r>
      <w:r>
        <w:t xml:space="preserve">  The Complainant is reminded that in addition to making payments on the arrearage of his account, he is also required to make regular, on-time payments for current electricity service as well.</w:t>
      </w:r>
      <w:r>
        <w:rPr>
          <w:rStyle w:val="FootnoteReference"/>
        </w:rPr>
        <w:footnoteReference w:id="20"/>
      </w:r>
    </w:p>
    <w:p w:rsidR="006A6ABB" w:rsidRDefault="006A6ABB" w:rsidP="006A6ABB"/>
    <w:p w:rsidR="00592FAE" w:rsidRDefault="00592FAE">
      <w:pPr>
        <w:spacing w:after="200"/>
        <w:rPr>
          <w:u w:val="single"/>
        </w:rPr>
      </w:pPr>
      <w:r>
        <w:rPr>
          <w:u w:val="single"/>
        </w:rPr>
        <w:br w:type="page"/>
      </w:r>
    </w:p>
    <w:p w:rsidR="006A6ABB" w:rsidRPr="00820841" w:rsidRDefault="006A6ABB" w:rsidP="006A6ABB">
      <w:pPr>
        <w:jc w:val="center"/>
        <w:rPr>
          <w:u w:val="single"/>
        </w:rPr>
      </w:pPr>
      <w:r w:rsidRPr="00820841">
        <w:rPr>
          <w:u w:val="single"/>
        </w:rPr>
        <w:lastRenderedPageBreak/>
        <w:t>CONCLUSIONS OF LAW</w:t>
      </w:r>
    </w:p>
    <w:p w:rsidR="006A6ABB" w:rsidRDefault="006A6ABB" w:rsidP="006A6ABB"/>
    <w:p w:rsidR="006A6ABB" w:rsidRDefault="006A6ABB" w:rsidP="006A6ABB">
      <w:r>
        <w:tab/>
      </w:r>
      <w:r>
        <w:tab/>
        <w:t>1.</w:t>
      </w:r>
      <w:r>
        <w:tab/>
        <w:t>The Commission has jurisdiction over the subject matter and parties to this proceeding.</w:t>
      </w:r>
      <w:bookmarkStart w:id="0" w:name="_GoBack"/>
      <w:bookmarkEnd w:id="0"/>
    </w:p>
    <w:p w:rsidR="006A6ABB" w:rsidRDefault="006A6ABB" w:rsidP="006A6ABB"/>
    <w:p w:rsidR="006A6ABB" w:rsidRDefault="006A6ABB" w:rsidP="006A6ABB">
      <w:r>
        <w:tab/>
      </w:r>
      <w:r>
        <w:tab/>
        <w:t>2.</w:t>
      </w:r>
      <w:r>
        <w:tab/>
        <w:t>Duquesne Light’s decision to default the Complainant from its CAP program for failure to provide updated income information was reasonable, appropriate and in accordance with the regulations.</w:t>
      </w:r>
    </w:p>
    <w:p w:rsidR="006A6ABB" w:rsidRDefault="006A6ABB" w:rsidP="006A6ABB"/>
    <w:p w:rsidR="006A6ABB" w:rsidRDefault="006A6ABB" w:rsidP="006A6ABB">
      <w:r>
        <w:tab/>
      </w:r>
      <w:r>
        <w:tab/>
        <w:t>3.</w:t>
      </w:r>
      <w:r>
        <w:tab/>
        <w:t>The Commission is authorized to establish payment agreements between a public utility and customers within the limits established in Chapter 14 of the Public Utility Code.</w:t>
      </w:r>
    </w:p>
    <w:p w:rsidR="006A6ABB" w:rsidRDefault="006A6ABB" w:rsidP="006A6ABB"/>
    <w:p w:rsidR="006A6ABB" w:rsidRDefault="006A6ABB" w:rsidP="006A6ABB"/>
    <w:p w:rsidR="006A6ABB" w:rsidRPr="00074621" w:rsidRDefault="006A6ABB" w:rsidP="006A6ABB">
      <w:pPr>
        <w:jc w:val="center"/>
        <w:rPr>
          <w:u w:val="single"/>
        </w:rPr>
      </w:pPr>
      <w:r w:rsidRPr="00074621">
        <w:rPr>
          <w:u w:val="single"/>
        </w:rPr>
        <w:t>ORDER</w:t>
      </w:r>
    </w:p>
    <w:p w:rsidR="006A6ABB" w:rsidRDefault="006A6ABB" w:rsidP="006A6ABB"/>
    <w:p w:rsidR="006A6ABB" w:rsidRDefault="006A6ABB" w:rsidP="006A6ABB">
      <w:r>
        <w:tab/>
      </w:r>
      <w:r>
        <w:tab/>
        <w:t>THEREFORE,</w:t>
      </w:r>
    </w:p>
    <w:p w:rsidR="006A6ABB" w:rsidRDefault="006A6ABB" w:rsidP="006A6ABB"/>
    <w:p w:rsidR="006A6ABB" w:rsidRDefault="006A6ABB" w:rsidP="006A6ABB">
      <w:r>
        <w:tab/>
      </w:r>
      <w:r>
        <w:tab/>
        <w:t>IT IS ORDERED:</w:t>
      </w:r>
    </w:p>
    <w:p w:rsidR="006A6ABB" w:rsidRDefault="006A6ABB" w:rsidP="006A6ABB"/>
    <w:p w:rsidR="006A6ABB" w:rsidRDefault="006A6ABB" w:rsidP="006A6ABB">
      <w:r>
        <w:tab/>
      </w:r>
      <w:r>
        <w:tab/>
        <w:t>1.</w:t>
      </w:r>
      <w:r>
        <w:tab/>
        <w:t xml:space="preserve">That the formal Complaint filed by Dennis </w:t>
      </w:r>
      <w:proofErr w:type="spellStart"/>
      <w:r>
        <w:t>Mowrey</w:t>
      </w:r>
      <w:proofErr w:type="spellEnd"/>
      <w:r>
        <w:t xml:space="preserve"> at Docket No. F</w:t>
      </w:r>
      <w:r>
        <w:noBreakHyphen/>
        <w:t>2010-2196812 is dismissed in part and sustained in part.</w:t>
      </w:r>
    </w:p>
    <w:p w:rsidR="006A6ABB" w:rsidRDefault="006A6ABB" w:rsidP="006A6ABB"/>
    <w:p w:rsidR="006A6ABB" w:rsidRDefault="006A6ABB" w:rsidP="006A6ABB">
      <w:r>
        <w:tab/>
      </w:r>
      <w:r>
        <w:tab/>
        <w:t>2.</w:t>
      </w:r>
      <w:r>
        <w:tab/>
        <w:t xml:space="preserve">That within 15 days of the date the Commission enters its Order in this case, Duquesne Light Company shall tender a bill to Dennis </w:t>
      </w:r>
      <w:proofErr w:type="spellStart"/>
      <w:r>
        <w:t>Mowrey</w:t>
      </w:r>
      <w:proofErr w:type="spellEnd"/>
      <w:r>
        <w:t xml:space="preserve"> for the net total amount that has accrued for missed consumption payments.</w:t>
      </w:r>
    </w:p>
    <w:p w:rsidR="006A6ABB" w:rsidRDefault="006A6ABB" w:rsidP="006A6ABB"/>
    <w:p w:rsidR="006A6ABB" w:rsidRDefault="006A6ABB" w:rsidP="00D75FED">
      <w:pPr>
        <w:ind w:right="-180"/>
      </w:pPr>
      <w:r>
        <w:tab/>
      </w:r>
      <w:r>
        <w:tab/>
        <w:t>3.</w:t>
      </w:r>
      <w:r>
        <w:tab/>
        <w:t xml:space="preserve">That Dennis </w:t>
      </w:r>
      <w:proofErr w:type="spellStart"/>
      <w:r>
        <w:t>Mowrey</w:t>
      </w:r>
      <w:proofErr w:type="spellEnd"/>
      <w:r>
        <w:t xml:space="preserve"> shall pay Duquesne Light on or before the due date for payment of each monthly bill, the monthly budget amount for current consumption, plus 1/12</w:t>
      </w:r>
      <w:r w:rsidRPr="00293213">
        <w:rPr>
          <w:vertAlign w:val="superscript"/>
        </w:rPr>
        <w:t>th</w:t>
      </w:r>
      <w:r>
        <w:t xml:space="preserve"> of the </w:t>
      </w:r>
      <w:r w:rsidR="00D75FED">
        <w:t xml:space="preserve">non-CAP </w:t>
      </w:r>
      <w:r>
        <w:t xml:space="preserve">arrearage owed on his account to be calculated as of the date the Commission enters its Order in this case; these payments shall commence with the first monthly bill received after </w:t>
      </w:r>
      <w:r>
        <w:lastRenderedPageBreak/>
        <w:t>entry of the Commission’s Order in this case and continue thereafter on the due date for the payment of each regular monthly bill, until the arrearage on this account has been paid in full.</w:t>
      </w:r>
    </w:p>
    <w:p w:rsidR="006A6ABB" w:rsidRDefault="006A6ABB" w:rsidP="006A6ABB"/>
    <w:p w:rsidR="006A6ABB" w:rsidRDefault="006A6ABB" w:rsidP="006A6ABB">
      <w:r>
        <w:tab/>
      </w:r>
      <w:r>
        <w:tab/>
        <w:t>4.</w:t>
      </w:r>
      <w:r>
        <w:tab/>
        <w:t xml:space="preserve">That, so long as Dennis </w:t>
      </w:r>
      <w:proofErr w:type="spellStart"/>
      <w:r>
        <w:t>Mowrey</w:t>
      </w:r>
      <w:proofErr w:type="spellEnd"/>
      <w:r>
        <w:t xml:space="preserve"> adheres to the terms of this Order, Duquesne Light shall not assess any late payment charges nor shall Duquesne Light terminate service to Dennis </w:t>
      </w:r>
      <w:proofErr w:type="spellStart"/>
      <w:r>
        <w:t>Mowrey</w:t>
      </w:r>
      <w:proofErr w:type="spellEnd"/>
      <w:r>
        <w:t>, except for valid safety and/or emergency reasons.</w:t>
      </w:r>
    </w:p>
    <w:p w:rsidR="00B03564" w:rsidRDefault="00B03564" w:rsidP="00B03564">
      <w:pPr>
        <w:rPr>
          <w:szCs w:val="24"/>
        </w:rPr>
      </w:pPr>
    </w:p>
    <w:p w:rsidR="004229FB" w:rsidRDefault="004229FB" w:rsidP="00EA58A8"/>
    <w:p w:rsidR="00855EE7" w:rsidRPr="00A03D6F" w:rsidRDefault="00855EE7" w:rsidP="00855EE7">
      <w:pPr>
        <w:tabs>
          <w:tab w:val="left" w:pos="0"/>
        </w:tabs>
        <w:spacing w:line="240" w:lineRule="auto"/>
        <w:jc w:val="both"/>
      </w:pPr>
      <w:r w:rsidRPr="00A03D6F">
        <w:t xml:space="preserve">Date:  </w:t>
      </w:r>
      <w:r w:rsidR="00516A01">
        <w:rPr>
          <w:u w:val="single"/>
        </w:rPr>
        <w:t>October 1</w:t>
      </w:r>
      <w:r w:rsidR="00A130CF">
        <w:rPr>
          <w:u w:val="single"/>
        </w:rPr>
        <w:t>7</w:t>
      </w:r>
      <w:r>
        <w:rPr>
          <w:u w:val="single"/>
        </w:rPr>
        <w:t>, 2011</w:t>
      </w:r>
      <w:r w:rsidRPr="00A03D6F">
        <w:tab/>
      </w:r>
      <w:r w:rsidRPr="00A03D6F">
        <w:tab/>
      </w:r>
      <w:r w:rsidRPr="00A03D6F">
        <w:tab/>
      </w:r>
      <w:r w:rsidRPr="00A03D6F">
        <w:tab/>
        <w:t>_______________________________</w:t>
      </w:r>
    </w:p>
    <w:p w:rsidR="00855EE7" w:rsidRPr="00A03D6F" w:rsidRDefault="00855EE7" w:rsidP="00855EE7">
      <w:pPr>
        <w:tabs>
          <w:tab w:val="left" w:pos="0"/>
        </w:tabs>
        <w:spacing w:line="240" w:lineRule="auto"/>
        <w:jc w:val="both"/>
      </w:pPr>
      <w:r w:rsidRPr="00A03D6F">
        <w:tab/>
      </w:r>
      <w:r w:rsidRPr="00A03D6F">
        <w:tab/>
      </w:r>
      <w:r w:rsidRPr="00A03D6F">
        <w:tab/>
      </w:r>
      <w:r w:rsidRPr="00A03D6F">
        <w:tab/>
      </w:r>
      <w:r w:rsidRPr="00A03D6F">
        <w:tab/>
      </w:r>
      <w:r w:rsidRPr="00A03D6F">
        <w:tab/>
      </w:r>
      <w:r w:rsidRPr="00A03D6F">
        <w:tab/>
      </w:r>
      <w:r>
        <w:t>Mary D. Long</w:t>
      </w:r>
    </w:p>
    <w:p w:rsidR="003F3C6F" w:rsidRDefault="00855EE7" w:rsidP="00855EE7">
      <w:pPr>
        <w:tabs>
          <w:tab w:val="left" w:pos="0"/>
        </w:tabs>
        <w:spacing w:line="240" w:lineRule="auto"/>
        <w:jc w:val="both"/>
      </w:pPr>
      <w:r w:rsidRPr="00A03D6F">
        <w:tab/>
      </w:r>
      <w:r w:rsidRPr="00A03D6F">
        <w:tab/>
      </w:r>
      <w:r w:rsidRPr="00A03D6F">
        <w:tab/>
      </w:r>
      <w:r w:rsidRPr="00A03D6F">
        <w:tab/>
      </w:r>
      <w:r w:rsidRPr="00A03D6F">
        <w:tab/>
      </w:r>
      <w:r w:rsidRPr="00A03D6F">
        <w:tab/>
      </w:r>
      <w:r w:rsidRPr="00A03D6F">
        <w:tab/>
        <w:t>Administrative Law Judge</w:t>
      </w:r>
    </w:p>
    <w:sectPr w:rsidR="003F3C6F" w:rsidSect="009F2FA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3A2" w:rsidRDefault="001413A2" w:rsidP="003F3C6F">
      <w:pPr>
        <w:spacing w:line="240" w:lineRule="auto"/>
      </w:pPr>
      <w:r>
        <w:separator/>
      </w:r>
    </w:p>
  </w:endnote>
  <w:endnote w:type="continuationSeparator" w:id="0">
    <w:p w:rsidR="001413A2" w:rsidRDefault="001413A2"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39405"/>
      <w:docPartObj>
        <w:docPartGallery w:val="Page Numbers (Bottom of Page)"/>
        <w:docPartUnique/>
      </w:docPartObj>
    </w:sdtPr>
    <w:sdtEndPr>
      <w:rPr>
        <w:sz w:val="22"/>
        <w:szCs w:val="22"/>
      </w:rPr>
    </w:sdtEndPr>
    <w:sdtContent>
      <w:p w:rsidR="005913C3" w:rsidRDefault="009503C8">
        <w:pPr>
          <w:pStyle w:val="Footer"/>
          <w:jc w:val="center"/>
        </w:pPr>
        <w:r w:rsidRPr="00A2234C">
          <w:rPr>
            <w:sz w:val="20"/>
          </w:rPr>
          <w:fldChar w:fldCharType="begin"/>
        </w:r>
        <w:r w:rsidR="005913C3" w:rsidRPr="00A2234C">
          <w:rPr>
            <w:sz w:val="20"/>
          </w:rPr>
          <w:instrText xml:space="preserve"> PAGE   \* MERGEFORMAT </w:instrText>
        </w:r>
        <w:r w:rsidRPr="00A2234C">
          <w:rPr>
            <w:sz w:val="20"/>
          </w:rPr>
          <w:fldChar w:fldCharType="separate"/>
        </w:r>
        <w:r w:rsidR="00D75FED">
          <w:rPr>
            <w:noProof/>
            <w:sz w:val="20"/>
          </w:rPr>
          <w:t>11</w:t>
        </w:r>
        <w:r w:rsidRPr="00A2234C">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32439401"/>
      <w:docPartObj>
        <w:docPartGallery w:val="Page Numbers (Bottom of Page)"/>
        <w:docPartUnique/>
      </w:docPartObj>
    </w:sdtPr>
    <w:sdtEndPr/>
    <w:sdtContent>
      <w:p w:rsidR="00617E16" w:rsidRPr="00617E16" w:rsidRDefault="001413A2">
        <w:pPr>
          <w:pStyle w:val="Footer"/>
          <w:jc w:val="cen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3A2" w:rsidRDefault="001413A2" w:rsidP="003F3C6F">
      <w:pPr>
        <w:spacing w:line="240" w:lineRule="auto"/>
      </w:pPr>
      <w:r>
        <w:separator/>
      </w:r>
    </w:p>
  </w:footnote>
  <w:footnote w:type="continuationSeparator" w:id="0">
    <w:p w:rsidR="001413A2" w:rsidRDefault="001413A2" w:rsidP="00A0161B">
      <w:pPr>
        <w:spacing w:line="240" w:lineRule="auto"/>
      </w:pPr>
      <w:r>
        <w:separator/>
      </w:r>
    </w:p>
    <w:p w:rsidR="001413A2" w:rsidRDefault="001413A2" w:rsidP="003F3C6F">
      <w:pPr>
        <w:spacing w:line="240" w:lineRule="auto"/>
      </w:pPr>
    </w:p>
  </w:footnote>
  <w:footnote w:id="1">
    <w:p w:rsidR="006A6ABB" w:rsidRPr="00E73370" w:rsidRDefault="006A6ABB" w:rsidP="006A6ABB">
      <w:pPr>
        <w:pStyle w:val="FootnoteText"/>
      </w:pPr>
      <w:r>
        <w:tab/>
      </w:r>
      <w:r w:rsidRPr="00E73370">
        <w:rPr>
          <w:rStyle w:val="FootnoteReference"/>
        </w:rPr>
        <w:footnoteRef/>
      </w:r>
      <w:r w:rsidRPr="00E73370">
        <w:t xml:space="preserve"> </w:t>
      </w:r>
      <w:r w:rsidRPr="00E73370">
        <w:tab/>
        <w:t xml:space="preserve">On August 29, 2011, after the close of the record in this case, Duquesne Light filed a motion to consolidate this complaint with an additional formal complaint filed by Mr. </w:t>
      </w:r>
      <w:proofErr w:type="spellStart"/>
      <w:r w:rsidRPr="00E73370">
        <w:t>Mowrey</w:t>
      </w:r>
      <w:proofErr w:type="spellEnd"/>
      <w:r w:rsidRPr="00E73370">
        <w:t xml:space="preserve"> on August 16, 2011, which was docketed at PUC Docket No. </w:t>
      </w:r>
      <w:proofErr w:type="gramStart"/>
      <w:r w:rsidRPr="00E73370">
        <w:t>F-2011-2258471.</w:t>
      </w:r>
      <w:proofErr w:type="gramEnd"/>
      <w:r w:rsidRPr="00E73370">
        <w:t xml:space="preserve">  That motion will be resolved by further order.</w:t>
      </w:r>
    </w:p>
  </w:footnote>
  <w:footnote w:id="2">
    <w:p w:rsidR="006A6ABB" w:rsidRDefault="006A6ABB" w:rsidP="006A6ABB">
      <w:pPr>
        <w:pStyle w:val="FootnoteText"/>
      </w:pPr>
      <w:r>
        <w:tab/>
      </w:r>
      <w:r w:rsidRPr="00912714">
        <w:rPr>
          <w:rStyle w:val="FootnoteReference"/>
        </w:rPr>
        <w:footnoteRef/>
      </w:r>
      <w:r w:rsidRPr="00912714">
        <w:t xml:space="preserve"> </w:t>
      </w:r>
      <w:r w:rsidRPr="00912714">
        <w:tab/>
      </w:r>
      <w:proofErr w:type="gramStart"/>
      <w:r w:rsidRPr="00912714">
        <w:t>66 Pa. C.S. §</w:t>
      </w:r>
      <w:r w:rsidR="00A808E2">
        <w:t xml:space="preserve"> </w:t>
      </w:r>
      <w:r w:rsidRPr="00912714">
        <w:t>701.</w:t>
      </w:r>
      <w:proofErr w:type="gramEnd"/>
    </w:p>
    <w:p w:rsidR="006A6ABB" w:rsidRPr="00912714" w:rsidRDefault="006A6ABB" w:rsidP="006A6ABB">
      <w:pPr>
        <w:pStyle w:val="FootnoteText"/>
      </w:pPr>
    </w:p>
  </w:footnote>
  <w:footnote w:id="3">
    <w:p w:rsidR="006A6ABB" w:rsidRDefault="006A6ABB" w:rsidP="006A6ABB">
      <w:pPr>
        <w:pStyle w:val="FootnoteText"/>
      </w:pPr>
      <w:r>
        <w:tab/>
      </w:r>
      <w:r w:rsidRPr="00912714">
        <w:rPr>
          <w:rStyle w:val="FootnoteReference"/>
        </w:rPr>
        <w:footnoteRef/>
      </w:r>
      <w:r w:rsidRPr="00912714">
        <w:t xml:space="preserve"> </w:t>
      </w:r>
      <w:r w:rsidRPr="00912714">
        <w:tab/>
      </w:r>
      <w:proofErr w:type="gramStart"/>
      <w:r w:rsidRPr="00912714">
        <w:t>66 Pa. C.S. §</w:t>
      </w:r>
      <w:r w:rsidR="00A808E2">
        <w:t xml:space="preserve"> </w:t>
      </w:r>
      <w:r w:rsidRPr="00912714">
        <w:t>332(a).</w:t>
      </w:r>
      <w:proofErr w:type="gramEnd"/>
    </w:p>
    <w:p w:rsidR="006A6ABB" w:rsidRPr="00912714" w:rsidRDefault="006A6ABB" w:rsidP="006A6ABB">
      <w:pPr>
        <w:pStyle w:val="FootnoteText"/>
      </w:pPr>
    </w:p>
  </w:footnote>
  <w:footnote w:id="4">
    <w:p w:rsidR="006A6ABB" w:rsidRDefault="006A6ABB" w:rsidP="006A6ABB">
      <w:pPr>
        <w:pStyle w:val="FootnoteText"/>
      </w:pPr>
      <w:r>
        <w:tab/>
      </w:r>
      <w:r w:rsidRPr="00912714">
        <w:rPr>
          <w:rStyle w:val="FootnoteReference"/>
        </w:rPr>
        <w:footnoteRef/>
      </w:r>
      <w:r w:rsidRPr="00912714">
        <w:t xml:space="preserve"> </w:t>
      </w:r>
      <w:r w:rsidRPr="00912714">
        <w:tab/>
      </w:r>
      <w:proofErr w:type="gramStart"/>
      <w:r w:rsidRPr="00912714">
        <w:rPr>
          <w:i/>
        </w:rPr>
        <w:t>Se-Ling Hosiery, Inc. v. Margulies</w:t>
      </w:r>
      <w:r w:rsidRPr="00912714">
        <w:t xml:space="preserve">, 364 Pa. 45, 70 A.2d 854 (1950); </w:t>
      </w:r>
      <w:r w:rsidRPr="00912714">
        <w:rPr>
          <w:i/>
        </w:rPr>
        <w:t>Feinstein v. Philadelphia Suburban Water Company</w:t>
      </w:r>
      <w:r w:rsidRPr="00912714">
        <w:t>, 50 PA PUC 300 (1976).</w:t>
      </w:r>
      <w:proofErr w:type="gramEnd"/>
    </w:p>
    <w:p w:rsidR="006A6ABB" w:rsidRPr="00912714" w:rsidRDefault="006A6ABB" w:rsidP="006A6ABB">
      <w:pPr>
        <w:pStyle w:val="FootnoteText"/>
      </w:pPr>
    </w:p>
  </w:footnote>
  <w:footnote w:id="5">
    <w:p w:rsidR="006A6ABB" w:rsidRDefault="006A6ABB" w:rsidP="006A6ABB">
      <w:pPr>
        <w:pStyle w:val="FootnoteText"/>
      </w:pPr>
      <w:r>
        <w:tab/>
      </w:r>
      <w:r w:rsidRPr="00912714">
        <w:rPr>
          <w:rStyle w:val="FootnoteReference"/>
        </w:rPr>
        <w:footnoteRef/>
      </w:r>
      <w:r w:rsidRPr="00912714">
        <w:t xml:space="preserve">  </w:t>
      </w:r>
      <w:r w:rsidRPr="00912714">
        <w:tab/>
      </w:r>
      <w:proofErr w:type="gramStart"/>
      <w:r w:rsidRPr="00912714">
        <w:t>66 Pa. C.S. § 1405(c).</w:t>
      </w:r>
      <w:proofErr w:type="gramEnd"/>
    </w:p>
    <w:p w:rsidR="006A6ABB" w:rsidRPr="00912714" w:rsidRDefault="006A6ABB" w:rsidP="006A6ABB">
      <w:pPr>
        <w:pStyle w:val="FootnoteText"/>
      </w:pPr>
    </w:p>
  </w:footnote>
  <w:footnote w:id="6">
    <w:p w:rsidR="006A6ABB" w:rsidRDefault="006A6ABB" w:rsidP="006A6ABB">
      <w:pPr>
        <w:pStyle w:val="FootnoteText"/>
      </w:pPr>
      <w:r>
        <w:tab/>
      </w:r>
      <w:r w:rsidRPr="00912714">
        <w:rPr>
          <w:rStyle w:val="FootnoteReference"/>
        </w:rPr>
        <w:footnoteRef/>
      </w:r>
      <w:r w:rsidRPr="00912714">
        <w:t xml:space="preserve"> </w:t>
      </w:r>
      <w:r w:rsidRPr="00912714">
        <w:tab/>
        <w:t>52 Pa. Code § 69.265(7</w:t>
      </w:r>
      <w:proofErr w:type="gramStart"/>
      <w:r w:rsidRPr="00912714">
        <w:t>)(</w:t>
      </w:r>
      <w:proofErr w:type="gramEnd"/>
      <w:r w:rsidRPr="00912714">
        <w:t>iv).</w:t>
      </w:r>
    </w:p>
    <w:p w:rsidR="006A6ABB" w:rsidRPr="00912714" w:rsidRDefault="006A6ABB" w:rsidP="006A6ABB">
      <w:pPr>
        <w:pStyle w:val="FootnoteText"/>
      </w:pPr>
    </w:p>
  </w:footnote>
  <w:footnote w:id="7">
    <w:p w:rsidR="006A6ABB" w:rsidRDefault="006A6ABB" w:rsidP="006A6ABB">
      <w:pPr>
        <w:pStyle w:val="FootnoteText"/>
      </w:pPr>
      <w:r>
        <w:tab/>
      </w:r>
      <w:r w:rsidRPr="00912714">
        <w:rPr>
          <w:rStyle w:val="FootnoteReference"/>
        </w:rPr>
        <w:footnoteRef/>
      </w:r>
      <w:r w:rsidRPr="00912714">
        <w:t xml:space="preserve"> </w:t>
      </w:r>
      <w:r w:rsidRPr="00912714">
        <w:tab/>
        <w:t>52 Pa. Code § 69.265(7</w:t>
      </w:r>
      <w:proofErr w:type="gramStart"/>
      <w:r w:rsidRPr="00912714">
        <w:t>)(</w:t>
      </w:r>
      <w:proofErr w:type="gramEnd"/>
      <w:r w:rsidRPr="00912714">
        <w:t>vi).</w:t>
      </w:r>
    </w:p>
    <w:p w:rsidR="006A6ABB" w:rsidRPr="00912714" w:rsidRDefault="006A6ABB" w:rsidP="006A6ABB">
      <w:pPr>
        <w:pStyle w:val="FootnoteText"/>
      </w:pPr>
    </w:p>
  </w:footnote>
  <w:footnote w:id="8">
    <w:p w:rsidR="006A6ABB" w:rsidRDefault="006A6ABB" w:rsidP="006A6ABB">
      <w:pPr>
        <w:spacing w:line="240" w:lineRule="auto"/>
        <w:ind w:firstLine="720"/>
        <w:rPr>
          <w:sz w:val="20"/>
        </w:rPr>
      </w:pPr>
      <w:r w:rsidRPr="00912714">
        <w:rPr>
          <w:rStyle w:val="FootnoteReference"/>
          <w:sz w:val="20"/>
        </w:rPr>
        <w:footnoteRef/>
      </w:r>
      <w:r w:rsidRPr="00912714">
        <w:rPr>
          <w:sz w:val="20"/>
        </w:rPr>
        <w:t xml:space="preserve">  </w:t>
      </w:r>
      <w:r w:rsidRPr="00912714">
        <w:rPr>
          <w:sz w:val="20"/>
        </w:rPr>
        <w:tab/>
      </w:r>
      <w:proofErr w:type="gramStart"/>
      <w:r w:rsidRPr="00912714">
        <w:rPr>
          <w:sz w:val="20"/>
        </w:rPr>
        <w:t>N.T. 13.</w:t>
      </w:r>
      <w:proofErr w:type="gramEnd"/>
    </w:p>
    <w:p w:rsidR="006A6ABB" w:rsidRPr="00912714" w:rsidRDefault="006A6ABB" w:rsidP="006A6ABB">
      <w:pPr>
        <w:spacing w:line="240" w:lineRule="auto"/>
        <w:ind w:firstLine="720"/>
        <w:rPr>
          <w:sz w:val="20"/>
        </w:rPr>
      </w:pPr>
    </w:p>
  </w:footnote>
  <w:footnote w:id="9">
    <w:p w:rsidR="006A6ABB" w:rsidRDefault="006A6ABB" w:rsidP="006A6ABB">
      <w:pPr>
        <w:pStyle w:val="FootnoteText"/>
      </w:pPr>
      <w:r>
        <w:tab/>
      </w:r>
      <w:r w:rsidRPr="00912714">
        <w:rPr>
          <w:rStyle w:val="FootnoteReference"/>
        </w:rPr>
        <w:footnoteRef/>
      </w:r>
      <w:r w:rsidRPr="00912714">
        <w:t xml:space="preserve"> </w:t>
      </w:r>
      <w:r w:rsidRPr="00912714">
        <w:tab/>
      </w:r>
      <w:proofErr w:type="gramStart"/>
      <w:r w:rsidRPr="00912714">
        <w:t>N.T. 14</w:t>
      </w:r>
      <w:r w:rsidR="00A808E2">
        <w:t>.</w:t>
      </w:r>
      <w:proofErr w:type="gramEnd"/>
    </w:p>
    <w:p w:rsidR="006A6ABB" w:rsidRPr="00912714" w:rsidRDefault="006A6ABB" w:rsidP="006A6ABB">
      <w:pPr>
        <w:pStyle w:val="FootnoteText"/>
      </w:pPr>
    </w:p>
  </w:footnote>
  <w:footnote w:id="10">
    <w:p w:rsidR="006A6ABB" w:rsidRDefault="006A6ABB" w:rsidP="006A6ABB">
      <w:pPr>
        <w:spacing w:line="240" w:lineRule="auto"/>
        <w:ind w:firstLine="720"/>
        <w:rPr>
          <w:sz w:val="20"/>
        </w:rPr>
      </w:pPr>
      <w:r w:rsidRPr="00FA2394">
        <w:rPr>
          <w:rStyle w:val="FootnoteReference"/>
          <w:sz w:val="20"/>
        </w:rPr>
        <w:footnoteRef/>
      </w:r>
      <w:r w:rsidRPr="00FA2394">
        <w:rPr>
          <w:sz w:val="20"/>
        </w:rPr>
        <w:t xml:space="preserve"> </w:t>
      </w:r>
      <w:r w:rsidRPr="00FA2394">
        <w:rPr>
          <w:sz w:val="20"/>
        </w:rPr>
        <w:tab/>
      </w:r>
      <w:proofErr w:type="gramStart"/>
      <w:r w:rsidRPr="00FA2394">
        <w:rPr>
          <w:sz w:val="20"/>
        </w:rPr>
        <w:t>N.T. 35; Duquesne Light Ex. 5.</w:t>
      </w:r>
      <w:proofErr w:type="gramEnd"/>
    </w:p>
    <w:p w:rsidR="006A6ABB" w:rsidRPr="00FA2394" w:rsidRDefault="006A6ABB" w:rsidP="006A6ABB">
      <w:pPr>
        <w:spacing w:line="240" w:lineRule="auto"/>
        <w:ind w:firstLine="720"/>
        <w:rPr>
          <w:sz w:val="20"/>
        </w:rPr>
      </w:pPr>
    </w:p>
  </w:footnote>
  <w:footnote w:id="11">
    <w:p w:rsidR="006A6ABB" w:rsidRDefault="006A6ABB" w:rsidP="006A6ABB">
      <w:pPr>
        <w:pStyle w:val="FootnoteText"/>
      </w:pPr>
      <w:r>
        <w:tab/>
      </w:r>
      <w:r w:rsidRPr="00FA2394">
        <w:rPr>
          <w:rStyle w:val="FootnoteReference"/>
        </w:rPr>
        <w:footnoteRef/>
      </w:r>
      <w:r w:rsidRPr="00FA2394">
        <w:t xml:space="preserve"> </w:t>
      </w:r>
      <w:r w:rsidRPr="00FA2394">
        <w:tab/>
      </w:r>
      <w:proofErr w:type="gramStart"/>
      <w:r w:rsidRPr="00FA2394">
        <w:t>N.T. 44.</w:t>
      </w:r>
      <w:proofErr w:type="gramEnd"/>
    </w:p>
    <w:p w:rsidR="006A6ABB" w:rsidRPr="00FA2394" w:rsidRDefault="006A6ABB" w:rsidP="006A6ABB">
      <w:pPr>
        <w:pStyle w:val="FootnoteText"/>
      </w:pPr>
    </w:p>
  </w:footnote>
  <w:footnote w:id="12">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t>N.T. 45-46.</w:t>
      </w:r>
    </w:p>
    <w:p w:rsidR="006A6ABB" w:rsidRPr="00FA2394" w:rsidRDefault="006A6ABB" w:rsidP="006A6ABB">
      <w:pPr>
        <w:pStyle w:val="FootnoteText"/>
      </w:pPr>
    </w:p>
  </w:footnote>
  <w:footnote w:id="13">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r>
      <w:proofErr w:type="gramStart"/>
      <w:r w:rsidR="006A6ABB" w:rsidRPr="00FA2394">
        <w:t>52 Pa. Code § 56.2.</w:t>
      </w:r>
      <w:proofErr w:type="gramEnd"/>
    </w:p>
    <w:p w:rsidR="006A6ABB" w:rsidRPr="00FA2394" w:rsidRDefault="006A6ABB" w:rsidP="006A6ABB">
      <w:pPr>
        <w:pStyle w:val="FootnoteText"/>
      </w:pPr>
    </w:p>
  </w:footnote>
  <w:footnote w:id="14">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r>
      <w:proofErr w:type="gramStart"/>
      <w:r w:rsidR="006A6ABB" w:rsidRPr="00FA2394">
        <w:t>N.T. 35.</w:t>
      </w:r>
      <w:proofErr w:type="gramEnd"/>
    </w:p>
    <w:p w:rsidR="006A6ABB" w:rsidRPr="00FA2394" w:rsidRDefault="006A6ABB" w:rsidP="006A6ABB">
      <w:pPr>
        <w:pStyle w:val="FootnoteText"/>
      </w:pPr>
    </w:p>
  </w:footnote>
  <w:footnote w:id="15">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r>
      <w:proofErr w:type="gramStart"/>
      <w:r w:rsidR="006A6ABB" w:rsidRPr="00FA2394">
        <w:t>66 Pa. C.S. § 1410(2).</w:t>
      </w:r>
      <w:proofErr w:type="gramEnd"/>
    </w:p>
    <w:p w:rsidR="006A6ABB" w:rsidRPr="00FA2394" w:rsidRDefault="006A6ABB" w:rsidP="006A6ABB">
      <w:pPr>
        <w:pStyle w:val="FootnoteText"/>
      </w:pPr>
    </w:p>
  </w:footnote>
  <w:footnote w:id="16">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r>
      <w:proofErr w:type="gramStart"/>
      <w:r w:rsidR="006A6ABB" w:rsidRPr="00FA2394">
        <w:t>66 Pa. C.S. § 1402.</w:t>
      </w:r>
      <w:proofErr w:type="gramEnd"/>
    </w:p>
    <w:p w:rsidR="006A6ABB" w:rsidRPr="00FA2394" w:rsidRDefault="006A6ABB" w:rsidP="006A6ABB">
      <w:pPr>
        <w:pStyle w:val="FootnoteText"/>
      </w:pPr>
    </w:p>
  </w:footnote>
  <w:footnote w:id="17">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r>
      <w:proofErr w:type="gramStart"/>
      <w:r w:rsidR="006A6ABB" w:rsidRPr="00FA2394">
        <w:t>66 Pa. C.S. § 1405(d).</w:t>
      </w:r>
      <w:proofErr w:type="gramEnd"/>
    </w:p>
    <w:p w:rsidR="006A6ABB" w:rsidRPr="00FA2394" w:rsidRDefault="006A6ABB" w:rsidP="006A6ABB">
      <w:pPr>
        <w:pStyle w:val="FootnoteText"/>
      </w:pPr>
    </w:p>
  </w:footnote>
  <w:footnote w:id="18">
    <w:p w:rsidR="006A6ABB" w:rsidRDefault="00592FAE" w:rsidP="006A6ABB">
      <w:pPr>
        <w:pStyle w:val="FootnoteText"/>
      </w:pPr>
      <w:r>
        <w:tab/>
      </w:r>
      <w:r w:rsidR="006A6ABB" w:rsidRPr="00FA2394">
        <w:rPr>
          <w:rStyle w:val="FootnoteReference"/>
        </w:rPr>
        <w:footnoteRef/>
      </w:r>
      <w:r w:rsidR="006A6ABB" w:rsidRPr="00FA2394">
        <w:t xml:space="preserve"> </w:t>
      </w:r>
      <w:r w:rsidR="006A6ABB" w:rsidRPr="00FA2394">
        <w:tab/>
        <w:t>Federal Register, Vol. 76, No. 13, January 20, 2011.</w:t>
      </w:r>
    </w:p>
    <w:p w:rsidR="006A6ABB" w:rsidRPr="00FA2394" w:rsidRDefault="006A6ABB" w:rsidP="006A6ABB">
      <w:pPr>
        <w:pStyle w:val="FootnoteText"/>
      </w:pPr>
    </w:p>
  </w:footnote>
  <w:footnote w:id="19">
    <w:p w:rsidR="006A6ABB" w:rsidRDefault="00592FAE" w:rsidP="006A6ABB">
      <w:pPr>
        <w:pStyle w:val="FootnoteText"/>
      </w:pPr>
      <w:r>
        <w:tab/>
      </w:r>
      <w:r w:rsidR="006A6ABB" w:rsidRPr="003C009E">
        <w:rPr>
          <w:rStyle w:val="FootnoteReference"/>
        </w:rPr>
        <w:footnoteRef/>
      </w:r>
      <w:r w:rsidR="006A6ABB" w:rsidRPr="003C009E">
        <w:t xml:space="preserve"> </w:t>
      </w:r>
      <w:r w:rsidR="006A6ABB" w:rsidRPr="003C009E">
        <w:tab/>
      </w:r>
      <w:proofErr w:type="gramStart"/>
      <w:r w:rsidR="006A6ABB" w:rsidRPr="003C009E">
        <w:t>66 Pa. C.S. § 1405(b).</w:t>
      </w:r>
      <w:proofErr w:type="gramEnd"/>
    </w:p>
    <w:p w:rsidR="006A6ABB" w:rsidRPr="003C009E" w:rsidRDefault="006A6ABB" w:rsidP="006A6ABB">
      <w:pPr>
        <w:pStyle w:val="FootnoteText"/>
      </w:pPr>
    </w:p>
  </w:footnote>
  <w:footnote w:id="20">
    <w:p w:rsidR="006A6ABB" w:rsidRDefault="00592FAE" w:rsidP="006A6ABB">
      <w:pPr>
        <w:pStyle w:val="FootnoteText"/>
      </w:pPr>
      <w:r>
        <w:tab/>
      </w:r>
      <w:r w:rsidR="006A6ABB" w:rsidRPr="003C009E">
        <w:rPr>
          <w:rStyle w:val="FootnoteReference"/>
        </w:rPr>
        <w:footnoteRef/>
      </w:r>
      <w:r w:rsidR="006A6ABB" w:rsidRPr="003C009E">
        <w:t xml:space="preserve"> </w:t>
      </w:r>
      <w:r w:rsidR="006A6ABB" w:rsidRPr="003C009E">
        <w:tab/>
        <w:t xml:space="preserve"> </w:t>
      </w:r>
      <w:r w:rsidR="006A6ABB" w:rsidRPr="003C009E">
        <w:rPr>
          <w:i/>
        </w:rPr>
        <w:t>E.g.</w:t>
      </w:r>
      <w:proofErr w:type="gramStart"/>
      <w:r w:rsidR="006A6ABB" w:rsidRPr="003C009E">
        <w:rPr>
          <w:i/>
        </w:rPr>
        <w:t xml:space="preserve">, </w:t>
      </w:r>
      <w:r w:rsidR="006A6ABB" w:rsidRPr="003C009E">
        <w:t xml:space="preserve"> </w:t>
      </w:r>
      <w:proofErr w:type="spellStart"/>
      <w:r w:rsidR="006A6ABB" w:rsidRPr="003C009E">
        <w:rPr>
          <w:i/>
        </w:rPr>
        <w:t>Scaccia</w:t>
      </w:r>
      <w:proofErr w:type="spellEnd"/>
      <w:proofErr w:type="gramEnd"/>
      <w:r w:rsidR="006A6ABB" w:rsidRPr="003C009E">
        <w:rPr>
          <w:i/>
        </w:rPr>
        <w:t xml:space="preserve"> v. West Penn Power Co.</w:t>
      </w:r>
      <w:r w:rsidR="006A6ABB" w:rsidRPr="003C009E">
        <w:t>, 55 PUC 637 (1982)</w:t>
      </w:r>
      <w:r w:rsidR="00A130CF">
        <w:t xml:space="preserve"> </w:t>
      </w:r>
      <w:r w:rsidR="006A6ABB" w:rsidRPr="003C009E">
        <w:t>(holding that a public utility is entitled to payment for services provided to customers).</w:t>
      </w:r>
    </w:p>
    <w:p w:rsidR="006A6ABB" w:rsidRPr="003C009E" w:rsidRDefault="006A6ABB" w:rsidP="006A6AB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7662838"/>
    <w:lvl w:ilvl="0">
      <w:start w:val="1"/>
      <w:numFmt w:val="decimal"/>
      <w:pStyle w:val="ListNumber"/>
      <w:lvlText w:val="%1."/>
      <w:lvlJc w:val="left"/>
      <w:pPr>
        <w:tabs>
          <w:tab w:val="num" w:pos="360"/>
        </w:tabs>
        <w:ind w:left="360" w:hanging="360"/>
      </w:pPr>
    </w:lvl>
  </w:abstractNum>
  <w:abstractNum w:abstractNumId="1">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C33F0"/>
    <w:multiLevelType w:val="hybridMultilevel"/>
    <w:tmpl w:val="5B4E3BF8"/>
    <w:lvl w:ilvl="0" w:tplc="0A90888A">
      <w:start w:val="1"/>
      <w:numFmt w:val="decimal"/>
      <w:pStyle w:val="StyleListParagraph12ptLinespacing15line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AB1600"/>
    <w:multiLevelType w:val="hybridMultilevel"/>
    <w:tmpl w:val="874283D0"/>
    <w:lvl w:ilvl="0" w:tplc="61988D6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38869B3"/>
    <w:multiLevelType w:val="hybridMultilevel"/>
    <w:tmpl w:val="048EFC0E"/>
    <w:lvl w:ilvl="0" w:tplc="9FA885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34C1E"/>
    <w:multiLevelType w:val="hybridMultilevel"/>
    <w:tmpl w:val="2C066412"/>
    <w:lvl w:ilvl="0" w:tplc="3FCA947C">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5B2A33A9"/>
    <w:multiLevelType w:val="multilevel"/>
    <w:tmpl w:val="55B21D0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abstractNum>
  <w:abstractNum w:abstractNumId="8">
    <w:nsid w:val="798704F2"/>
    <w:multiLevelType w:val="hybridMultilevel"/>
    <w:tmpl w:val="430226EC"/>
    <w:name w:val="zzmpPleading1||Pleading1 |2|1|1|1|0|45||1|0|36||1|0|32||1|0|32||1|0|32||1|0|32||1|0|32||1|0|32||1|0|32||"/>
    <w:lvl w:ilvl="0" w:tplc="7A686134">
      <w:start w:val="1"/>
      <w:numFmt w:val="decimal"/>
      <w:lvlText w:val="%1."/>
      <w:lvlJc w:val="left"/>
      <w:pPr>
        <w:ind w:left="3240" w:hanging="360"/>
      </w:pPr>
    </w:lvl>
    <w:lvl w:ilvl="1" w:tplc="64D26902" w:tentative="1">
      <w:start w:val="1"/>
      <w:numFmt w:val="lowerLetter"/>
      <w:lvlText w:val="%2."/>
      <w:lvlJc w:val="left"/>
      <w:pPr>
        <w:ind w:left="3960" w:hanging="360"/>
      </w:pPr>
    </w:lvl>
    <w:lvl w:ilvl="2" w:tplc="06649CD0" w:tentative="1">
      <w:start w:val="1"/>
      <w:numFmt w:val="lowerRoman"/>
      <w:lvlText w:val="%3."/>
      <w:lvlJc w:val="right"/>
      <w:pPr>
        <w:ind w:left="4680" w:hanging="180"/>
      </w:pPr>
    </w:lvl>
    <w:lvl w:ilvl="3" w:tplc="41FE40CE" w:tentative="1">
      <w:start w:val="1"/>
      <w:numFmt w:val="decimal"/>
      <w:lvlText w:val="%4."/>
      <w:lvlJc w:val="left"/>
      <w:pPr>
        <w:ind w:left="5400" w:hanging="360"/>
      </w:pPr>
    </w:lvl>
    <w:lvl w:ilvl="4" w:tplc="7C02D63C" w:tentative="1">
      <w:start w:val="1"/>
      <w:numFmt w:val="lowerLetter"/>
      <w:lvlText w:val="%5."/>
      <w:lvlJc w:val="left"/>
      <w:pPr>
        <w:ind w:left="6120" w:hanging="360"/>
      </w:pPr>
    </w:lvl>
    <w:lvl w:ilvl="5" w:tplc="7C485B18" w:tentative="1">
      <w:start w:val="1"/>
      <w:numFmt w:val="lowerRoman"/>
      <w:lvlText w:val="%6."/>
      <w:lvlJc w:val="right"/>
      <w:pPr>
        <w:ind w:left="6840" w:hanging="180"/>
      </w:pPr>
    </w:lvl>
    <w:lvl w:ilvl="6" w:tplc="06D6962C" w:tentative="1">
      <w:start w:val="1"/>
      <w:numFmt w:val="decimal"/>
      <w:lvlText w:val="%7."/>
      <w:lvlJc w:val="left"/>
      <w:pPr>
        <w:ind w:left="7560" w:hanging="360"/>
      </w:pPr>
    </w:lvl>
    <w:lvl w:ilvl="7" w:tplc="88521518" w:tentative="1">
      <w:start w:val="1"/>
      <w:numFmt w:val="lowerLetter"/>
      <w:lvlText w:val="%8."/>
      <w:lvlJc w:val="left"/>
      <w:pPr>
        <w:ind w:left="8280" w:hanging="360"/>
      </w:pPr>
    </w:lvl>
    <w:lvl w:ilvl="8" w:tplc="869C7DA2" w:tentative="1">
      <w:start w:val="1"/>
      <w:numFmt w:val="lowerRoman"/>
      <w:lvlText w:val="%9."/>
      <w:lvlJc w:val="right"/>
      <w:pPr>
        <w:ind w:left="9000" w:hanging="180"/>
      </w:pPr>
    </w:lvl>
  </w:abstractNum>
  <w:num w:numId="1">
    <w:abstractNumId w:val="2"/>
  </w:num>
  <w:num w:numId="2">
    <w:abstractNumId w:val="1"/>
  </w:num>
  <w:num w:numId="3">
    <w:abstractNumId w:val="5"/>
  </w:num>
  <w:num w:numId="4">
    <w:abstractNumId w:val="6"/>
  </w:num>
  <w:num w:numId="5">
    <w:abstractNumId w:val="8"/>
  </w:num>
  <w:num w:numId="6">
    <w:abstractNumId w:val="7"/>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D64"/>
    <w:rsid w:val="00000FF5"/>
    <w:rsid w:val="0001124B"/>
    <w:rsid w:val="0001297E"/>
    <w:rsid w:val="00015065"/>
    <w:rsid w:val="0001597C"/>
    <w:rsid w:val="00023638"/>
    <w:rsid w:val="00036C6D"/>
    <w:rsid w:val="000437A0"/>
    <w:rsid w:val="00055BAD"/>
    <w:rsid w:val="000610CD"/>
    <w:rsid w:val="0007317F"/>
    <w:rsid w:val="00083F2E"/>
    <w:rsid w:val="000863BB"/>
    <w:rsid w:val="0008685B"/>
    <w:rsid w:val="00090258"/>
    <w:rsid w:val="00091068"/>
    <w:rsid w:val="00091509"/>
    <w:rsid w:val="000A15DB"/>
    <w:rsid w:val="000A339B"/>
    <w:rsid w:val="000B44E4"/>
    <w:rsid w:val="000C2755"/>
    <w:rsid w:val="000C2C16"/>
    <w:rsid w:val="000C55DE"/>
    <w:rsid w:val="000D3668"/>
    <w:rsid w:val="000D4B38"/>
    <w:rsid w:val="000D4FEF"/>
    <w:rsid w:val="000D67FD"/>
    <w:rsid w:val="000E0263"/>
    <w:rsid w:val="000F7742"/>
    <w:rsid w:val="00103967"/>
    <w:rsid w:val="001050F9"/>
    <w:rsid w:val="00105B01"/>
    <w:rsid w:val="0010637D"/>
    <w:rsid w:val="001169EA"/>
    <w:rsid w:val="00120592"/>
    <w:rsid w:val="00122C66"/>
    <w:rsid w:val="0012503E"/>
    <w:rsid w:val="001310B9"/>
    <w:rsid w:val="001337BF"/>
    <w:rsid w:val="001375AF"/>
    <w:rsid w:val="001413A2"/>
    <w:rsid w:val="001429E4"/>
    <w:rsid w:val="00144E27"/>
    <w:rsid w:val="00146F7F"/>
    <w:rsid w:val="001529F7"/>
    <w:rsid w:val="00155A74"/>
    <w:rsid w:val="0016449B"/>
    <w:rsid w:val="001837A1"/>
    <w:rsid w:val="001905C6"/>
    <w:rsid w:val="00192509"/>
    <w:rsid w:val="001945B1"/>
    <w:rsid w:val="001A21E9"/>
    <w:rsid w:val="001A4218"/>
    <w:rsid w:val="001B03C8"/>
    <w:rsid w:val="001B176C"/>
    <w:rsid w:val="001B7189"/>
    <w:rsid w:val="001C051F"/>
    <w:rsid w:val="001C102B"/>
    <w:rsid w:val="001C34AC"/>
    <w:rsid w:val="001D1DD6"/>
    <w:rsid w:val="001E2D14"/>
    <w:rsid w:val="001E2E94"/>
    <w:rsid w:val="001E4DAF"/>
    <w:rsid w:val="001F0F09"/>
    <w:rsid w:val="00207814"/>
    <w:rsid w:val="0021039D"/>
    <w:rsid w:val="00214485"/>
    <w:rsid w:val="0022168C"/>
    <w:rsid w:val="00230F7F"/>
    <w:rsid w:val="002326C8"/>
    <w:rsid w:val="00240673"/>
    <w:rsid w:val="0024243A"/>
    <w:rsid w:val="00246040"/>
    <w:rsid w:val="002522D4"/>
    <w:rsid w:val="00253CF9"/>
    <w:rsid w:val="002676FF"/>
    <w:rsid w:val="00272ABD"/>
    <w:rsid w:val="0028123B"/>
    <w:rsid w:val="002A634F"/>
    <w:rsid w:val="002B5A13"/>
    <w:rsid w:val="002C4338"/>
    <w:rsid w:val="002C7BDE"/>
    <w:rsid w:val="002D0C73"/>
    <w:rsid w:val="002D6283"/>
    <w:rsid w:val="002E27F0"/>
    <w:rsid w:val="002E6068"/>
    <w:rsid w:val="00303A0A"/>
    <w:rsid w:val="00317BD9"/>
    <w:rsid w:val="003335F7"/>
    <w:rsid w:val="00341861"/>
    <w:rsid w:val="00345EC4"/>
    <w:rsid w:val="00350632"/>
    <w:rsid w:val="00351E8B"/>
    <w:rsid w:val="00355EA7"/>
    <w:rsid w:val="003560A8"/>
    <w:rsid w:val="00357ED9"/>
    <w:rsid w:val="003763E0"/>
    <w:rsid w:val="00376808"/>
    <w:rsid w:val="003857A1"/>
    <w:rsid w:val="00396E05"/>
    <w:rsid w:val="003A1B83"/>
    <w:rsid w:val="003A41DA"/>
    <w:rsid w:val="003A79AB"/>
    <w:rsid w:val="003C10B2"/>
    <w:rsid w:val="003C3039"/>
    <w:rsid w:val="003C3A97"/>
    <w:rsid w:val="003C7C56"/>
    <w:rsid w:val="003D284F"/>
    <w:rsid w:val="003D5372"/>
    <w:rsid w:val="003E0746"/>
    <w:rsid w:val="003F3C6F"/>
    <w:rsid w:val="003F6452"/>
    <w:rsid w:val="00404BB0"/>
    <w:rsid w:val="00404CFD"/>
    <w:rsid w:val="00413370"/>
    <w:rsid w:val="00416C25"/>
    <w:rsid w:val="0041757F"/>
    <w:rsid w:val="004229FB"/>
    <w:rsid w:val="004270FC"/>
    <w:rsid w:val="00427DD7"/>
    <w:rsid w:val="00437C6C"/>
    <w:rsid w:val="00443033"/>
    <w:rsid w:val="00443DD5"/>
    <w:rsid w:val="00444146"/>
    <w:rsid w:val="00461358"/>
    <w:rsid w:val="00470A03"/>
    <w:rsid w:val="0048765A"/>
    <w:rsid w:val="00491DB0"/>
    <w:rsid w:val="00496C77"/>
    <w:rsid w:val="004B7DCB"/>
    <w:rsid w:val="004C00F7"/>
    <w:rsid w:val="004C509C"/>
    <w:rsid w:val="004D1F03"/>
    <w:rsid w:val="004D3935"/>
    <w:rsid w:val="004D7BCA"/>
    <w:rsid w:val="004E174F"/>
    <w:rsid w:val="004E323B"/>
    <w:rsid w:val="004E7ABB"/>
    <w:rsid w:val="00501D89"/>
    <w:rsid w:val="00502C0C"/>
    <w:rsid w:val="0051125D"/>
    <w:rsid w:val="00512D0B"/>
    <w:rsid w:val="00516A01"/>
    <w:rsid w:val="00521712"/>
    <w:rsid w:val="005221D7"/>
    <w:rsid w:val="00522979"/>
    <w:rsid w:val="00535E8C"/>
    <w:rsid w:val="00540E48"/>
    <w:rsid w:val="00541D97"/>
    <w:rsid w:val="005425B0"/>
    <w:rsid w:val="0054772F"/>
    <w:rsid w:val="00560D36"/>
    <w:rsid w:val="005614F5"/>
    <w:rsid w:val="00564DC5"/>
    <w:rsid w:val="005724EB"/>
    <w:rsid w:val="00572B83"/>
    <w:rsid w:val="005843DF"/>
    <w:rsid w:val="005913C3"/>
    <w:rsid w:val="00592FAE"/>
    <w:rsid w:val="00594CBA"/>
    <w:rsid w:val="005A2083"/>
    <w:rsid w:val="005A312C"/>
    <w:rsid w:val="005A62B6"/>
    <w:rsid w:val="005B0567"/>
    <w:rsid w:val="005B5FE1"/>
    <w:rsid w:val="005D28CA"/>
    <w:rsid w:val="005E0F71"/>
    <w:rsid w:val="005E483C"/>
    <w:rsid w:val="005F2EBA"/>
    <w:rsid w:val="005F5E4D"/>
    <w:rsid w:val="005F6194"/>
    <w:rsid w:val="0060682A"/>
    <w:rsid w:val="00611926"/>
    <w:rsid w:val="00611CC3"/>
    <w:rsid w:val="00617E16"/>
    <w:rsid w:val="00622E30"/>
    <w:rsid w:val="00630551"/>
    <w:rsid w:val="00641549"/>
    <w:rsid w:val="0065080A"/>
    <w:rsid w:val="00656869"/>
    <w:rsid w:val="00657CF3"/>
    <w:rsid w:val="006602A5"/>
    <w:rsid w:val="006629ED"/>
    <w:rsid w:val="00662BC4"/>
    <w:rsid w:val="00673B7D"/>
    <w:rsid w:val="006772F0"/>
    <w:rsid w:val="00681321"/>
    <w:rsid w:val="006840FF"/>
    <w:rsid w:val="00686C47"/>
    <w:rsid w:val="00687C61"/>
    <w:rsid w:val="00696D25"/>
    <w:rsid w:val="006A6ABB"/>
    <w:rsid w:val="006C04DC"/>
    <w:rsid w:val="006D47EB"/>
    <w:rsid w:val="006D5C0F"/>
    <w:rsid w:val="006D741B"/>
    <w:rsid w:val="006E7356"/>
    <w:rsid w:val="006F363F"/>
    <w:rsid w:val="006F66D2"/>
    <w:rsid w:val="006F75EE"/>
    <w:rsid w:val="006F78AD"/>
    <w:rsid w:val="0070171B"/>
    <w:rsid w:val="00702CAA"/>
    <w:rsid w:val="00711324"/>
    <w:rsid w:val="00715495"/>
    <w:rsid w:val="00721434"/>
    <w:rsid w:val="00724CC5"/>
    <w:rsid w:val="00732B9E"/>
    <w:rsid w:val="00737210"/>
    <w:rsid w:val="00741B94"/>
    <w:rsid w:val="00743EFC"/>
    <w:rsid w:val="0074525C"/>
    <w:rsid w:val="0075143F"/>
    <w:rsid w:val="00755A99"/>
    <w:rsid w:val="0076730C"/>
    <w:rsid w:val="00774973"/>
    <w:rsid w:val="0078002A"/>
    <w:rsid w:val="00782F5D"/>
    <w:rsid w:val="007A4346"/>
    <w:rsid w:val="007A7E94"/>
    <w:rsid w:val="007B02A3"/>
    <w:rsid w:val="007C3513"/>
    <w:rsid w:val="007C4DCD"/>
    <w:rsid w:val="007D3E43"/>
    <w:rsid w:val="007E44F4"/>
    <w:rsid w:val="007E59FD"/>
    <w:rsid w:val="007F0CEF"/>
    <w:rsid w:val="007F5BAB"/>
    <w:rsid w:val="008024E7"/>
    <w:rsid w:val="00802D4A"/>
    <w:rsid w:val="008230AA"/>
    <w:rsid w:val="00823844"/>
    <w:rsid w:val="00825B08"/>
    <w:rsid w:val="00831834"/>
    <w:rsid w:val="008348AD"/>
    <w:rsid w:val="008539B0"/>
    <w:rsid w:val="00855EE7"/>
    <w:rsid w:val="008646FB"/>
    <w:rsid w:val="0086640D"/>
    <w:rsid w:val="0086782E"/>
    <w:rsid w:val="00867DE5"/>
    <w:rsid w:val="008712E3"/>
    <w:rsid w:val="00887FCD"/>
    <w:rsid w:val="008901EE"/>
    <w:rsid w:val="00890CE3"/>
    <w:rsid w:val="00896515"/>
    <w:rsid w:val="008A356F"/>
    <w:rsid w:val="008B4037"/>
    <w:rsid w:val="008C6598"/>
    <w:rsid w:val="008C65E2"/>
    <w:rsid w:val="008C74C9"/>
    <w:rsid w:val="008E081B"/>
    <w:rsid w:val="008E37C7"/>
    <w:rsid w:val="008E4522"/>
    <w:rsid w:val="008F0A29"/>
    <w:rsid w:val="008F5457"/>
    <w:rsid w:val="009016BE"/>
    <w:rsid w:val="00911CE8"/>
    <w:rsid w:val="00914542"/>
    <w:rsid w:val="0092169E"/>
    <w:rsid w:val="00925CB9"/>
    <w:rsid w:val="00927ED9"/>
    <w:rsid w:val="00941A50"/>
    <w:rsid w:val="009475FB"/>
    <w:rsid w:val="009501EC"/>
    <w:rsid w:val="009503C8"/>
    <w:rsid w:val="00955913"/>
    <w:rsid w:val="00955CF8"/>
    <w:rsid w:val="00956EDE"/>
    <w:rsid w:val="00957F34"/>
    <w:rsid w:val="00961C4B"/>
    <w:rsid w:val="00970434"/>
    <w:rsid w:val="00974C25"/>
    <w:rsid w:val="00975F23"/>
    <w:rsid w:val="00985630"/>
    <w:rsid w:val="009A02EE"/>
    <w:rsid w:val="009A4582"/>
    <w:rsid w:val="009A46E7"/>
    <w:rsid w:val="009A54B4"/>
    <w:rsid w:val="009B38D3"/>
    <w:rsid w:val="009C44A8"/>
    <w:rsid w:val="009C4751"/>
    <w:rsid w:val="009C6F44"/>
    <w:rsid w:val="009E0192"/>
    <w:rsid w:val="009E5506"/>
    <w:rsid w:val="009E7330"/>
    <w:rsid w:val="009E7E70"/>
    <w:rsid w:val="009F0116"/>
    <w:rsid w:val="009F03B9"/>
    <w:rsid w:val="009F1F55"/>
    <w:rsid w:val="009F2FA4"/>
    <w:rsid w:val="009F57C0"/>
    <w:rsid w:val="00A0161B"/>
    <w:rsid w:val="00A07AA1"/>
    <w:rsid w:val="00A12AF6"/>
    <w:rsid w:val="00A13013"/>
    <w:rsid w:val="00A130CF"/>
    <w:rsid w:val="00A17F02"/>
    <w:rsid w:val="00A2078D"/>
    <w:rsid w:val="00A21414"/>
    <w:rsid w:val="00A2234C"/>
    <w:rsid w:val="00A2289C"/>
    <w:rsid w:val="00A27267"/>
    <w:rsid w:val="00A27E30"/>
    <w:rsid w:val="00A334C3"/>
    <w:rsid w:val="00A35649"/>
    <w:rsid w:val="00A367CD"/>
    <w:rsid w:val="00A368EC"/>
    <w:rsid w:val="00A40037"/>
    <w:rsid w:val="00A42E20"/>
    <w:rsid w:val="00A46D93"/>
    <w:rsid w:val="00A47DC6"/>
    <w:rsid w:val="00A52D68"/>
    <w:rsid w:val="00A53A53"/>
    <w:rsid w:val="00A54AF7"/>
    <w:rsid w:val="00A566DD"/>
    <w:rsid w:val="00A60413"/>
    <w:rsid w:val="00A654DC"/>
    <w:rsid w:val="00A72287"/>
    <w:rsid w:val="00A7357D"/>
    <w:rsid w:val="00A74D0D"/>
    <w:rsid w:val="00A76192"/>
    <w:rsid w:val="00A808E2"/>
    <w:rsid w:val="00A82D57"/>
    <w:rsid w:val="00A95553"/>
    <w:rsid w:val="00A96847"/>
    <w:rsid w:val="00AA1F58"/>
    <w:rsid w:val="00AA7F67"/>
    <w:rsid w:val="00AB0727"/>
    <w:rsid w:val="00AB1B9E"/>
    <w:rsid w:val="00AB3996"/>
    <w:rsid w:val="00AB42BD"/>
    <w:rsid w:val="00AC4EA7"/>
    <w:rsid w:val="00AC7910"/>
    <w:rsid w:val="00AD2CFB"/>
    <w:rsid w:val="00AD373A"/>
    <w:rsid w:val="00AD41BC"/>
    <w:rsid w:val="00B03564"/>
    <w:rsid w:val="00B06D1E"/>
    <w:rsid w:val="00B07D49"/>
    <w:rsid w:val="00B07E03"/>
    <w:rsid w:val="00B24D1E"/>
    <w:rsid w:val="00B313B2"/>
    <w:rsid w:val="00B4153D"/>
    <w:rsid w:val="00B4281E"/>
    <w:rsid w:val="00B5241F"/>
    <w:rsid w:val="00B611A1"/>
    <w:rsid w:val="00B626DC"/>
    <w:rsid w:val="00B64091"/>
    <w:rsid w:val="00B778C0"/>
    <w:rsid w:val="00B8235C"/>
    <w:rsid w:val="00B86ADE"/>
    <w:rsid w:val="00B92D60"/>
    <w:rsid w:val="00BA3A30"/>
    <w:rsid w:val="00BA7659"/>
    <w:rsid w:val="00BA7E2A"/>
    <w:rsid w:val="00BB17C0"/>
    <w:rsid w:val="00BB1F1F"/>
    <w:rsid w:val="00BC2185"/>
    <w:rsid w:val="00BD3F16"/>
    <w:rsid w:val="00BD4B9C"/>
    <w:rsid w:val="00BE16A5"/>
    <w:rsid w:val="00BE1EEA"/>
    <w:rsid w:val="00BE2F5B"/>
    <w:rsid w:val="00BE35B5"/>
    <w:rsid w:val="00BE6195"/>
    <w:rsid w:val="00BE6D1F"/>
    <w:rsid w:val="00BF3E49"/>
    <w:rsid w:val="00BF5020"/>
    <w:rsid w:val="00BF67BB"/>
    <w:rsid w:val="00C0296B"/>
    <w:rsid w:val="00C07890"/>
    <w:rsid w:val="00C1077D"/>
    <w:rsid w:val="00C1117D"/>
    <w:rsid w:val="00C1530F"/>
    <w:rsid w:val="00C23AE5"/>
    <w:rsid w:val="00C27062"/>
    <w:rsid w:val="00C27D05"/>
    <w:rsid w:val="00C3344B"/>
    <w:rsid w:val="00C336BD"/>
    <w:rsid w:val="00C33875"/>
    <w:rsid w:val="00C378B1"/>
    <w:rsid w:val="00C50177"/>
    <w:rsid w:val="00C54937"/>
    <w:rsid w:val="00C571CA"/>
    <w:rsid w:val="00C578F6"/>
    <w:rsid w:val="00C64975"/>
    <w:rsid w:val="00C730D6"/>
    <w:rsid w:val="00C829F5"/>
    <w:rsid w:val="00C84388"/>
    <w:rsid w:val="00C940A5"/>
    <w:rsid w:val="00CA51C1"/>
    <w:rsid w:val="00CA7D87"/>
    <w:rsid w:val="00CC0040"/>
    <w:rsid w:val="00CC274A"/>
    <w:rsid w:val="00CC54BC"/>
    <w:rsid w:val="00CD1821"/>
    <w:rsid w:val="00CF413B"/>
    <w:rsid w:val="00CF4243"/>
    <w:rsid w:val="00CF4D64"/>
    <w:rsid w:val="00CF503C"/>
    <w:rsid w:val="00CF584A"/>
    <w:rsid w:val="00D06B3C"/>
    <w:rsid w:val="00D11993"/>
    <w:rsid w:val="00D218FF"/>
    <w:rsid w:val="00D302C2"/>
    <w:rsid w:val="00D30CF0"/>
    <w:rsid w:val="00D40023"/>
    <w:rsid w:val="00D430C9"/>
    <w:rsid w:val="00D4716F"/>
    <w:rsid w:val="00D51307"/>
    <w:rsid w:val="00D528C3"/>
    <w:rsid w:val="00D6049F"/>
    <w:rsid w:val="00D6156D"/>
    <w:rsid w:val="00D6201F"/>
    <w:rsid w:val="00D7482E"/>
    <w:rsid w:val="00D75FED"/>
    <w:rsid w:val="00D8033D"/>
    <w:rsid w:val="00D82772"/>
    <w:rsid w:val="00D82814"/>
    <w:rsid w:val="00D85AA2"/>
    <w:rsid w:val="00D86D67"/>
    <w:rsid w:val="00D87121"/>
    <w:rsid w:val="00D93BF1"/>
    <w:rsid w:val="00D94619"/>
    <w:rsid w:val="00D95DD4"/>
    <w:rsid w:val="00DB0597"/>
    <w:rsid w:val="00DB0D71"/>
    <w:rsid w:val="00DC4DDA"/>
    <w:rsid w:val="00DC7B3E"/>
    <w:rsid w:val="00DD3811"/>
    <w:rsid w:val="00DD436D"/>
    <w:rsid w:val="00DD491F"/>
    <w:rsid w:val="00DD79C6"/>
    <w:rsid w:val="00DE0833"/>
    <w:rsid w:val="00DE63ED"/>
    <w:rsid w:val="00DE6F43"/>
    <w:rsid w:val="00DF68B2"/>
    <w:rsid w:val="00DF7283"/>
    <w:rsid w:val="00E123A4"/>
    <w:rsid w:val="00E152AC"/>
    <w:rsid w:val="00E164CE"/>
    <w:rsid w:val="00E24D16"/>
    <w:rsid w:val="00E277D1"/>
    <w:rsid w:val="00E41FF0"/>
    <w:rsid w:val="00E444DD"/>
    <w:rsid w:val="00E45BC0"/>
    <w:rsid w:val="00E529BE"/>
    <w:rsid w:val="00E61541"/>
    <w:rsid w:val="00E63C6B"/>
    <w:rsid w:val="00E6747D"/>
    <w:rsid w:val="00E7378C"/>
    <w:rsid w:val="00E80C9D"/>
    <w:rsid w:val="00E83162"/>
    <w:rsid w:val="00E85D64"/>
    <w:rsid w:val="00E948FD"/>
    <w:rsid w:val="00EA22C1"/>
    <w:rsid w:val="00EA58A8"/>
    <w:rsid w:val="00EB68DB"/>
    <w:rsid w:val="00EC6592"/>
    <w:rsid w:val="00EC7305"/>
    <w:rsid w:val="00ED0502"/>
    <w:rsid w:val="00ED0B1D"/>
    <w:rsid w:val="00ED2512"/>
    <w:rsid w:val="00ED6696"/>
    <w:rsid w:val="00ED6888"/>
    <w:rsid w:val="00EE2EAA"/>
    <w:rsid w:val="00EF7B3D"/>
    <w:rsid w:val="00F02536"/>
    <w:rsid w:val="00F10C36"/>
    <w:rsid w:val="00F14F89"/>
    <w:rsid w:val="00F32AFA"/>
    <w:rsid w:val="00F348F9"/>
    <w:rsid w:val="00F4646E"/>
    <w:rsid w:val="00F576D6"/>
    <w:rsid w:val="00F629C1"/>
    <w:rsid w:val="00F7740B"/>
    <w:rsid w:val="00F82022"/>
    <w:rsid w:val="00F85A41"/>
    <w:rsid w:val="00F92A4F"/>
    <w:rsid w:val="00F92FCA"/>
    <w:rsid w:val="00F93D90"/>
    <w:rsid w:val="00FA16D5"/>
    <w:rsid w:val="00FA5F25"/>
    <w:rsid w:val="00FA6164"/>
    <w:rsid w:val="00FA74CE"/>
    <w:rsid w:val="00FB0200"/>
    <w:rsid w:val="00FB7B50"/>
    <w:rsid w:val="00FC29DE"/>
    <w:rsid w:val="00FC49F7"/>
    <w:rsid w:val="00FE2DBB"/>
    <w:rsid w:val="00FE4C2F"/>
    <w:rsid w:val="00FE79D5"/>
    <w:rsid w:val="00FF306F"/>
    <w:rsid w:val="00FF45A2"/>
    <w:rsid w:val="00FF50F4"/>
    <w:rsid w:val="00FF5162"/>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uiPriority w:val="99"/>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186209296">
      <w:bodyDiv w:val="1"/>
      <w:marLeft w:val="0"/>
      <w:marRight w:val="0"/>
      <w:marTop w:val="0"/>
      <w:marBottom w:val="0"/>
      <w:divBdr>
        <w:top w:val="none" w:sz="0" w:space="0" w:color="auto"/>
        <w:left w:val="none" w:sz="0" w:space="0" w:color="auto"/>
        <w:bottom w:val="none" w:sz="0" w:space="0" w:color="auto"/>
        <w:right w:val="none" w:sz="0" w:space="0" w:color="auto"/>
      </w:divBdr>
    </w:div>
    <w:div w:id="142529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893A-2232-442E-B333-F3A86D27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Long</dc:creator>
  <cp:keywords/>
  <dc:description/>
  <cp:lastModifiedBy>shoffner</cp:lastModifiedBy>
  <cp:revision>8</cp:revision>
  <cp:lastPrinted>2011-10-27T17:34:00Z</cp:lastPrinted>
  <dcterms:created xsi:type="dcterms:W3CDTF">2011-10-14T17:15:00Z</dcterms:created>
  <dcterms:modified xsi:type="dcterms:W3CDTF">2011-10-27T17:34:00Z</dcterms:modified>
</cp:coreProperties>
</file>