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CB7C08">
      <w:pPr>
        <w:jc w:val="right"/>
        <w:rPr>
          <w:sz w:val="26"/>
          <w:szCs w:val="26"/>
        </w:rPr>
      </w:pPr>
      <w:r>
        <w:rPr>
          <w:sz w:val="26"/>
          <w:szCs w:val="26"/>
        </w:rPr>
        <w:t xml:space="preserve"> </w:t>
      </w:r>
      <w:r>
        <w:rPr>
          <w:sz w:val="26"/>
          <w:szCs w:val="26"/>
        </w:rPr>
        <w:tab/>
        <w:t xml:space="preserve">       </w:t>
      </w:r>
      <w:r w:rsidR="00012A95">
        <w:rPr>
          <w:sz w:val="26"/>
          <w:szCs w:val="26"/>
        </w:rPr>
        <w:t xml:space="preserve">  </w:t>
      </w:r>
      <w:r w:rsidR="00CB7C08">
        <w:rPr>
          <w:sz w:val="26"/>
          <w:szCs w:val="26"/>
        </w:rPr>
        <w:t xml:space="preserve">    </w:t>
      </w:r>
      <w:r w:rsidR="009304FE">
        <w:rPr>
          <w:sz w:val="26"/>
          <w:szCs w:val="26"/>
        </w:rPr>
        <w:t>P</w:t>
      </w:r>
      <w:r w:rsidR="009304FE" w:rsidRPr="002A5D4B">
        <w:rPr>
          <w:sz w:val="26"/>
          <w:szCs w:val="26"/>
        </w:rPr>
        <w:t xml:space="preserve">ublic Meeting held </w:t>
      </w:r>
      <w:r w:rsidR="00AB0F2F">
        <w:rPr>
          <w:sz w:val="26"/>
          <w:szCs w:val="26"/>
        </w:rPr>
        <w:t>October 14</w:t>
      </w:r>
      <w:r>
        <w:rPr>
          <w:sz w:val="26"/>
          <w:szCs w:val="26"/>
        </w:rPr>
        <w:t xml:space="preserve">, 2011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847CD0">
        <w:rPr>
          <w:sz w:val="26"/>
          <w:szCs w:val="26"/>
        </w:rPr>
        <w:t>Robert F. Powelson</w:t>
      </w:r>
      <w:r w:rsidRPr="002A5D4B">
        <w:rPr>
          <w:sz w:val="26"/>
          <w:szCs w:val="26"/>
        </w:rPr>
        <w:t>, Chairman</w:t>
      </w:r>
    </w:p>
    <w:p w:rsidR="009304FE" w:rsidRDefault="009304FE" w:rsidP="009304FE">
      <w:pPr>
        <w:rPr>
          <w:sz w:val="26"/>
          <w:szCs w:val="26"/>
        </w:rPr>
      </w:pPr>
      <w:r>
        <w:rPr>
          <w:sz w:val="26"/>
          <w:szCs w:val="26"/>
        </w:rPr>
        <w:tab/>
      </w:r>
      <w:r w:rsidR="00847CD0">
        <w:rPr>
          <w:sz w:val="26"/>
          <w:szCs w:val="26"/>
        </w:rPr>
        <w:t>John F. Coleman, Jr.</w:t>
      </w:r>
      <w:r w:rsidRPr="002A5D4B">
        <w:rPr>
          <w:sz w:val="26"/>
          <w:szCs w:val="26"/>
        </w:rPr>
        <w:t>, Vice Chairman</w:t>
      </w:r>
    </w:p>
    <w:p w:rsidR="009304FE" w:rsidRPr="002A5D4B" w:rsidRDefault="001C7F88" w:rsidP="009304FE">
      <w:pPr>
        <w:rPr>
          <w:sz w:val="26"/>
          <w:szCs w:val="26"/>
        </w:rPr>
      </w:pPr>
      <w:r>
        <w:rPr>
          <w:sz w:val="26"/>
          <w:szCs w:val="26"/>
        </w:rPr>
        <w:tab/>
      </w:r>
      <w:r w:rsidR="009304FE">
        <w:rPr>
          <w:sz w:val="26"/>
          <w:szCs w:val="26"/>
        </w:rPr>
        <w:t>Wayne E. Gardner</w:t>
      </w:r>
    </w:p>
    <w:p w:rsidR="009304FE" w:rsidRDefault="009304FE" w:rsidP="009304FE">
      <w:pPr>
        <w:rPr>
          <w:sz w:val="26"/>
          <w:szCs w:val="26"/>
        </w:rPr>
      </w:pPr>
      <w:r w:rsidRPr="002A5D4B">
        <w:rPr>
          <w:sz w:val="26"/>
          <w:szCs w:val="26"/>
        </w:rPr>
        <w:tab/>
      </w:r>
      <w:r w:rsidR="00847CD0">
        <w:rPr>
          <w:sz w:val="26"/>
          <w:szCs w:val="26"/>
        </w:rPr>
        <w:t xml:space="preserve">James H. </w:t>
      </w:r>
      <w:proofErr w:type="spellStart"/>
      <w:r w:rsidR="00847CD0">
        <w:rPr>
          <w:sz w:val="26"/>
          <w:szCs w:val="26"/>
        </w:rPr>
        <w:t>Cawley</w:t>
      </w:r>
      <w:proofErr w:type="spellEnd"/>
      <w:r w:rsidR="00847CD0">
        <w:rPr>
          <w:sz w:val="26"/>
          <w:szCs w:val="26"/>
        </w:rPr>
        <w:t xml:space="preserve"> </w:t>
      </w:r>
      <w:r w:rsidR="004F1F04">
        <w:rPr>
          <w:sz w:val="26"/>
          <w:szCs w:val="26"/>
        </w:rPr>
        <w:t>- Absent</w:t>
      </w:r>
    </w:p>
    <w:p w:rsidR="009304FE" w:rsidRDefault="00AB0F2F" w:rsidP="009304FE">
      <w:r>
        <w:tab/>
      </w:r>
      <w:r>
        <w:rPr>
          <w:sz w:val="26"/>
        </w:rPr>
        <w:t xml:space="preserve">Pamela A. Witmer </w:t>
      </w:r>
      <w:r>
        <w:tab/>
      </w:r>
    </w:p>
    <w:p w:rsidR="00AB0F2F" w:rsidRDefault="00AB0F2F" w:rsidP="009304FE"/>
    <w:p w:rsidR="009304FE" w:rsidRDefault="009304FE" w:rsidP="009304FE"/>
    <w:p w:rsidR="00E050C0" w:rsidRPr="00E050C0" w:rsidRDefault="00E050C0" w:rsidP="00E050C0">
      <w:pPr>
        <w:tabs>
          <w:tab w:val="left" w:pos="-720"/>
          <w:tab w:val="left" w:pos="0"/>
        </w:tabs>
        <w:suppressAutoHyphens/>
        <w:rPr>
          <w:sz w:val="26"/>
          <w:szCs w:val="26"/>
        </w:rPr>
      </w:pPr>
      <w:r>
        <w:rPr>
          <w:sz w:val="26"/>
          <w:szCs w:val="26"/>
        </w:rPr>
        <w:t xml:space="preserve">A. </w:t>
      </w:r>
      <w:r w:rsidRPr="00E050C0">
        <w:rPr>
          <w:sz w:val="26"/>
          <w:szCs w:val="26"/>
        </w:rPr>
        <w:t>Moses, Inc.</w:t>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r>
      <w:r w:rsidR="009E1660">
        <w:rPr>
          <w:sz w:val="26"/>
          <w:szCs w:val="26"/>
        </w:rPr>
        <w:tab/>
        <w:t xml:space="preserve">     C-2010-2205259</w:t>
      </w:r>
    </w:p>
    <w:p w:rsidR="00E050C0" w:rsidRDefault="00E050C0" w:rsidP="00E050C0">
      <w:pPr>
        <w:tabs>
          <w:tab w:val="left" w:pos="-720"/>
          <w:tab w:val="left" w:pos="0"/>
        </w:tabs>
        <w:suppressAutoHyphens/>
        <w:rPr>
          <w:sz w:val="26"/>
          <w:szCs w:val="26"/>
        </w:rPr>
      </w:pPr>
    </w:p>
    <w:p w:rsidR="00E050C0" w:rsidRDefault="00E050C0" w:rsidP="00E050C0">
      <w:pPr>
        <w:tabs>
          <w:tab w:val="left" w:pos="-720"/>
          <w:tab w:val="left" w:pos="0"/>
        </w:tabs>
        <w:suppressAutoHyphens/>
        <w:rPr>
          <w:sz w:val="26"/>
          <w:szCs w:val="26"/>
        </w:rPr>
      </w:pPr>
      <w:r>
        <w:rPr>
          <w:sz w:val="26"/>
          <w:szCs w:val="26"/>
        </w:rPr>
        <w:tab/>
        <w:t>v.</w:t>
      </w:r>
    </w:p>
    <w:p w:rsidR="00E050C0" w:rsidRDefault="00E050C0" w:rsidP="00E050C0">
      <w:pPr>
        <w:tabs>
          <w:tab w:val="left" w:pos="-720"/>
          <w:tab w:val="left" w:pos="0"/>
        </w:tabs>
        <w:suppressAutoHyphens/>
        <w:rPr>
          <w:sz w:val="26"/>
          <w:szCs w:val="26"/>
        </w:rPr>
      </w:pPr>
    </w:p>
    <w:p w:rsidR="009304FE" w:rsidRPr="00E050C0" w:rsidRDefault="00E050C0" w:rsidP="00E050C0">
      <w:pPr>
        <w:tabs>
          <w:tab w:val="left" w:pos="-720"/>
          <w:tab w:val="left" w:pos="0"/>
        </w:tabs>
        <w:suppressAutoHyphens/>
        <w:rPr>
          <w:sz w:val="26"/>
          <w:szCs w:val="26"/>
        </w:rPr>
      </w:pPr>
      <w:r>
        <w:rPr>
          <w:sz w:val="26"/>
          <w:szCs w:val="26"/>
        </w:rPr>
        <w:t xml:space="preserve">Verizon Pennsylvania Inc.   </w:t>
      </w:r>
      <w:r w:rsidRPr="00E050C0">
        <w:rPr>
          <w:sz w:val="26"/>
          <w:szCs w:val="26"/>
        </w:rPr>
        <w:t xml:space="preserve"> </w:t>
      </w:r>
      <w:r w:rsidR="009304FE" w:rsidRPr="00E050C0">
        <w:rPr>
          <w:sz w:val="26"/>
          <w:szCs w:val="26"/>
        </w:rPr>
        <w:tab/>
      </w:r>
      <w:r w:rsidR="009304FE" w:rsidRPr="00E050C0">
        <w:rPr>
          <w:sz w:val="26"/>
          <w:szCs w:val="26"/>
        </w:rPr>
        <w:tab/>
      </w:r>
      <w:r w:rsidR="009304FE" w:rsidRPr="00E050C0">
        <w:rPr>
          <w:sz w:val="26"/>
          <w:szCs w:val="26"/>
        </w:rPr>
        <w:tab/>
      </w:r>
      <w:r w:rsidR="009304FE" w:rsidRPr="00E050C0">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7A5E2B"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AA3F68">
        <w:rPr>
          <w:sz w:val="26"/>
          <w:szCs w:val="26"/>
        </w:rPr>
        <w:t xml:space="preserve">is the Initial Decision (I.D.) of Administrative Law Judge (ALJ) Eranda Vero, issued on </w:t>
      </w:r>
      <w:r w:rsidR="00B206E5">
        <w:rPr>
          <w:sz w:val="26"/>
          <w:szCs w:val="26"/>
        </w:rPr>
        <w:t xml:space="preserve">February 15, 2011, in the above-captioned proceeding.  </w:t>
      </w:r>
      <w:r w:rsidR="00700E59">
        <w:rPr>
          <w:sz w:val="26"/>
          <w:szCs w:val="26"/>
        </w:rPr>
        <w:t xml:space="preserve">Exceptions have not been filed.  </w:t>
      </w:r>
      <w:r w:rsidR="00BE7433">
        <w:rPr>
          <w:sz w:val="26"/>
          <w:szCs w:val="26"/>
        </w:rPr>
        <w:t xml:space="preserve">However, we exercised our right to review </w:t>
      </w:r>
      <w:r w:rsidR="008B24E5">
        <w:rPr>
          <w:sz w:val="26"/>
          <w:szCs w:val="26"/>
        </w:rPr>
        <w:t xml:space="preserve">the Initial Decision pursuant to Section 332(h) of the Public Utility Code (Code), 66 Pa. C.S. </w:t>
      </w:r>
    </w:p>
    <w:p w:rsidR="0067105F" w:rsidRDefault="008B24E5" w:rsidP="0019214E">
      <w:pPr>
        <w:spacing w:line="360" w:lineRule="auto"/>
        <w:rPr>
          <w:sz w:val="26"/>
          <w:szCs w:val="26"/>
        </w:rPr>
      </w:pPr>
      <w:r>
        <w:rPr>
          <w:sz w:val="26"/>
          <w:szCs w:val="26"/>
        </w:rPr>
        <w:t xml:space="preserve">§ 332(h).  For the reasons stated below, we </w:t>
      </w:r>
      <w:r w:rsidR="00306310">
        <w:rPr>
          <w:sz w:val="26"/>
          <w:szCs w:val="26"/>
        </w:rPr>
        <w:t xml:space="preserve">modify the ALJ’s Initial Decision and remand </w:t>
      </w:r>
      <w:r w:rsidR="0067105F">
        <w:rPr>
          <w:sz w:val="26"/>
          <w:szCs w:val="26"/>
        </w:rPr>
        <w:t xml:space="preserve">this proceeding to the Office of Administrative Law Judge (OALJ).  </w:t>
      </w:r>
    </w:p>
    <w:p w:rsidR="0067105F" w:rsidRDefault="0067105F" w:rsidP="0019214E">
      <w:pPr>
        <w:spacing w:line="360" w:lineRule="auto"/>
        <w:rPr>
          <w:sz w:val="26"/>
          <w:szCs w:val="26"/>
        </w:rPr>
      </w:pPr>
    </w:p>
    <w:p w:rsidR="00B32735" w:rsidRDefault="00B32735" w:rsidP="00B32735">
      <w:pPr>
        <w:spacing w:line="360" w:lineRule="auto"/>
        <w:jc w:val="center"/>
        <w:rPr>
          <w:b/>
          <w:sz w:val="26"/>
          <w:szCs w:val="26"/>
        </w:rPr>
      </w:pPr>
    </w:p>
    <w:p w:rsidR="00B32735" w:rsidRDefault="00B32735" w:rsidP="00B32735">
      <w:pPr>
        <w:spacing w:line="360" w:lineRule="auto"/>
        <w:jc w:val="center"/>
        <w:rPr>
          <w:b/>
          <w:sz w:val="26"/>
          <w:szCs w:val="26"/>
        </w:rPr>
      </w:pPr>
    </w:p>
    <w:p w:rsidR="009304FE" w:rsidRDefault="00F55BED" w:rsidP="00B32735">
      <w:pPr>
        <w:spacing w:line="360" w:lineRule="auto"/>
        <w:jc w:val="center"/>
        <w:rPr>
          <w:b/>
          <w:sz w:val="26"/>
          <w:szCs w:val="26"/>
        </w:rPr>
      </w:pPr>
      <w:r w:rsidRPr="00CA1972">
        <w:rPr>
          <w:b/>
          <w:sz w:val="26"/>
          <w:szCs w:val="26"/>
        </w:rPr>
        <w:lastRenderedPageBreak/>
        <w:t>History of the Proceeding</w:t>
      </w:r>
    </w:p>
    <w:p w:rsidR="00B32735" w:rsidRDefault="00B32735" w:rsidP="00B32735">
      <w:pPr>
        <w:spacing w:line="360" w:lineRule="auto"/>
        <w:jc w:val="center"/>
        <w:rPr>
          <w:b/>
          <w:sz w:val="26"/>
          <w:szCs w:val="26"/>
        </w:rPr>
      </w:pPr>
    </w:p>
    <w:p w:rsidR="00536EE4" w:rsidRPr="00536EE4" w:rsidRDefault="00536EE4" w:rsidP="00536EE4">
      <w:pPr>
        <w:spacing w:line="360" w:lineRule="auto"/>
        <w:ind w:firstLine="1440"/>
        <w:rPr>
          <w:sz w:val="26"/>
        </w:rPr>
      </w:pPr>
      <w:r w:rsidRPr="00536EE4">
        <w:rPr>
          <w:sz w:val="26"/>
        </w:rPr>
        <w:t xml:space="preserve">On October 12, 2010, A. Moses, Inc. (Complainant) filed a </w:t>
      </w:r>
      <w:r w:rsidR="004F366A">
        <w:rPr>
          <w:sz w:val="26"/>
        </w:rPr>
        <w:t>F</w:t>
      </w:r>
      <w:r w:rsidRPr="00536EE4">
        <w:rPr>
          <w:sz w:val="26"/>
        </w:rPr>
        <w:t>ormal Complaint (Complaint) against Verizon Pennsylvania Inc. (Verizon PA)</w:t>
      </w:r>
      <w:r w:rsidR="004F366A">
        <w:rPr>
          <w:sz w:val="26"/>
        </w:rPr>
        <w:t>, alleging that Verizon PA</w:t>
      </w:r>
      <w:r w:rsidR="004F366A" w:rsidRPr="00536EE4">
        <w:rPr>
          <w:sz w:val="26"/>
        </w:rPr>
        <w:t xml:space="preserve"> </w:t>
      </w:r>
      <w:r w:rsidR="004F366A">
        <w:rPr>
          <w:sz w:val="26"/>
        </w:rPr>
        <w:t xml:space="preserve">provided </w:t>
      </w:r>
      <w:r w:rsidR="004F366A" w:rsidRPr="00536EE4">
        <w:rPr>
          <w:sz w:val="26"/>
        </w:rPr>
        <w:t xml:space="preserve">inadequate service during the migration of </w:t>
      </w:r>
      <w:r w:rsidR="00A52C86">
        <w:rPr>
          <w:sz w:val="26"/>
        </w:rPr>
        <w:t>the Complainant’s</w:t>
      </w:r>
      <w:r w:rsidR="004F366A" w:rsidRPr="00536EE4">
        <w:rPr>
          <w:sz w:val="26"/>
        </w:rPr>
        <w:t xml:space="preserve"> telephone lines from its former telephone service provider, Line Systems Inc. (LSI)</w:t>
      </w:r>
      <w:r w:rsidR="007A5E2B">
        <w:rPr>
          <w:sz w:val="26"/>
        </w:rPr>
        <w:t>,</w:t>
      </w:r>
      <w:r w:rsidR="004F366A" w:rsidRPr="00536EE4">
        <w:rPr>
          <w:sz w:val="26"/>
        </w:rPr>
        <w:t xml:space="preserve"> to Verizon PA.</w:t>
      </w:r>
      <w:r w:rsidRPr="00536EE4">
        <w:rPr>
          <w:sz w:val="26"/>
        </w:rPr>
        <w:t xml:space="preserve"> </w:t>
      </w:r>
      <w:r w:rsidR="00A52C86">
        <w:rPr>
          <w:sz w:val="26"/>
        </w:rPr>
        <w:t xml:space="preserve"> </w:t>
      </w:r>
      <w:r w:rsidRPr="00536EE4">
        <w:rPr>
          <w:sz w:val="26"/>
        </w:rPr>
        <w:t xml:space="preserve">The Complainant </w:t>
      </w:r>
      <w:r w:rsidR="00A52C86">
        <w:rPr>
          <w:sz w:val="26"/>
        </w:rPr>
        <w:t>state</w:t>
      </w:r>
      <w:r w:rsidR="007A5E2B">
        <w:rPr>
          <w:sz w:val="26"/>
        </w:rPr>
        <w:t>d</w:t>
      </w:r>
      <w:r w:rsidRPr="00536EE4">
        <w:rPr>
          <w:sz w:val="26"/>
        </w:rPr>
        <w:t xml:space="preserve"> that</w:t>
      </w:r>
      <w:r w:rsidR="007A5E2B">
        <w:rPr>
          <w:sz w:val="26"/>
        </w:rPr>
        <w:t>,</w:t>
      </w:r>
      <w:r w:rsidRPr="00536EE4">
        <w:rPr>
          <w:sz w:val="26"/>
        </w:rPr>
        <w:t xml:space="preserve"> in April of 2009</w:t>
      </w:r>
      <w:r w:rsidR="00A52C86">
        <w:rPr>
          <w:sz w:val="26"/>
        </w:rPr>
        <w:t>,</w:t>
      </w:r>
      <w:r w:rsidRPr="00536EE4">
        <w:rPr>
          <w:sz w:val="26"/>
        </w:rPr>
        <w:t xml:space="preserve"> it contracted with Verizon PA for telephone service on thirteen of its lines as well as DSL internet service.  </w:t>
      </w:r>
      <w:r w:rsidR="00A52C86">
        <w:rPr>
          <w:sz w:val="26"/>
        </w:rPr>
        <w:t xml:space="preserve">The </w:t>
      </w:r>
      <w:r w:rsidRPr="00536EE4">
        <w:rPr>
          <w:sz w:val="26"/>
        </w:rPr>
        <w:t>Complainant a</w:t>
      </w:r>
      <w:r w:rsidR="00A52C86">
        <w:rPr>
          <w:sz w:val="26"/>
        </w:rPr>
        <w:t>ver</w:t>
      </w:r>
      <w:r w:rsidR="007A5E2B">
        <w:rPr>
          <w:sz w:val="26"/>
        </w:rPr>
        <w:t>red</w:t>
      </w:r>
      <w:r w:rsidRPr="00536EE4">
        <w:rPr>
          <w:sz w:val="26"/>
        </w:rPr>
        <w:t xml:space="preserve"> that </w:t>
      </w:r>
      <w:r w:rsidR="00A52C86">
        <w:rPr>
          <w:sz w:val="26"/>
        </w:rPr>
        <w:t>Verizon PA</w:t>
      </w:r>
      <w:r w:rsidRPr="00536EE4">
        <w:rPr>
          <w:sz w:val="26"/>
        </w:rPr>
        <w:t xml:space="preserve"> failed to migrate the lines as previously agreed and that </w:t>
      </w:r>
      <w:r w:rsidR="00995CC1">
        <w:rPr>
          <w:sz w:val="26"/>
        </w:rPr>
        <w:t xml:space="preserve">it was more than three months before Verizon PA ported over all of the lines.  The </w:t>
      </w:r>
      <w:r w:rsidRPr="00536EE4">
        <w:rPr>
          <w:sz w:val="26"/>
        </w:rPr>
        <w:t xml:space="preserve">Complainant </w:t>
      </w:r>
      <w:r w:rsidR="00995CC1">
        <w:rPr>
          <w:sz w:val="26"/>
        </w:rPr>
        <w:t>aver</w:t>
      </w:r>
      <w:r w:rsidR="007A5E2B">
        <w:rPr>
          <w:sz w:val="26"/>
        </w:rPr>
        <w:t>red</w:t>
      </w:r>
      <w:r w:rsidR="00995CC1">
        <w:rPr>
          <w:sz w:val="26"/>
        </w:rPr>
        <w:t xml:space="preserve"> that it </w:t>
      </w:r>
      <w:r w:rsidRPr="00536EE4">
        <w:rPr>
          <w:sz w:val="26"/>
        </w:rPr>
        <w:t>experienced sporadic or intermittent service on the lines that were migrated</w:t>
      </w:r>
      <w:r w:rsidR="00BA7B9D">
        <w:rPr>
          <w:sz w:val="26"/>
        </w:rPr>
        <w:t xml:space="preserve">, and LSI terminated services for non-payment </w:t>
      </w:r>
      <w:r w:rsidRPr="00536EE4">
        <w:rPr>
          <w:sz w:val="26"/>
        </w:rPr>
        <w:t xml:space="preserve">on the lines that were not migrated.  </w:t>
      </w:r>
      <w:r w:rsidR="00BA7B9D">
        <w:rPr>
          <w:sz w:val="26"/>
        </w:rPr>
        <w:t>Additionally</w:t>
      </w:r>
      <w:r w:rsidRPr="00536EE4">
        <w:rPr>
          <w:sz w:val="26"/>
        </w:rPr>
        <w:t xml:space="preserve">, </w:t>
      </w:r>
      <w:r w:rsidR="00BA7B9D">
        <w:rPr>
          <w:sz w:val="26"/>
        </w:rPr>
        <w:t xml:space="preserve">the </w:t>
      </w:r>
      <w:r w:rsidRPr="00536EE4">
        <w:rPr>
          <w:sz w:val="26"/>
        </w:rPr>
        <w:t>Complainant allege</w:t>
      </w:r>
      <w:r w:rsidR="007A5E2B">
        <w:rPr>
          <w:sz w:val="26"/>
        </w:rPr>
        <w:t>d</w:t>
      </w:r>
      <w:r w:rsidRPr="00536EE4">
        <w:rPr>
          <w:sz w:val="26"/>
        </w:rPr>
        <w:t xml:space="preserve"> that</w:t>
      </w:r>
      <w:r w:rsidR="007A5E2B">
        <w:rPr>
          <w:sz w:val="26"/>
        </w:rPr>
        <w:t>,</w:t>
      </w:r>
      <w:r w:rsidRPr="00536EE4">
        <w:rPr>
          <w:sz w:val="26"/>
        </w:rPr>
        <w:t xml:space="preserve"> on or about March 27, 2010, Verizon PA willfully and without notice caused a shutdown of </w:t>
      </w:r>
      <w:r w:rsidR="00BA7B9D">
        <w:rPr>
          <w:sz w:val="26"/>
        </w:rPr>
        <w:t xml:space="preserve">the </w:t>
      </w:r>
      <w:r w:rsidRPr="00536EE4">
        <w:rPr>
          <w:sz w:val="26"/>
        </w:rPr>
        <w:t xml:space="preserve">Complainant’s internet service and redirected all </w:t>
      </w:r>
      <w:r w:rsidR="00BA7B9D">
        <w:rPr>
          <w:sz w:val="26"/>
        </w:rPr>
        <w:t xml:space="preserve">of </w:t>
      </w:r>
      <w:r w:rsidRPr="00536EE4">
        <w:rPr>
          <w:sz w:val="26"/>
        </w:rPr>
        <w:t>its e</w:t>
      </w:r>
      <w:r w:rsidR="006313B8">
        <w:rPr>
          <w:sz w:val="26"/>
        </w:rPr>
        <w:t>-</w:t>
      </w:r>
      <w:r w:rsidRPr="00536EE4">
        <w:rPr>
          <w:sz w:val="26"/>
        </w:rPr>
        <w:t xml:space="preserve">mails to a third party.  </w:t>
      </w:r>
      <w:r w:rsidR="008A3FB1">
        <w:rPr>
          <w:sz w:val="26"/>
        </w:rPr>
        <w:t xml:space="preserve">Complaint at 2.  </w:t>
      </w:r>
      <w:r w:rsidRPr="00536EE4">
        <w:rPr>
          <w:sz w:val="26"/>
        </w:rPr>
        <w:t xml:space="preserve">The shutdown continued until April 15, 2009, when the internet service was restored and the </w:t>
      </w:r>
      <w:r w:rsidR="006313B8">
        <w:rPr>
          <w:sz w:val="26"/>
        </w:rPr>
        <w:t>e-mail</w:t>
      </w:r>
      <w:r w:rsidRPr="00536EE4">
        <w:rPr>
          <w:sz w:val="26"/>
        </w:rPr>
        <w:t xml:space="preserve"> accounts were reconfigured.  </w:t>
      </w:r>
      <w:r w:rsidR="0053257C">
        <w:rPr>
          <w:sz w:val="26"/>
        </w:rPr>
        <w:t xml:space="preserve">The </w:t>
      </w:r>
      <w:r w:rsidRPr="00536EE4">
        <w:rPr>
          <w:sz w:val="26"/>
        </w:rPr>
        <w:t>Complainant s</w:t>
      </w:r>
      <w:r w:rsidR="0053257C">
        <w:rPr>
          <w:sz w:val="26"/>
        </w:rPr>
        <w:t>tate</w:t>
      </w:r>
      <w:r w:rsidR="007A5E2B">
        <w:rPr>
          <w:sz w:val="26"/>
        </w:rPr>
        <w:t>d</w:t>
      </w:r>
      <w:r w:rsidRPr="00536EE4">
        <w:rPr>
          <w:sz w:val="26"/>
        </w:rPr>
        <w:t xml:space="preserve"> that </w:t>
      </w:r>
      <w:r w:rsidR="0053257C">
        <w:rPr>
          <w:sz w:val="26"/>
        </w:rPr>
        <w:t>Verizon’s actions</w:t>
      </w:r>
      <w:r w:rsidRPr="00536EE4">
        <w:rPr>
          <w:sz w:val="26"/>
        </w:rPr>
        <w:t xml:space="preserve"> </w:t>
      </w:r>
      <w:r w:rsidR="0053257C">
        <w:rPr>
          <w:sz w:val="26"/>
        </w:rPr>
        <w:t xml:space="preserve">resulted </w:t>
      </w:r>
      <w:proofErr w:type="gramStart"/>
      <w:r w:rsidR="0053257C">
        <w:rPr>
          <w:sz w:val="26"/>
        </w:rPr>
        <w:t>in</w:t>
      </w:r>
      <w:r w:rsidRPr="00536EE4">
        <w:rPr>
          <w:sz w:val="26"/>
        </w:rPr>
        <w:t xml:space="preserve"> </w:t>
      </w:r>
      <w:r w:rsidR="0053257C">
        <w:rPr>
          <w:sz w:val="26"/>
        </w:rPr>
        <w:t xml:space="preserve"> </w:t>
      </w:r>
      <w:r w:rsidRPr="00536EE4">
        <w:rPr>
          <w:sz w:val="26"/>
        </w:rPr>
        <w:t>measurable</w:t>
      </w:r>
      <w:proofErr w:type="gramEnd"/>
      <w:r w:rsidRPr="00536EE4">
        <w:rPr>
          <w:sz w:val="26"/>
        </w:rPr>
        <w:t xml:space="preserve"> losses</w:t>
      </w:r>
      <w:r w:rsidR="0053257C">
        <w:rPr>
          <w:sz w:val="26"/>
        </w:rPr>
        <w:t xml:space="preserve"> for the Complainant’s business and </w:t>
      </w:r>
      <w:r w:rsidR="006313B8">
        <w:rPr>
          <w:sz w:val="26"/>
        </w:rPr>
        <w:t xml:space="preserve">it </w:t>
      </w:r>
      <w:r w:rsidRPr="00536EE4">
        <w:rPr>
          <w:sz w:val="26"/>
        </w:rPr>
        <w:t xml:space="preserve">requested </w:t>
      </w:r>
      <w:r w:rsidR="0053257C">
        <w:rPr>
          <w:sz w:val="26"/>
        </w:rPr>
        <w:t xml:space="preserve">relief </w:t>
      </w:r>
      <w:r w:rsidRPr="00536EE4">
        <w:rPr>
          <w:sz w:val="26"/>
        </w:rPr>
        <w:t>in the form of “damages in excess of $100,000.00.”</w:t>
      </w:r>
      <w:r w:rsidR="008A3FB1">
        <w:rPr>
          <w:sz w:val="26"/>
        </w:rPr>
        <w:t xml:space="preserve">  Complaint at 3.   </w:t>
      </w:r>
      <w:r w:rsidRPr="00536EE4">
        <w:rPr>
          <w:sz w:val="26"/>
        </w:rPr>
        <w:t xml:space="preserve">  </w:t>
      </w:r>
    </w:p>
    <w:p w:rsidR="00536EE4" w:rsidRPr="00536EE4" w:rsidRDefault="00536EE4" w:rsidP="00536EE4">
      <w:pPr>
        <w:spacing w:line="360" w:lineRule="auto"/>
        <w:ind w:firstLine="1440"/>
        <w:rPr>
          <w:sz w:val="26"/>
        </w:rPr>
      </w:pPr>
    </w:p>
    <w:p w:rsidR="00536EE4" w:rsidRPr="00536EE4" w:rsidRDefault="00536EE4" w:rsidP="00536EE4">
      <w:pPr>
        <w:spacing w:line="360" w:lineRule="auto"/>
        <w:ind w:firstLine="1440"/>
        <w:rPr>
          <w:sz w:val="26"/>
        </w:rPr>
      </w:pPr>
      <w:r w:rsidRPr="00536EE4">
        <w:rPr>
          <w:sz w:val="26"/>
        </w:rPr>
        <w:t xml:space="preserve">On November 10, 2010, </w:t>
      </w:r>
      <w:r w:rsidR="000064C2">
        <w:rPr>
          <w:sz w:val="26"/>
        </w:rPr>
        <w:t>Verizon PA</w:t>
      </w:r>
      <w:r w:rsidRPr="00536EE4">
        <w:rPr>
          <w:sz w:val="26"/>
        </w:rPr>
        <w:t xml:space="preserve"> filed and served an Answer with New Matter</w:t>
      </w:r>
      <w:r w:rsidR="0080383D">
        <w:rPr>
          <w:sz w:val="26"/>
        </w:rPr>
        <w:t>,</w:t>
      </w:r>
      <w:r w:rsidRPr="00536EE4">
        <w:rPr>
          <w:sz w:val="26"/>
        </w:rPr>
        <w:t xml:space="preserve"> denying the material allegations of the Complaint.  </w:t>
      </w:r>
      <w:r w:rsidR="0080383D">
        <w:rPr>
          <w:sz w:val="26"/>
        </w:rPr>
        <w:t>Verizon PA</w:t>
      </w:r>
      <w:r w:rsidRPr="00536EE4">
        <w:rPr>
          <w:sz w:val="26"/>
        </w:rPr>
        <w:t xml:space="preserve"> </w:t>
      </w:r>
      <w:r w:rsidR="0080383D">
        <w:rPr>
          <w:sz w:val="26"/>
        </w:rPr>
        <w:t>stat</w:t>
      </w:r>
      <w:r w:rsidRPr="00536EE4">
        <w:rPr>
          <w:sz w:val="26"/>
        </w:rPr>
        <w:t xml:space="preserve">ed that DSL </w:t>
      </w:r>
      <w:r w:rsidR="0080383D">
        <w:rPr>
          <w:sz w:val="26"/>
        </w:rPr>
        <w:t>s</w:t>
      </w:r>
      <w:r w:rsidRPr="00536EE4">
        <w:rPr>
          <w:sz w:val="26"/>
        </w:rPr>
        <w:t xml:space="preserve">ervice </w:t>
      </w:r>
      <w:r w:rsidR="0080383D">
        <w:rPr>
          <w:sz w:val="26"/>
        </w:rPr>
        <w:t>i</w:t>
      </w:r>
      <w:r w:rsidRPr="00536EE4">
        <w:rPr>
          <w:sz w:val="26"/>
        </w:rPr>
        <w:t>s provided by Verizon On-Line, a</w:t>
      </w:r>
      <w:r w:rsidR="0080383D">
        <w:rPr>
          <w:sz w:val="26"/>
        </w:rPr>
        <w:t xml:space="preserve">n unregulated affiliate of </w:t>
      </w:r>
      <w:r w:rsidR="00031A0A">
        <w:rPr>
          <w:sz w:val="26"/>
        </w:rPr>
        <w:t>Verizon PA,</w:t>
      </w:r>
      <w:r w:rsidRPr="00536EE4">
        <w:rPr>
          <w:sz w:val="26"/>
        </w:rPr>
        <w:t xml:space="preserve"> and that the DSL </w:t>
      </w:r>
      <w:r w:rsidR="00031A0A">
        <w:rPr>
          <w:sz w:val="26"/>
        </w:rPr>
        <w:t>s</w:t>
      </w:r>
      <w:r w:rsidRPr="00536EE4">
        <w:rPr>
          <w:sz w:val="26"/>
        </w:rPr>
        <w:t xml:space="preserve">ervice interruption was </w:t>
      </w:r>
      <w:r w:rsidR="00031A0A">
        <w:rPr>
          <w:sz w:val="26"/>
        </w:rPr>
        <w:t xml:space="preserve">due to the </w:t>
      </w:r>
      <w:r w:rsidRPr="00536EE4">
        <w:rPr>
          <w:sz w:val="26"/>
        </w:rPr>
        <w:t xml:space="preserve">Complainant’s </w:t>
      </w:r>
      <w:r w:rsidR="00031A0A">
        <w:rPr>
          <w:sz w:val="26"/>
        </w:rPr>
        <w:t xml:space="preserve">failure to </w:t>
      </w:r>
      <w:r w:rsidRPr="00536EE4">
        <w:rPr>
          <w:sz w:val="26"/>
        </w:rPr>
        <w:t>pay</w:t>
      </w:r>
      <w:r w:rsidR="00031A0A">
        <w:rPr>
          <w:sz w:val="26"/>
        </w:rPr>
        <w:t xml:space="preserve"> for service</w:t>
      </w:r>
      <w:r w:rsidRPr="00536EE4">
        <w:rPr>
          <w:sz w:val="26"/>
        </w:rPr>
        <w:t xml:space="preserve">.  </w:t>
      </w:r>
      <w:r w:rsidR="00031A0A">
        <w:rPr>
          <w:sz w:val="26"/>
        </w:rPr>
        <w:t xml:space="preserve">Answer at 1, 2.  Verizon PA also </w:t>
      </w:r>
      <w:r w:rsidRPr="00536EE4">
        <w:rPr>
          <w:sz w:val="26"/>
        </w:rPr>
        <w:t>a</w:t>
      </w:r>
      <w:r w:rsidR="00031A0A">
        <w:rPr>
          <w:sz w:val="26"/>
        </w:rPr>
        <w:t>verred</w:t>
      </w:r>
      <w:r w:rsidRPr="00536EE4">
        <w:rPr>
          <w:sz w:val="26"/>
        </w:rPr>
        <w:t xml:space="preserve"> that the migration of agreed</w:t>
      </w:r>
      <w:r w:rsidR="006313B8">
        <w:rPr>
          <w:sz w:val="26"/>
        </w:rPr>
        <w:t>-</w:t>
      </w:r>
      <w:r w:rsidRPr="00536EE4">
        <w:rPr>
          <w:sz w:val="26"/>
        </w:rPr>
        <w:t xml:space="preserve">upon lines occurred in a timely fashion and that the interruption of service during the period in question was </w:t>
      </w:r>
      <w:r w:rsidR="00BE07AC">
        <w:rPr>
          <w:sz w:val="26"/>
        </w:rPr>
        <w:t>caused by the</w:t>
      </w:r>
      <w:r w:rsidRPr="00536EE4">
        <w:rPr>
          <w:sz w:val="26"/>
        </w:rPr>
        <w:t xml:space="preserve"> Complainant</w:t>
      </w:r>
      <w:r w:rsidR="00BE07AC">
        <w:rPr>
          <w:sz w:val="26"/>
        </w:rPr>
        <w:t>’s failure to</w:t>
      </w:r>
      <w:r w:rsidRPr="00536EE4">
        <w:rPr>
          <w:sz w:val="26"/>
        </w:rPr>
        <w:t xml:space="preserve"> pa</w:t>
      </w:r>
      <w:r w:rsidR="00BE07AC">
        <w:rPr>
          <w:sz w:val="26"/>
        </w:rPr>
        <w:t>y</w:t>
      </w:r>
      <w:r w:rsidRPr="00536EE4">
        <w:rPr>
          <w:sz w:val="26"/>
        </w:rPr>
        <w:t xml:space="preserve"> for its service to LSI for lines not yet </w:t>
      </w:r>
      <w:proofErr w:type="gramStart"/>
      <w:r w:rsidRPr="00536EE4">
        <w:rPr>
          <w:sz w:val="26"/>
        </w:rPr>
        <w:t>migrated,</w:t>
      </w:r>
      <w:proofErr w:type="gramEnd"/>
      <w:r w:rsidRPr="00536EE4">
        <w:rPr>
          <w:sz w:val="26"/>
        </w:rPr>
        <w:t xml:space="preserve"> or to Verizon for pre-existing lines.  </w:t>
      </w:r>
      <w:r w:rsidR="00BE07AC">
        <w:rPr>
          <w:sz w:val="26"/>
        </w:rPr>
        <w:t xml:space="preserve">Answer at 3-4.  </w:t>
      </w:r>
    </w:p>
    <w:p w:rsidR="006313B8" w:rsidRDefault="00536EE4" w:rsidP="00536EE4">
      <w:pPr>
        <w:spacing w:line="360" w:lineRule="auto"/>
        <w:ind w:firstLine="1440"/>
        <w:rPr>
          <w:sz w:val="26"/>
        </w:rPr>
      </w:pPr>
      <w:r w:rsidRPr="00536EE4">
        <w:rPr>
          <w:sz w:val="26"/>
        </w:rPr>
        <w:lastRenderedPageBreak/>
        <w:t>Also</w:t>
      </w:r>
      <w:r w:rsidR="00A940EA">
        <w:rPr>
          <w:sz w:val="26"/>
        </w:rPr>
        <w:t>,</w:t>
      </w:r>
      <w:r w:rsidRPr="00536EE4">
        <w:rPr>
          <w:sz w:val="26"/>
        </w:rPr>
        <w:t xml:space="preserve"> on November 10, 2010, </w:t>
      </w:r>
      <w:r w:rsidR="003A4184">
        <w:rPr>
          <w:sz w:val="26"/>
        </w:rPr>
        <w:t>Verizon PA</w:t>
      </w:r>
      <w:r w:rsidRPr="00536EE4">
        <w:rPr>
          <w:sz w:val="26"/>
        </w:rPr>
        <w:t xml:space="preserve"> filed and served Preliminary Objections</w:t>
      </w:r>
      <w:r w:rsidR="003A4184">
        <w:rPr>
          <w:sz w:val="26"/>
        </w:rPr>
        <w:t>,</w:t>
      </w:r>
      <w:r w:rsidRPr="00536EE4">
        <w:rPr>
          <w:sz w:val="26"/>
        </w:rPr>
        <w:t xml:space="preserve"> seeking to dismiss A. Moses Inc.’s Complaint in its entirety with prejudice</w:t>
      </w:r>
      <w:r w:rsidR="003A4184">
        <w:rPr>
          <w:sz w:val="26"/>
        </w:rPr>
        <w:t xml:space="preserve">.  Verizon PA averred that </w:t>
      </w:r>
      <w:r w:rsidRPr="00536EE4">
        <w:rPr>
          <w:sz w:val="26"/>
        </w:rPr>
        <w:t>the Commission lacks jurisdiction over the provision of internet service, including DSL service</w:t>
      </w:r>
      <w:r w:rsidR="00A940EA">
        <w:rPr>
          <w:sz w:val="26"/>
        </w:rPr>
        <w:t>,</w:t>
      </w:r>
      <w:r w:rsidRPr="00536EE4">
        <w:rPr>
          <w:sz w:val="26"/>
        </w:rPr>
        <w:t xml:space="preserve"> and </w:t>
      </w:r>
      <w:r w:rsidR="003A4184">
        <w:rPr>
          <w:sz w:val="26"/>
        </w:rPr>
        <w:t xml:space="preserve">that </w:t>
      </w:r>
      <w:r w:rsidRPr="00536EE4">
        <w:rPr>
          <w:sz w:val="26"/>
        </w:rPr>
        <w:t xml:space="preserve">the Commission lacks the authority to </w:t>
      </w:r>
      <w:r w:rsidR="003A4184">
        <w:rPr>
          <w:sz w:val="26"/>
        </w:rPr>
        <w:t>award</w:t>
      </w:r>
      <w:r w:rsidRPr="00536EE4">
        <w:rPr>
          <w:sz w:val="26"/>
        </w:rPr>
        <w:t xml:space="preserve"> monetary damages.</w:t>
      </w:r>
      <w:r w:rsidR="003A4184">
        <w:rPr>
          <w:sz w:val="26"/>
        </w:rPr>
        <w:t xml:space="preserve">  </w:t>
      </w:r>
      <w:r w:rsidR="00735921">
        <w:rPr>
          <w:sz w:val="26"/>
        </w:rPr>
        <w:t xml:space="preserve">The </w:t>
      </w:r>
      <w:r w:rsidRPr="00536EE4">
        <w:rPr>
          <w:sz w:val="26"/>
        </w:rPr>
        <w:t xml:space="preserve">Complainant did not </w:t>
      </w:r>
      <w:r w:rsidR="00735921">
        <w:rPr>
          <w:sz w:val="26"/>
        </w:rPr>
        <w:t>respond to Verizon PA’s</w:t>
      </w:r>
      <w:r w:rsidRPr="00536EE4">
        <w:rPr>
          <w:sz w:val="26"/>
        </w:rPr>
        <w:t xml:space="preserve"> New Matter or Preliminary Objections.</w:t>
      </w:r>
      <w:r w:rsidR="00735921">
        <w:rPr>
          <w:sz w:val="26"/>
        </w:rPr>
        <w:t xml:space="preserve"> </w:t>
      </w:r>
      <w:r w:rsidR="004A35EA">
        <w:rPr>
          <w:sz w:val="26"/>
        </w:rPr>
        <w:t xml:space="preserve"> </w:t>
      </w:r>
    </w:p>
    <w:p w:rsidR="006313B8" w:rsidRDefault="006313B8" w:rsidP="00536EE4">
      <w:pPr>
        <w:spacing w:line="360" w:lineRule="auto"/>
        <w:ind w:firstLine="1440"/>
        <w:rPr>
          <w:sz w:val="26"/>
        </w:rPr>
      </w:pPr>
    </w:p>
    <w:p w:rsidR="00536EE4" w:rsidRPr="00536EE4" w:rsidRDefault="00735921" w:rsidP="00536EE4">
      <w:pPr>
        <w:spacing w:line="360" w:lineRule="auto"/>
        <w:ind w:firstLine="1440"/>
        <w:rPr>
          <w:sz w:val="26"/>
        </w:rPr>
      </w:pPr>
      <w:r>
        <w:rPr>
          <w:sz w:val="26"/>
        </w:rPr>
        <w:t xml:space="preserve">In the Initial Decision, the ALJ </w:t>
      </w:r>
      <w:r w:rsidR="004A35EA">
        <w:rPr>
          <w:sz w:val="26"/>
        </w:rPr>
        <w:t xml:space="preserve">granted Verizon PA’s Preliminary Objections and dismissed the Formal Complaint with prejudice.  I.D. at 9.  </w:t>
      </w:r>
      <w:r w:rsidR="006313B8">
        <w:rPr>
          <w:sz w:val="26"/>
        </w:rPr>
        <w:t>As stated previously, no Exceptions were filed.</w:t>
      </w:r>
    </w:p>
    <w:p w:rsidR="00D141F3" w:rsidRDefault="00D141F3" w:rsidP="00EC7D98">
      <w:pPr>
        <w:jc w:val="center"/>
        <w:rPr>
          <w:b/>
          <w:sz w:val="26"/>
          <w:szCs w:val="26"/>
        </w:rPr>
      </w:pPr>
    </w:p>
    <w:p w:rsidR="001A1AD3" w:rsidRDefault="004419DA" w:rsidP="00791EEE">
      <w:pPr>
        <w:jc w:val="center"/>
        <w:rPr>
          <w:b/>
          <w:sz w:val="26"/>
          <w:szCs w:val="26"/>
        </w:rPr>
      </w:pPr>
      <w:r>
        <w:rPr>
          <w:b/>
          <w:sz w:val="26"/>
          <w:szCs w:val="26"/>
        </w:rPr>
        <w:t>Discussion</w:t>
      </w:r>
    </w:p>
    <w:p w:rsidR="00D5673B" w:rsidRDefault="00D5673B" w:rsidP="001A1AD3">
      <w:pPr>
        <w:spacing w:line="360" w:lineRule="auto"/>
        <w:jc w:val="center"/>
        <w:rPr>
          <w:sz w:val="26"/>
          <w:szCs w:val="26"/>
        </w:rPr>
      </w:pPr>
    </w:p>
    <w:p w:rsidR="001448EA" w:rsidRPr="009C2700" w:rsidRDefault="001448EA" w:rsidP="001448EA">
      <w:pPr>
        <w:spacing w:line="360" w:lineRule="auto"/>
        <w:ind w:firstLine="1440"/>
        <w:rPr>
          <w:rFonts w:ascii="Times New (W1)" w:hAnsi="Times New (W1)"/>
          <w:i/>
          <w:sz w:val="26"/>
        </w:rPr>
      </w:pPr>
      <w:r w:rsidRPr="009C2700">
        <w:rPr>
          <w:rFonts w:ascii="Times New (W1)" w:hAnsi="Times New (W1)"/>
          <w:sz w:val="26"/>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Company is responsible or accountable for the problem described in the Complaint.  </w:t>
      </w:r>
      <w:r w:rsidRPr="009C2700">
        <w:rPr>
          <w:rFonts w:ascii="Times New (W1)" w:hAnsi="Times New (W1)"/>
          <w:i/>
          <w:sz w:val="26"/>
          <w:szCs w:val="26"/>
        </w:rPr>
        <w:t>Patterson v. Bell Telephone Company of Pennsylvania</w:t>
      </w:r>
      <w:r w:rsidRPr="009C2700">
        <w:rPr>
          <w:rFonts w:ascii="Times New (W1)" w:hAnsi="Times New (W1)"/>
          <w:sz w:val="26"/>
          <w:szCs w:val="26"/>
        </w:rPr>
        <w:t xml:space="preserve">, 72 Pa. P.U.C. 196 (1990).  Such a showing must be by a preponderance of the evidence.  </w:t>
      </w:r>
      <w:r w:rsidRPr="009C2700">
        <w:rPr>
          <w:rFonts w:ascii="Times New (W1)" w:hAnsi="Times New (W1)"/>
          <w:i/>
          <w:iCs/>
          <w:sz w:val="26"/>
          <w:szCs w:val="26"/>
        </w:rPr>
        <w:t>Samuel J. Lansberry, Inc. v. Pa. PUC</w:t>
      </w:r>
      <w:r w:rsidRPr="009C2700">
        <w:rPr>
          <w:rFonts w:ascii="Times New (W1)" w:hAnsi="Times New (W1)"/>
          <w:sz w:val="26"/>
          <w:szCs w:val="26"/>
        </w:rPr>
        <w:t xml:space="preserve">, 578 A.2d 600 (Pa. Cmwlth. 1990), </w:t>
      </w:r>
      <w:r w:rsidRPr="009C2700">
        <w:rPr>
          <w:rFonts w:ascii="Times New (W1)" w:hAnsi="Times New (W1)"/>
          <w:i/>
          <w:sz w:val="26"/>
          <w:szCs w:val="26"/>
        </w:rPr>
        <w:t>alloc. denied,</w:t>
      </w:r>
      <w:r w:rsidRPr="009C2700">
        <w:rPr>
          <w:rFonts w:ascii="Times New (W1)" w:hAnsi="Times New (W1)"/>
          <w:sz w:val="26"/>
          <w:szCs w:val="26"/>
        </w:rPr>
        <w:t xml:space="preserve"> 529 Pa. 654, 602 A.2d 863 (1992).  That is, the Complainant’s evidence must be more convincing, by even the smallest amount, than that presented by the Company.  </w:t>
      </w:r>
      <w:proofErr w:type="gramStart"/>
      <w:r w:rsidRPr="009C2700">
        <w:rPr>
          <w:rFonts w:ascii="Times New (W1)" w:hAnsi="Times New (W1)"/>
          <w:i/>
          <w:sz w:val="26"/>
          <w:szCs w:val="26"/>
        </w:rPr>
        <w:t>Se-Ling Hosiery</w:t>
      </w:r>
      <w:r w:rsidR="00180E89">
        <w:rPr>
          <w:rFonts w:ascii="Times New (W1)" w:hAnsi="Times New (W1)"/>
          <w:i/>
          <w:sz w:val="26"/>
          <w:szCs w:val="26"/>
        </w:rPr>
        <w:t>, Inc.</w:t>
      </w:r>
      <w:r w:rsidRPr="009C2700">
        <w:rPr>
          <w:rFonts w:ascii="Times New (W1)" w:hAnsi="Times New (W1)"/>
          <w:i/>
          <w:sz w:val="26"/>
          <w:szCs w:val="26"/>
        </w:rPr>
        <w:t xml:space="preserve"> v. Margulies</w:t>
      </w:r>
      <w:r w:rsidRPr="009C2700">
        <w:rPr>
          <w:rFonts w:ascii="Times New (W1)" w:hAnsi="Times New (W1)"/>
          <w:sz w:val="26"/>
          <w:szCs w:val="26"/>
        </w:rPr>
        <w:t>, 364 Pa. 45, 70 A.2d 854 (1950).</w:t>
      </w:r>
      <w:proofErr w:type="gramEnd"/>
      <w:r w:rsidRPr="009C2700">
        <w:rPr>
          <w:rFonts w:ascii="Times New (W1)" w:hAnsi="Times New (W1)"/>
          <w:sz w:val="26"/>
          <w:szCs w:val="26"/>
        </w:rPr>
        <w:t xml:space="preserve">  Additionally, this Commission’s </w:t>
      </w:r>
      <w:r w:rsidRPr="009C2700">
        <w:rPr>
          <w:rFonts w:ascii="Times New (W1)" w:hAnsi="Times New (W1)"/>
          <w:sz w:val="26"/>
        </w:rPr>
        <w:t xml:space="preserve">decision must be supported by substantial evidence in the record.  More is required than a mere trace of evidence or a suspicion of the existence of a fact sought to be established.  </w:t>
      </w:r>
      <w:r w:rsidRPr="009C2700">
        <w:rPr>
          <w:rFonts w:ascii="Times New (W1)" w:hAnsi="Times New (W1)"/>
          <w:i/>
          <w:sz w:val="26"/>
        </w:rPr>
        <w:t xml:space="preserve">Norfolk &amp; Western Ry. Co. v. Pa. PUC, </w:t>
      </w:r>
      <w:r w:rsidRPr="009C2700">
        <w:rPr>
          <w:rFonts w:ascii="Times New (W1)" w:hAnsi="Times New (W1)"/>
          <w:sz w:val="26"/>
        </w:rPr>
        <w:t>489 Pa. 109, 413 A.2d 1037 (1980).</w:t>
      </w:r>
    </w:p>
    <w:p w:rsidR="001448EA" w:rsidRPr="009C2700" w:rsidRDefault="001448EA" w:rsidP="001448EA">
      <w:pPr>
        <w:spacing w:line="360" w:lineRule="auto"/>
        <w:rPr>
          <w:rFonts w:ascii="Times New (W1)" w:hAnsi="Times New (W1)"/>
          <w:sz w:val="26"/>
        </w:rPr>
      </w:pPr>
    </w:p>
    <w:p w:rsidR="0027458E" w:rsidRDefault="000B2688" w:rsidP="003440BD">
      <w:pPr>
        <w:spacing w:line="360" w:lineRule="auto"/>
        <w:ind w:firstLine="1440"/>
        <w:rPr>
          <w:sz w:val="26"/>
          <w:szCs w:val="26"/>
        </w:rPr>
      </w:pPr>
      <w:r>
        <w:rPr>
          <w:sz w:val="26"/>
          <w:szCs w:val="26"/>
        </w:rPr>
        <w:lastRenderedPageBreak/>
        <w:t>T</w:t>
      </w:r>
      <w:r w:rsidR="003440BD" w:rsidRPr="002E740E">
        <w:rPr>
          <w:sz w:val="26"/>
          <w:szCs w:val="26"/>
        </w:rPr>
        <w:t xml:space="preserve">he ALJ made </w:t>
      </w:r>
      <w:r>
        <w:rPr>
          <w:sz w:val="26"/>
          <w:szCs w:val="26"/>
        </w:rPr>
        <w:t>eight</w:t>
      </w:r>
      <w:r w:rsidR="003440BD">
        <w:rPr>
          <w:sz w:val="26"/>
          <w:szCs w:val="26"/>
        </w:rPr>
        <w:t xml:space="preserve"> Findings of Fact</w:t>
      </w:r>
      <w:r w:rsidR="003440BD" w:rsidRPr="002E740E">
        <w:rPr>
          <w:sz w:val="26"/>
          <w:szCs w:val="26"/>
        </w:rPr>
        <w:t xml:space="preserve"> and </w:t>
      </w:r>
      <w:r w:rsidR="00400A4D">
        <w:rPr>
          <w:sz w:val="26"/>
          <w:szCs w:val="26"/>
        </w:rPr>
        <w:t xml:space="preserve">reached </w:t>
      </w:r>
      <w:r w:rsidR="00CB3617">
        <w:rPr>
          <w:sz w:val="26"/>
          <w:szCs w:val="26"/>
        </w:rPr>
        <w:t>seven</w:t>
      </w:r>
      <w:r w:rsidR="003440BD" w:rsidRPr="002E740E">
        <w:rPr>
          <w:sz w:val="26"/>
          <w:szCs w:val="26"/>
        </w:rPr>
        <w:t xml:space="preserve"> Conclusions of Law</w:t>
      </w:r>
      <w:r w:rsidR="003440BD">
        <w:rPr>
          <w:sz w:val="26"/>
          <w:szCs w:val="26"/>
        </w:rPr>
        <w:t xml:space="preserve">.  </w:t>
      </w:r>
      <w:r w:rsidR="003440BD" w:rsidRPr="002E740E">
        <w:rPr>
          <w:sz w:val="26"/>
          <w:szCs w:val="26"/>
        </w:rPr>
        <w:t xml:space="preserve">I.D. at </w:t>
      </w:r>
      <w:r w:rsidR="00555A12">
        <w:rPr>
          <w:sz w:val="26"/>
          <w:szCs w:val="26"/>
        </w:rPr>
        <w:t>3</w:t>
      </w:r>
      <w:r w:rsidR="003440BD">
        <w:rPr>
          <w:sz w:val="26"/>
          <w:szCs w:val="26"/>
        </w:rPr>
        <w:t xml:space="preserve">, </w:t>
      </w:r>
      <w:r w:rsidR="00CB3617">
        <w:rPr>
          <w:sz w:val="26"/>
          <w:szCs w:val="26"/>
        </w:rPr>
        <w:t>8-9</w:t>
      </w:r>
      <w:r w:rsidR="003440BD">
        <w:rPr>
          <w:sz w:val="26"/>
          <w:szCs w:val="26"/>
        </w:rPr>
        <w:t xml:space="preserve">.  </w:t>
      </w:r>
      <w:r w:rsidR="003440BD" w:rsidRPr="002E740E">
        <w:rPr>
          <w:sz w:val="26"/>
          <w:szCs w:val="26"/>
        </w:rPr>
        <w:t>We shall adopt and incorporate herein by reference the ALJ’s Findings of Fact and Conclusions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DD3E1A" w:rsidRDefault="00DD3E1A" w:rsidP="003440BD">
      <w:pPr>
        <w:spacing w:line="360" w:lineRule="auto"/>
        <w:ind w:firstLine="1440"/>
        <w:rPr>
          <w:sz w:val="26"/>
          <w:szCs w:val="26"/>
        </w:rPr>
      </w:pPr>
    </w:p>
    <w:p w:rsidR="00122E0F" w:rsidRPr="00122E0F" w:rsidRDefault="00D90AB8" w:rsidP="00D90AB8">
      <w:pPr>
        <w:spacing w:line="360" w:lineRule="auto"/>
        <w:ind w:firstLine="720"/>
        <w:rPr>
          <w:sz w:val="26"/>
        </w:rPr>
      </w:pPr>
      <w:r>
        <w:rPr>
          <w:b/>
          <w:sz w:val="26"/>
          <w:szCs w:val="26"/>
        </w:rPr>
        <w:tab/>
      </w:r>
      <w:r>
        <w:rPr>
          <w:sz w:val="26"/>
          <w:szCs w:val="26"/>
        </w:rPr>
        <w:t xml:space="preserve">Initially, we note that the ALJ’s decision involved a ruling on Verizon PA’s Preliminary Objections.  </w:t>
      </w:r>
      <w:r w:rsidR="00122E0F" w:rsidRPr="00122E0F">
        <w:rPr>
          <w:sz w:val="26"/>
        </w:rPr>
        <w:t xml:space="preserve">Section 5.101 of the Commission’s Regulations, 52 Pa. Code </w:t>
      </w:r>
      <w:r w:rsidR="004D12A1">
        <w:rPr>
          <w:sz w:val="26"/>
        </w:rPr>
        <w:t xml:space="preserve">   </w:t>
      </w:r>
      <w:r w:rsidR="00122E0F" w:rsidRPr="00122E0F">
        <w:rPr>
          <w:sz w:val="26"/>
        </w:rPr>
        <w:t>§ 5.101, sets forth the grounds for granting preliminary objections</w:t>
      </w:r>
      <w:r w:rsidR="006313B8">
        <w:rPr>
          <w:sz w:val="26"/>
        </w:rPr>
        <w:t>.  In pertinent part, that Regulation states</w:t>
      </w:r>
      <w:r w:rsidR="00122E0F" w:rsidRPr="00122E0F">
        <w:rPr>
          <w:sz w:val="26"/>
        </w:rPr>
        <w:t xml:space="preserve">: </w:t>
      </w:r>
    </w:p>
    <w:p w:rsidR="00122E0F" w:rsidRPr="00122E0F" w:rsidRDefault="00122E0F" w:rsidP="00122E0F">
      <w:pPr>
        <w:ind w:left="1440" w:right="1440"/>
        <w:rPr>
          <w:b/>
          <w:sz w:val="26"/>
        </w:rPr>
      </w:pPr>
    </w:p>
    <w:p w:rsidR="00122E0F" w:rsidRPr="00122E0F" w:rsidRDefault="00122E0F" w:rsidP="00122E0F">
      <w:pPr>
        <w:ind w:left="1440" w:right="1440"/>
        <w:rPr>
          <w:b/>
          <w:sz w:val="26"/>
        </w:rPr>
      </w:pPr>
      <w:r w:rsidRPr="00122E0F">
        <w:rPr>
          <w:b/>
          <w:sz w:val="26"/>
        </w:rPr>
        <w:t>§ 5.101.  Preliminary objections.</w:t>
      </w:r>
    </w:p>
    <w:p w:rsidR="00122E0F" w:rsidRPr="00122E0F" w:rsidRDefault="00122E0F" w:rsidP="00122E0F">
      <w:pPr>
        <w:ind w:left="1440" w:right="1440"/>
        <w:rPr>
          <w:b/>
          <w:sz w:val="26"/>
        </w:rPr>
      </w:pPr>
    </w:p>
    <w:p w:rsidR="00C22F84" w:rsidRPr="00C22F84" w:rsidRDefault="00C22F84" w:rsidP="00C22F84">
      <w:pPr>
        <w:ind w:left="1440" w:right="1440"/>
        <w:rPr>
          <w:sz w:val="26"/>
        </w:rPr>
      </w:pPr>
      <w:r>
        <w:rPr>
          <w:sz w:val="26"/>
        </w:rPr>
        <w:t>(</w:t>
      </w:r>
      <w:r w:rsidR="0093251E">
        <w:rPr>
          <w:sz w:val="26"/>
        </w:rPr>
        <w:t>a</w:t>
      </w:r>
      <w:r>
        <w:rPr>
          <w:sz w:val="26"/>
        </w:rPr>
        <w:t>)</w:t>
      </w:r>
      <w:r w:rsidR="0093251E">
        <w:rPr>
          <w:sz w:val="26"/>
        </w:rPr>
        <w:tab/>
      </w:r>
      <w:r w:rsidR="00122E0F" w:rsidRPr="00C22F84">
        <w:rPr>
          <w:i/>
          <w:sz w:val="26"/>
        </w:rPr>
        <w:t>Grounds.</w:t>
      </w:r>
      <w:r w:rsidR="0093251E">
        <w:rPr>
          <w:i/>
          <w:sz w:val="26"/>
        </w:rPr>
        <w:t xml:space="preserve"> </w:t>
      </w:r>
      <w:r w:rsidR="00122E0F" w:rsidRPr="00C22F84">
        <w:rPr>
          <w:sz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22F84" w:rsidRDefault="00C22F84" w:rsidP="00C22F84">
      <w:pPr>
        <w:ind w:left="2160" w:right="1440"/>
        <w:contextualSpacing/>
        <w:rPr>
          <w:sz w:val="26"/>
        </w:rPr>
      </w:pPr>
    </w:p>
    <w:p w:rsidR="00122E0F" w:rsidRPr="00122E0F" w:rsidRDefault="00122E0F" w:rsidP="0093251E">
      <w:pPr>
        <w:ind w:left="1440" w:right="1440" w:firstLine="720"/>
        <w:contextualSpacing/>
        <w:rPr>
          <w:sz w:val="26"/>
        </w:rPr>
      </w:pPr>
      <w:r w:rsidRPr="00122E0F">
        <w:rPr>
          <w:sz w:val="26"/>
        </w:rPr>
        <w:t>(</w:t>
      </w:r>
      <w:r w:rsidR="0093251E">
        <w:rPr>
          <w:sz w:val="26"/>
        </w:rPr>
        <w:t>1</w:t>
      </w:r>
      <w:r w:rsidRPr="00122E0F">
        <w:rPr>
          <w:sz w:val="26"/>
        </w:rPr>
        <w:t>)</w:t>
      </w:r>
      <w:r w:rsidRPr="00122E0F">
        <w:rPr>
          <w:sz w:val="26"/>
        </w:rPr>
        <w:tab/>
      </w:r>
      <w:r w:rsidR="00390D53">
        <w:rPr>
          <w:sz w:val="26"/>
        </w:rPr>
        <w:t>Lack of Commission jurisdiction or improper service of the pleading initiating the proceeding</w:t>
      </w:r>
      <w:r w:rsidRPr="00122E0F">
        <w:rPr>
          <w:sz w:val="26"/>
        </w:rPr>
        <w:t>.</w:t>
      </w:r>
    </w:p>
    <w:p w:rsidR="00C22F84" w:rsidRDefault="00390D53" w:rsidP="00C22F84">
      <w:pPr>
        <w:ind w:left="1440" w:right="1440" w:hanging="1440"/>
        <w:contextualSpacing/>
        <w:rPr>
          <w:sz w:val="26"/>
        </w:rPr>
      </w:pPr>
      <w:r>
        <w:rPr>
          <w:sz w:val="26"/>
        </w:rPr>
        <w:tab/>
      </w:r>
      <w:r>
        <w:rPr>
          <w:sz w:val="26"/>
        </w:rPr>
        <w:tab/>
      </w:r>
    </w:p>
    <w:p w:rsidR="00390D53" w:rsidRDefault="00390D53" w:rsidP="0093251E">
      <w:pPr>
        <w:ind w:left="1440" w:right="1440" w:firstLine="720"/>
        <w:contextualSpacing/>
        <w:rPr>
          <w:sz w:val="26"/>
        </w:rPr>
      </w:pPr>
      <w:r>
        <w:rPr>
          <w:sz w:val="26"/>
        </w:rPr>
        <w:t>(</w:t>
      </w:r>
      <w:r w:rsidR="0093251E">
        <w:rPr>
          <w:sz w:val="26"/>
        </w:rPr>
        <w:t>2</w:t>
      </w:r>
      <w:r>
        <w:rPr>
          <w:sz w:val="26"/>
        </w:rPr>
        <w:t>)</w:t>
      </w:r>
      <w:r>
        <w:rPr>
          <w:sz w:val="26"/>
        </w:rPr>
        <w:tab/>
        <w:t>Failure of a pleading to conform to this chapter</w:t>
      </w:r>
      <w:r w:rsidR="00C22F84">
        <w:rPr>
          <w:sz w:val="26"/>
        </w:rPr>
        <w:t xml:space="preserve"> or the inclusion of scandalous or impertinent matter.  </w:t>
      </w:r>
      <w:r>
        <w:rPr>
          <w:sz w:val="26"/>
        </w:rPr>
        <w:tab/>
      </w:r>
    </w:p>
    <w:p w:rsidR="00C22F84" w:rsidRDefault="00C22F84" w:rsidP="00C22F84">
      <w:pPr>
        <w:ind w:left="1440" w:right="1440" w:hanging="1440"/>
        <w:contextualSpacing/>
        <w:rPr>
          <w:sz w:val="26"/>
        </w:rPr>
      </w:pPr>
    </w:p>
    <w:p w:rsidR="00122E0F" w:rsidRDefault="00122E0F" w:rsidP="00122E0F">
      <w:pPr>
        <w:spacing w:line="360" w:lineRule="auto"/>
        <w:ind w:left="1440" w:right="1440" w:hanging="1440"/>
        <w:contextualSpacing/>
        <w:rPr>
          <w:sz w:val="26"/>
        </w:rPr>
      </w:pPr>
      <w:r w:rsidRPr="00122E0F">
        <w:rPr>
          <w:sz w:val="26"/>
        </w:rPr>
        <w:t>52 Pa. Code § 5.101(a).</w:t>
      </w:r>
    </w:p>
    <w:p w:rsidR="00C22F84" w:rsidRPr="00122E0F" w:rsidRDefault="00C22F84" w:rsidP="00122E0F">
      <w:pPr>
        <w:spacing w:line="360" w:lineRule="auto"/>
        <w:ind w:left="1440" w:right="1440" w:hanging="1440"/>
        <w:contextualSpacing/>
        <w:rPr>
          <w:sz w:val="26"/>
        </w:rPr>
      </w:pPr>
    </w:p>
    <w:p w:rsidR="00F95BA3" w:rsidRDefault="00F95BA3" w:rsidP="00F95BA3">
      <w:pPr>
        <w:spacing w:line="360" w:lineRule="auto"/>
        <w:ind w:firstLine="1440"/>
        <w:rPr>
          <w:sz w:val="26"/>
          <w:szCs w:val="26"/>
        </w:rPr>
      </w:pPr>
      <w:r w:rsidRPr="009B5E0E">
        <w:rPr>
          <w:color w:val="000000"/>
          <w:sz w:val="26"/>
          <w:szCs w:val="26"/>
        </w:rPr>
        <w:t xml:space="preserve">Commission procedure </w:t>
      </w:r>
      <w:r w:rsidRPr="009B5E0E">
        <w:rPr>
          <w:sz w:val="26"/>
          <w:szCs w:val="26"/>
        </w:rPr>
        <w:t>regarding the disposition of preliminary objections</w:t>
      </w:r>
      <w:r>
        <w:rPr>
          <w:sz w:val="26"/>
          <w:szCs w:val="26"/>
        </w:rPr>
        <w:t xml:space="preserve"> </w:t>
      </w:r>
      <w:r w:rsidRPr="009B5E0E">
        <w:rPr>
          <w:sz w:val="26"/>
          <w:szCs w:val="26"/>
        </w:rPr>
        <w:t xml:space="preserve">is similar to the procedure utilized in Pennsylvania civil practice.  </w:t>
      </w:r>
      <w:r w:rsidRPr="00AD4B12">
        <w:rPr>
          <w:sz w:val="26"/>
          <w:szCs w:val="26"/>
        </w:rPr>
        <w:t xml:space="preserve">A preliminary objection in civil practice seeking dismissal of a pleading will be granted only where relief is clearly warranted and free from doubt.  </w:t>
      </w:r>
      <w:r w:rsidRPr="006679E2">
        <w:rPr>
          <w:i/>
          <w:sz w:val="26"/>
          <w:szCs w:val="26"/>
        </w:rPr>
        <w:t>Interstate Traveller Services, Inc. v. Pa. Dep</w:t>
      </w:r>
      <w:r>
        <w:rPr>
          <w:i/>
          <w:sz w:val="26"/>
          <w:szCs w:val="26"/>
        </w:rPr>
        <w:t>’</w:t>
      </w:r>
      <w:r w:rsidRPr="006679E2">
        <w:rPr>
          <w:i/>
          <w:sz w:val="26"/>
          <w:szCs w:val="26"/>
        </w:rPr>
        <w:t>t of Environmental Resources</w:t>
      </w:r>
      <w:r w:rsidRPr="00AD4B12">
        <w:rPr>
          <w:sz w:val="26"/>
          <w:szCs w:val="26"/>
        </w:rPr>
        <w:t xml:space="preserve">, </w:t>
      </w:r>
      <w:r w:rsidR="00ED3CE7">
        <w:rPr>
          <w:sz w:val="26"/>
          <w:szCs w:val="26"/>
        </w:rPr>
        <w:t xml:space="preserve">486 Pa. 536, </w:t>
      </w:r>
      <w:r w:rsidRPr="00AD4B12">
        <w:rPr>
          <w:sz w:val="26"/>
          <w:szCs w:val="26"/>
        </w:rPr>
        <w:t>406 A.2d 1020 (Pa. 1979)</w:t>
      </w:r>
      <w:r>
        <w:rPr>
          <w:sz w:val="26"/>
          <w:szCs w:val="26"/>
        </w:rPr>
        <w:t xml:space="preserve">.  </w:t>
      </w:r>
      <w:r w:rsidRPr="00AD4B12">
        <w:rPr>
          <w:sz w:val="26"/>
          <w:szCs w:val="26"/>
        </w:rPr>
        <w:t xml:space="preserve">The moving party may not rely on its own factual assertions, but must accept for the purposes of disposition of the preliminary objection all well-pleaded, material facts of the other party, </w:t>
      </w:r>
      <w:r w:rsidRPr="00AD4B12">
        <w:rPr>
          <w:sz w:val="26"/>
          <w:szCs w:val="26"/>
        </w:rPr>
        <w:lastRenderedPageBreak/>
        <w:t xml:space="preserve">as well as every inference fairly deducible from those facts.  </w:t>
      </w:r>
      <w:r w:rsidRPr="006679E2">
        <w:rPr>
          <w:i/>
          <w:sz w:val="26"/>
          <w:szCs w:val="26"/>
        </w:rPr>
        <w:t>County of Allegheny v. Comm</w:t>
      </w:r>
      <w:r>
        <w:rPr>
          <w:i/>
          <w:sz w:val="26"/>
          <w:szCs w:val="26"/>
        </w:rPr>
        <w:t>on</w:t>
      </w:r>
      <w:r w:rsidRPr="006679E2">
        <w:rPr>
          <w:i/>
          <w:sz w:val="26"/>
          <w:szCs w:val="26"/>
        </w:rPr>
        <w:t>w</w:t>
      </w:r>
      <w:r>
        <w:rPr>
          <w:i/>
          <w:sz w:val="26"/>
          <w:szCs w:val="26"/>
        </w:rPr>
        <w:t>ealth</w:t>
      </w:r>
      <w:r>
        <w:rPr>
          <w:sz w:val="26"/>
          <w:szCs w:val="26"/>
        </w:rPr>
        <w:t xml:space="preserve"> </w:t>
      </w:r>
      <w:r w:rsidRPr="00726E97">
        <w:rPr>
          <w:i/>
          <w:sz w:val="26"/>
          <w:szCs w:val="26"/>
        </w:rPr>
        <w:t>of P</w:t>
      </w:r>
      <w:r>
        <w:rPr>
          <w:i/>
          <w:sz w:val="26"/>
          <w:szCs w:val="26"/>
        </w:rPr>
        <w:t>a</w:t>
      </w:r>
      <w:r w:rsidR="00ED3CE7">
        <w:rPr>
          <w:i/>
          <w:sz w:val="26"/>
          <w:szCs w:val="26"/>
        </w:rPr>
        <w:t>.</w:t>
      </w:r>
      <w:r w:rsidRPr="00AD4B12">
        <w:rPr>
          <w:sz w:val="26"/>
          <w:szCs w:val="26"/>
        </w:rPr>
        <w:t xml:space="preserve">, </w:t>
      </w:r>
      <w:r w:rsidR="00ED3CE7">
        <w:rPr>
          <w:sz w:val="26"/>
          <w:szCs w:val="26"/>
        </w:rPr>
        <w:t xml:space="preserve">507 Pa. 360, </w:t>
      </w:r>
      <w:r w:rsidRPr="00AD4B12">
        <w:rPr>
          <w:sz w:val="26"/>
          <w:szCs w:val="26"/>
        </w:rPr>
        <w:t xml:space="preserve">490 A.2d 402 (Pa. 1985).  The preliminary objection may be granted only if the moving party prevails as a matter of law.  </w:t>
      </w:r>
      <w:proofErr w:type="spellStart"/>
      <w:proofErr w:type="gramStart"/>
      <w:r w:rsidRPr="006679E2">
        <w:rPr>
          <w:i/>
          <w:sz w:val="26"/>
          <w:szCs w:val="26"/>
        </w:rPr>
        <w:t>Ro</w:t>
      </w:r>
      <w:r w:rsidR="00ED3CE7">
        <w:rPr>
          <w:i/>
          <w:sz w:val="26"/>
          <w:szCs w:val="26"/>
        </w:rPr>
        <w:t>k</w:t>
      </w:r>
      <w:proofErr w:type="spellEnd"/>
      <w:r w:rsidRPr="006679E2">
        <w:rPr>
          <w:i/>
          <w:sz w:val="26"/>
          <w:szCs w:val="26"/>
        </w:rPr>
        <w:t xml:space="preserve"> v. Flaherty</w:t>
      </w:r>
      <w:r w:rsidRPr="00AD4B12">
        <w:rPr>
          <w:sz w:val="26"/>
          <w:szCs w:val="26"/>
        </w:rPr>
        <w:t>, 527 A.2d 211 (Pa.</w:t>
      </w:r>
      <w:r>
        <w:rPr>
          <w:sz w:val="26"/>
          <w:szCs w:val="26"/>
        </w:rPr>
        <w:t xml:space="preserve"> </w:t>
      </w:r>
      <w:r w:rsidRPr="00AD4B12">
        <w:rPr>
          <w:sz w:val="26"/>
          <w:szCs w:val="26"/>
        </w:rPr>
        <w:t>Cmwlth. 198</w:t>
      </w:r>
      <w:r w:rsidR="00B21FFE">
        <w:rPr>
          <w:sz w:val="26"/>
          <w:szCs w:val="26"/>
        </w:rPr>
        <w:t>7</w:t>
      </w:r>
      <w:r w:rsidRPr="00AD4B12">
        <w:rPr>
          <w:sz w:val="26"/>
          <w:szCs w:val="26"/>
        </w:rPr>
        <w:t>).</w:t>
      </w:r>
      <w:proofErr w:type="gramEnd"/>
      <w:r w:rsidRPr="00AD4B12">
        <w:rPr>
          <w:sz w:val="26"/>
          <w:szCs w:val="26"/>
        </w:rPr>
        <w:t xml:space="preserve">  Any doubt must be resolved in favor of the non-moving party by refusing to sustain the preliminary objections.  </w:t>
      </w:r>
      <w:r w:rsidRPr="006679E2">
        <w:rPr>
          <w:i/>
          <w:sz w:val="26"/>
          <w:szCs w:val="26"/>
        </w:rPr>
        <w:t>Dep</w:t>
      </w:r>
      <w:r>
        <w:rPr>
          <w:i/>
          <w:sz w:val="26"/>
          <w:szCs w:val="26"/>
        </w:rPr>
        <w:t>’</w:t>
      </w:r>
      <w:r w:rsidRPr="006679E2">
        <w:rPr>
          <w:i/>
          <w:sz w:val="26"/>
          <w:szCs w:val="26"/>
        </w:rPr>
        <w:t>t of Auditor General, et al. v. State Employees’ Retirement System, et al.</w:t>
      </w:r>
      <w:r w:rsidRPr="00AD4B12">
        <w:rPr>
          <w:sz w:val="26"/>
          <w:szCs w:val="26"/>
        </w:rPr>
        <w:t>, 836 A.2d 1053, 1064 (Pa.</w:t>
      </w:r>
      <w:r>
        <w:rPr>
          <w:sz w:val="26"/>
          <w:szCs w:val="26"/>
        </w:rPr>
        <w:t xml:space="preserve"> </w:t>
      </w:r>
      <w:r w:rsidRPr="00AD4B12">
        <w:rPr>
          <w:sz w:val="26"/>
          <w:szCs w:val="26"/>
        </w:rPr>
        <w:t xml:space="preserve">Cmwlth. 2003) </w:t>
      </w:r>
      <w:r>
        <w:rPr>
          <w:sz w:val="26"/>
          <w:szCs w:val="26"/>
        </w:rPr>
        <w:t>(citing</w:t>
      </w:r>
      <w:r w:rsidRPr="006679E2">
        <w:rPr>
          <w:i/>
          <w:sz w:val="26"/>
          <w:szCs w:val="26"/>
        </w:rPr>
        <w:t xml:space="preserve"> Boyd v. Ward</w:t>
      </w:r>
      <w:r w:rsidRPr="00AD4B12">
        <w:rPr>
          <w:sz w:val="26"/>
          <w:szCs w:val="26"/>
        </w:rPr>
        <w:t>, 802 A.2d 705 (Pa.</w:t>
      </w:r>
      <w:r>
        <w:rPr>
          <w:sz w:val="26"/>
          <w:szCs w:val="26"/>
        </w:rPr>
        <w:t xml:space="preserve"> </w:t>
      </w:r>
      <w:r w:rsidRPr="00AD4B12">
        <w:rPr>
          <w:sz w:val="26"/>
          <w:szCs w:val="26"/>
        </w:rPr>
        <w:t>Cmwlth. 2002)</w:t>
      </w:r>
      <w:r>
        <w:rPr>
          <w:sz w:val="26"/>
          <w:szCs w:val="26"/>
        </w:rPr>
        <w:t>)</w:t>
      </w:r>
      <w:r w:rsidRPr="00AD4B12">
        <w:rPr>
          <w:sz w:val="26"/>
          <w:szCs w:val="26"/>
        </w:rPr>
        <w:t xml:space="preserve">.  </w:t>
      </w:r>
    </w:p>
    <w:p w:rsidR="00F95BA3" w:rsidRDefault="00122E0F" w:rsidP="00122E0F">
      <w:pPr>
        <w:spacing w:line="360" w:lineRule="auto"/>
        <w:rPr>
          <w:sz w:val="26"/>
        </w:rPr>
      </w:pPr>
      <w:r w:rsidRPr="00122E0F">
        <w:rPr>
          <w:sz w:val="26"/>
        </w:rPr>
        <w:tab/>
      </w:r>
    </w:p>
    <w:p w:rsidR="00796AEA" w:rsidRDefault="00DB6E40" w:rsidP="00011888">
      <w:pPr>
        <w:spacing w:line="360" w:lineRule="auto"/>
        <w:rPr>
          <w:sz w:val="26"/>
          <w:szCs w:val="26"/>
        </w:rPr>
      </w:pPr>
      <w:r>
        <w:rPr>
          <w:sz w:val="26"/>
        </w:rPr>
        <w:tab/>
      </w:r>
      <w:r>
        <w:rPr>
          <w:sz w:val="26"/>
        </w:rPr>
        <w:tab/>
      </w:r>
      <w:r w:rsidR="005E5393" w:rsidRPr="00F24926">
        <w:rPr>
          <w:sz w:val="26"/>
          <w:szCs w:val="26"/>
        </w:rPr>
        <w:t xml:space="preserve">In ruling on </w:t>
      </w:r>
      <w:bookmarkStart w:id="0" w:name="_Toc287261360"/>
      <w:r w:rsidR="00011888">
        <w:rPr>
          <w:sz w:val="26"/>
          <w:szCs w:val="26"/>
        </w:rPr>
        <w:t xml:space="preserve">Verizon PA’s Preliminary Objections, the ALJ </w:t>
      </w:r>
      <w:r w:rsidR="00B17456">
        <w:rPr>
          <w:sz w:val="26"/>
          <w:szCs w:val="26"/>
        </w:rPr>
        <w:t>stated that Verizon PA correctly noted that the Commission does not have jurisdiction over the provision of internet service</w:t>
      </w:r>
      <w:r w:rsidR="00233A9F">
        <w:rPr>
          <w:sz w:val="26"/>
          <w:szCs w:val="26"/>
        </w:rPr>
        <w:t>,</w:t>
      </w:r>
      <w:r w:rsidR="00B17456">
        <w:rPr>
          <w:sz w:val="26"/>
          <w:szCs w:val="26"/>
        </w:rPr>
        <w:t xml:space="preserve"> as such service has been determined to be an information service, rather than a telecommunications service.  I.D. at 6</w:t>
      </w:r>
      <w:r w:rsidR="003F5CC4">
        <w:rPr>
          <w:sz w:val="26"/>
          <w:szCs w:val="26"/>
        </w:rPr>
        <w:t xml:space="preserve">.  The ALJ also </w:t>
      </w:r>
      <w:r w:rsidR="00EE6603">
        <w:rPr>
          <w:sz w:val="26"/>
          <w:szCs w:val="26"/>
        </w:rPr>
        <w:t>concurred with Verizon PA</w:t>
      </w:r>
      <w:r w:rsidR="003F5CC4">
        <w:rPr>
          <w:sz w:val="26"/>
          <w:szCs w:val="26"/>
        </w:rPr>
        <w:t xml:space="preserve"> that the Commission is without the power to award monetary damages, which must be sought before a Magisterial District Judge or a Court of Common Pleas.  </w:t>
      </w:r>
      <w:r w:rsidR="00EE37FC">
        <w:rPr>
          <w:sz w:val="26"/>
          <w:szCs w:val="26"/>
        </w:rPr>
        <w:t xml:space="preserve">The ALJ stated that the proper preliminary objection </w:t>
      </w:r>
      <w:r w:rsidR="006313B8">
        <w:rPr>
          <w:sz w:val="26"/>
          <w:szCs w:val="26"/>
        </w:rPr>
        <w:t xml:space="preserve">with respect to this issue </w:t>
      </w:r>
      <w:r w:rsidR="00EE37FC">
        <w:rPr>
          <w:sz w:val="26"/>
          <w:szCs w:val="26"/>
        </w:rPr>
        <w:t>is a motion to strike the requested relief as impertinent matter</w:t>
      </w:r>
      <w:r w:rsidR="00823378">
        <w:rPr>
          <w:sz w:val="26"/>
          <w:szCs w:val="26"/>
        </w:rPr>
        <w:t xml:space="preserve"> pursuant to 52 Pa. Code § 5.101(a</w:t>
      </w:r>
      <w:proofErr w:type="gramStart"/>
      <w:r w:rsidR="00823378">
        <w:rPr>
          <w:sz w:val="26"/>
          <w:szCs w:val="26"/>
        </w:rPr>
        <w:t>)(</w:t>
      </w:r>
      <w:proofErr w:type="gramEnd"/>
      <w:r w:rsidR="00823378">
        <w:rPr>
          <w:sz w:val="26"/>
          <w:szCs w:val="26"/>
        </w:rPr>
        <w:t>2)</w:t>
      </w:r>
      <w:r w:rsidR="00EE37FC">
        <w:rPr>
          <w:sz w:val="26"/>
          <w:szCs w:val="26"/>
        </w:rPr>
        <w:t>.  I.D. at 7</w:t>
      </w:r>
      <w:r w:rsidR="00823378">
        <w:rPr>
          <w:sz w:val="26"/>
          <w:szCs w:val="26"/>
        </w:rPr>
        <w:t>.  The ALJ</w:t>
      </w:r>
      <w:r w:rsidR="00EE6603">
        <w:rPr>
          <w:sz w:val="26"/>
          <w:szCs w:val="26"/>
        </w:rPr>
        <w:t xml:space="preserve"> </w:t>
      </w:r>
      <w:r w:rsidR="00E01407">
        <w:rPr>
          <w:sz w:val="26"/>
          <w:szCs w:val="26"/>
        </w:rPr>
        <w:t>concluded</w:t>
      </w:r>
      <w:r w:rsidR="00EE6603">
        <w:rPr>
          <w:sz w:val="26"/>
          <w:szCs w:val="26"/>
        </w:rPr>
        <w:t xml:space="preserve"> that</w:t>
      </w:r>
      <w:r w:rsidR="00ED3CE7">
        <w:rPr>
          <w:sz w:val="26"/>
          <w:szCs w:val="26"/>
        </w:rPr>
        <w:t>,</w:t>
      </w:r>
      <w:r w:rsidR="00EE6603">
        <w:rPr>
          <w:sz w:val="26"/>
          <w:szCs w:val="26"/>
        </w:rPr>
        <w:t xml:space="preserve"> although Verizon PA improperly relied on 52 Pa. Code § 5.101(a</w:t>
      </w:r>
      <w:proofErr w:type="gramStart"/>
      <w:r w:rsidR="00EE6603">
        <w:rPr>
          <w:sz w:val="26"/>
          <w:szCs w:val="26"/>
        </w:rPr>
        <w:t>)(</w:t>
      </w:r>
      <w:proofErr w:type="gramEnd"/>
      <w:r w:rsidR="00233A9F">
        <w:rPr>
          <w:sz w:val="26"/>
          <w:szCs w:val="26"/>
        </w:rPr>
        <w:t>1</w:t>
      </w:r>
      <w:r w:rsidR="00EE6603">
        <w:rPr>
          <w:sz w:val="26"/>
          <w:szCs w:val="26"/>
        </w:rPr>
        <w:t>)</w:t>
      </w:r>
      <w:r w:rsidR="00233A9F">
        <w:rPr>
          <w:sz w:val="26"/>
          <w:szCs w:val="26"/>
        </w:rPr>
        <w:t xml:space="preserve"> in its Preliminary Objections</w:t>
      </w:r>
      <w:r w:rsidR="00EE6603">
        <w:rPr>
          <w:sz w:val="26"/>
          <w:szCs w:val="26"/>
        </w:rPr>
        <w:t xml:space="preserve">, it raised a valid reason for dismissal of the Complaint.  </w:t>
      </w:r>
      <w:r w:rsidR="00714A09">
        <w:rPr>
          <w:sz w:val="26"/>
          <w:szCs w:val="26"/>
        </w:rPr>
        <w:t>T</w:t>
      </w:r>
      <w:r w:rsidR="00127671">
        <w:rPr>
          <w:sz w:val="26"/>
          <w:szCs w:val="26"/>
        </w:rPr>
        <w:t xml:space="preserve">he ALJ </w:t>
      </w:r>
      <w:r w:rsidR="00E01407">
        <w:rPr>
          <w:sz w:val="26"/>
          <w:szCs w:val="26"/>
        </w:rPr>
        <w:t xml:space="preserve">further </w:t>
      </w:r>
      <w:r w:rsidR="00127671">
        <w:rPr>
          <w:sz w:val="26"/>
          <w:szCs w:val="26"/>
        </w:rPr>
        <w:t xml:space="preserve">determined that </w:t>
      </w:r>
      <w:r w:rsidR="00E01407">
        <w:rPr>
          <w:sz w:val="26"/>
          <w:szCs w:val="26"/>
        </w:rPr>
        <w:t>the Complaint should be dismissed pursuant to Section 703(b) of the Code, 66 Pa. C.S. § 703(b), which provides that the Commission may dismiss any complaint without a hearing if, in its opinion, a hearing is not necessary in the public interest.  I.D. at 8.</w:t>
      </w:r>
      <w:r w:rsidR="00714A09">
        <w:rPr>
          <w:sz w:val="26"/>
          <w:szCs w:val="26"/>
        </w:rPr>
        <w:t xml:space="preserve">  </w:t>
      </w:r>
      <w:r w:rsidR="00E01407">
        <w:rPr>
          <w:sz w:val="26"/>
          <w:szCs w:val="26"/>
        </w:rPr>
        <w:t xml:space="preserve">  </w:t>
      </w:r>
    </w:p>
    <w:p w:rsidR="00011888" w:rsidRDefault="00011888" w:rsidP="00011888">
      <w:pPr>
        <w:spacing w:line="360" w:lineRule="auto"/>
        <w:rPr>
          <w:sz w:val="26"/>
          <w:szCs w:val="26"/>
        </w:rPr>
      </w:pPr>
    </w:p>
    <w:p w:rsidR="009C1047" w:rsidRPr="009C1047" w:rsidRDefault="009C1047" w:rsidP="00A8326A">
      <w:pPr>
        <w:tabs>
          <w:tab w:val="left" w:pos="1440"/>
        </w:tabs>
        <w:spacing w:line="360" w:lineRule="auto"/>
        <w:ind w:firstLine="720"/>
        <w:rPr>
          <w:rFonts w:cs="Arial"/>
          <w:sz w:val="26"/>
          <w:szCs w:val="26"/>
        </w:rPr>
      </w:pPr>
      <w:r>
        <w:rPr>
          <w:sz w:val="26"/>
          <w:szCs w:val="26"/>
        </w:rPr>
        <w:tab/>
      </w:r>
      <w:r w:rsidR="00A8326A">
        <w:rPr>
          <w:sz w:val="26"/>
          <w:szCs w:val="26"/>
        </w:rPr>
        <w:t>Accordingly, t</w:t>
      </w:r>
      <w:r w:rsidRPr="009C1047">
        <w:rPr>
          <w:rFonts w:cs="Arial"/>
          <w:sz w:val="26"/>
          <w:szCs w:val="26"/>
        </w:rPr>
        <w:t>he I</w:t>
      </w:r>
      <w:r w:rsidR="00A8326A">
        <w:rPr>
          <w:rFonts w:cs="Arial"/>
          <w:sz w:val="26"/>
          <w:szCs w:val="26"/>
        </w:rPr>
        <w:t>nitial Decision</w:t>
      </w:r>
      <w:r w:rsidRPr="009C1047">
        <w:rPr>
          <w:rFonts w:cs="Arial"/>
          <w:sz w:val="26"/>
          <w:szCs w:val="26"/>
        </w:rPr>
        <w:t xml:space="preserve"> granted Verizon PA’s Preliminary Objections to dismiss the Complaint in its entirety</w:t>
      </w:r>
      <w:r w:rsidR="00A8326A">
        <w:rPr>
          <w:rFonts w:cs="Arial"/>
          <w:sz w:val="26"/>
          <w:szCs w:val="26"/>
        </w:rPr>
        <w:t xml:space="preserve"> for the following reasons</w:t>
      </w:r>
      <w:r w:rsidRPr="009C1047">
        <w:rPr>
          <w:rFonts w:cs="Arial"/>
          <w:sz w:val="26"/>
          <w:szCs w:val="26"/>
        </w:rPr>
        <w:t xml:space="preserve">: </w:t>
      </w:r>
      <w:r w:rsidR="00A8326A">
        <w:rPr>
          <w:rFonts w:cs="Arial"/>
          <w:sz w:val="26"/>
          <w:szCs w:val="26"/>
        </w:rPr>
        <w:t xml:space="preserve"> </w:t>
      </w:r>
      <w:r w:rsidRPr="009C1047">
        <w:rPr>
          <w:rFonts w:cs="Arial"/>
          <w:sz w:val="26"/>
          <w:szCs w:val="26"/>
        </w:rPr>
        <w:t>(1) the Commission lacks jurisdiction over the provision of Internet services</w:t>
      </w:r>
      <w:r w:rsidR="0001414B">
        <w:rPr>
          <w:rFonts w:cs="Arial"/>
          <w:sz w:val="26"/>
          <w:szCs w:val="26"/>
        </w:rPr>
        <w:t>,</w:t>
      </w:r>
      <w:r w:rsidRPr="009C1047">
        <w:rPr>
          <w:rFonts w:cs="Arial"/>
          <w:sz w:val="26"/>
          <w:szCs w:val="26"/>
        </w:rPr>
        <w:t xml:space="preserve"> and (2) the Commission lacks the authority to award money damages.  Although we agree with the decision to dismiss these two issues at the pleadings stage, we do not agree with the decision to dismiss the Complaint in its entirety prior to a hearing.   </w:t>
      </w:r>
    </w:p>
    <w:p w:rsidR="009C1047" w:rsidRPr="009C1047" w:rsidRDefault="009C1047" w:rsidP="009E3FC0">
      <w:pPr>
        <w:spacing w:line="360" w:lineRule="auto"/>
        <w:ind w:firstLine="1440"/>
        <w:rPr>
          <w:rFonts w:cs="Arial"/>
          <w:sz w:val="26"/>
          <w:szCs w:val="26"/>
        </w:rPr>
      </w:pPr>
      <w:r w:rsidRPr="009C1047">
        <w:rPr>
          <w:rFonts w:cs="Arial"/>
          <w:sz w:val="26"/>
          <w:szCs w:val="26"/>
        </w:rPr>
        <w:lastRenderedPageBreak/>
        <w:t xml:space="preserve">We agree that the Commission lacks the authority to grant </w:t>
      </w:r>
      <w:r w:rsidR="009E3FC0">
        <w:rPr>
          <w:rFonts w:cs="Arial"/>
          <w:sz w:val="26"/>
          <w:szCs w:val="26"/>
        </w:rPr>
        <w:t xml:space="preserve">the </w:t>
      </w:r>
      <w:r w:rsidRPr="009C1047">
        <w:rPr>
          <w:rFonts w:cs="Arial"/>
          <w:sz w:val="26"/>
          <w:szCs w:val="26"/>
        </w:rPr>
        <w:t xml:space="preserve">Complainant’s request for money damages.  Pennsylvania appellate courts have repeatedly held that the Commission is without power to award monetary damages to a private litigant.  </w:t>
      </w:r>
      <w:proofErr w:type="gramStart"/>
      <w:r w:rsidRPr="009E3FC0">
        <w:rPr>
          <w:rFonts w:cs="Arial"/>
          <w:i/>
          <w:sz w:val="26"/>
          <w:szCs w:val="26"/>
        </w:rPr>
        <w:t>Feingold</w:t>
      </w:r>
      <w:r w:rsidR="009E3FC0">
        <w:rPr>
          <w:rFonts w:cs="Arial"/>
          <w:i/>
          <w:sz w:val="26"/>
          <w:szCs w:val="26"/>
        </w:rPr>
        <w:t xml:space="preserve"> </w:t>
      </w:r>
      <w:r w:rsidRPr="009E3FC0">
        <w:rPr>
          <w:rFonts w:cs="Arial"/>
          <w:i/>
          <w:sz w:val="26"/>
          <w:szCs w:val="26"/>
        </w:rPr>
        <w:t>v.</w:t>
      </w:r>
      <w:r w:rsidR="009E3FC0">
        <w:rPr>
          <w:rFonts w:cs="Arial"/>
          <w:i/>
          <w:sz w:val="26"/>
          <w:szCs w:val="26"/>
        </w:rPr>
        <w:t xml:space="preserve"> </w:t>
      </w:r>
      <w:r w:rsidRPr="009E3FC0">
        <w:rPr>
          <w:rFonts w:cs="Arial"/>
          <w:i/>
          <w:sz w:val="26"/>
          <w:szCs w:val="26"/>
        </w:rPr>
        <w:t>Bell of Pennsylvania</w:t>
      </w:r>
      <w:r w:rsidRPr="009C1047">
        <w:rPr>
          <w:rFonts w:cs="Arial"/>
          <w:sz w:val="26"/>
          <w:szCs w:val="26"/>
        </w:rPr>
        <w:t xml:space="preserve">, 477 Pa. 1, 383 A.2d 791 (1977); </w:t>
      </w:r>
      <w:r w:rsidRPr="009E3FC0">
        <w:rPr>
          <w:rFonts w:cs="Arial"/>
          <w:i/>
          <w:sz w:val="26"/>
          <w:szCs w:val="26"/>
        </w:rPr>
        <w:t>Morrow v. Bell Telephone Co. of Pennsylvania</w:t>
      </w:r>
      <w:r w:rsidRPr="009C1047">
        <w:rPr>
          <w:rFonts w:cs="Arial"/>
          <w:sz w:val="26"/>
          <w:szCs w:val="26"/>
        </w:rPr>
        <w:t>, 330 Pa.</w:t>
      </w:r>
      <w:r w:rsidR="006313B8">
        <w:rPr>
          <w:rFonts w:cs="Arial"/>
          <w:sz w:val="26"/>
          <w:szCs w:val="26"/>
        </w:rPr>
        <w:t xml:space="preserve"> </w:t>
      </w:r>
      <w:r w:rsidRPr="009C1047">
        <w:rPr>
          <w:rFonts w:cs="Arial"/>
          <w:sz w:val="26"/>
          <w:szCs w:val="26"/>
        </w:rPr>
        <w:t>Super.</w:t>
      </w:r>
      <w:proofErr w:type="gramEnd"/>
      <w:r w:rsidRPr="009C1047">
        <w:rPr>
          <w:rFonts w:cs="Arial"/>
          <w:sz w:val="26"/>
          <w:szCs w:val="26"/>
        </w:rPr>
        <w:t xml:space="preserve"> </w:t>
      </w:r>
      <w:proofErr w:type="gramStart"/>
      <w:r w:rsidRPr="009C1047">
        <w:rPr>
          <w:rFonts w:cs="Arial"/>
          <w:sz w:val="26"/>
          <w:szCs w:val="26"/>
        </w:rPr>
        <w:t xml:space="preserve">276, 479 A.2d 548 (1984); </w:t>
      </w:r>
      <w:r w:rsidRPr="009E3FC0">
        <w:rPr>
          <w:rFonts w:cs="Arial"/>
          <w:i/>
          <w:sz w:val="26"/>
          <w:szCs w:val="26"/>
        </w:rPr>
        <w:t xml:space="preserve">West Penn Power Co. v. Pa. Public Utility </w:t>
      </w:r>
      <w:proofErr w:type="spellStart"/>
      <w:r w:rsidRPr="009E3FC0">
        <w:rPr>
          <w:rFonts w:cs="Arial"/>
          <w:i/>
          <w:sz w:val="26"/>
          <w:szCs w:val="26"/>
        </w:rPr>
        <w:t>Comm’n</w:t>
      </w:r>
      <w:proofErr w:type="spellEnd"/>
      <w:r w:rsidRPr="009C1047">
        <w:rPr>
          <w:rFonts w:cs="Arial"/>
          <w:sz w:val="26"/>
          <w:szCs w:val="26"/>
        </w:rPr>
        <w:t>, 104 Pa.</w:t>
      </w:r>
      <w:r w:rsidR="006313B8">
        <w:rPr>
          <w:rFonts w:cs="Arial"/>
          <w:sz w:val="26"/>
          <w:szCs w:val="26"/>
        </w:rPr>
        <w:t xml:space="preserve"> </w:t>
      </w:r>
      <w:proofErr w:type="spellStart"/>
      <w:r w:rsidRPr="009C1047">
        <w:rPr>
          <w:rFonts w:cs="Arial"/>
          <w:sz w:val="26"/>
          <w:szCs w:val="26"/>
        </w:rPr>
        <w:t>Cmwlth</w:t>
      </w:r>
      <w:proofErr w:type="spellEnd"/>
      <w:r w:rsidRPr="009C1047">
        <w:rPr>
          <w:rFonts w:cs="Arial"/>
          <w:sz w:val="26"/>
          <w:szCs w:val="26"/>
        </w:rPr>
        <w:t xml:space="preserve">. 21, 521 A.2d 75 (1987); </w:t>
      </w:r>
      <w:r w:rsidRPr="009E3FC0">
        <w:rPr>
          <w:rFonts w:cs="Arial"/>
          <w:i/>
          <w:sz w:val="26"/>
          <w:szCs w:val="26"/>
        </w:rPr>
        <w:t>Ostrov v. I.F.T., Inc.</w:t>
      </w:r>
      <w:r w:rsidRPr="009C1047">
        <w:rPr>
          <w:rFonts w:cs="Arial"/>
          <w:sz w:val="26"/>
          <w:szCs w:val="26"/>
        </w:rPr>
        <w:t>, 402 Pa.</w:t>
      </w:r>
      <w:r w:rsidR="006313B8">
        <w:rPr>
          <w:rFonts w:cs="Arial"/>
          <w:sz w:val="26"/>
          <w:szCs w:val="26"/>
        </w:rPr>
        <w:t xml:space="preserve"> </w:t>
      </w:r>
      <w:r w:rsidRPr="009C1047">
        <w:rPr>
          <w:rFonts w:cs="Arial"/>
          <w:sz w:val="26"/>
          <w:szCs w:val="26"/>
        </w:rPr>
        <w:t>Super.</w:t>
      </w:r>
      <w:proofErr w:type="gramEnd"/>
      <w:r w:rsidRPr="009C1047">
        <w:rPr>
          <w:rFonts w:cs="Arial"/>
          <w:sz w:val="26"/>
          <w:szCs w:val="26"/>
        </w:rPr>
        <w:t xml:space="preserve"> 87, 586 A.2d 409 (1991).</w:t>
      </w:r>
    </w:p>
    <w:p w:rsidR="009C1047" w:rsidRPr="009C1047" w:rsidRDefault="009C1047" w:rsidP="009C1047">
      <w:pPr>
        <w:spacing w:line="360" w:lineRule="auto"/>
        <w:ind w:firstLine="720"/>
        <w:jc w:val="both"/>
        <w:rPr>
          <w:rFonts w:cs="Arial"/>
          <w:sz w:val="26"/>
          <w:szCs w:val="26"/>
        </w:rPr>
      </w:pPr>
    </w:p>
    <w:p w:rsidR="009C1047" w:rsidRPr="009C1047" w:rsidRDefault="009C1047" w:rsidP="009E3FC0">
      <w:pPr>
        <w:spacing w:line="360" w:lineRule="auto"/>
        <w:ind w:firstLine="1440"/>
        <w:rPr>
          <w:rFonts w:cs="Arial"/>
          <w:sz w:val="26"/>
        </w:rPr>
      </w:pPr>
      <w:r w:rsidRPr="009C1047">
        <w:rPr>
          <w:rFonts w:cs="Arial"/>
          <w:sz w:val="26"/>
          <w:szCs w:val="26"/>
        </w:rPr>
        <w:t xml:space="preserve">We also agree that the allegations regarding the extended service outage of the Complainant’s retail Internet service should be dismissed for lack of subject matter jurisdiction.  </w:t>
      </w:r>
      <w:r w:rsidRPr="009C1047">
        <w:rPr>
          <w:rFonts w:cs="Arial"/>
          <w:sz w:val="26"/>
        </w:rPr>
        <w:t>In general, this Commission does not have jurisdiction over the provision of retail Internet services</w:t>
      </w:r>
      <w:r w:rsidRPr="009E3FC0">
        <w:rPr>
          <w:rFonts w:cs="Arial"/>
          <w:sz w:val="26"/>
        </w:rPr>
        <w:t xml:space="preserve">.  </w:t>
      </w:r>
      <w:r w:rsidRPr="009E3FC0">
        <w:rPr>
          <w:rFonts w:cs="Arial"/>
          <w:i/>
          <w:sz w:val="26"/>
        </w:rPr>
        <w:t>Re:  LEC Billing of Pay-Per-Call and Similar Information Services</w:t>
      </w:r>
      <w:r w:rsidRPr="009C1047">
        <w:rPr>
          <w:rFonts w:cs="Arial"/>
          <w:sz w:val="26"/>
        </w:rPr>
        <w:t xml:space="preserve">, Docket No. M-00940569 (Order entered July 1, 1994); </w:t>
      </w:r>
      <w:r w:rsidRPr="009E3FC0">
        <w:rPr>
          <w:rFonts w:cs="Arial"/>
          <w:i/>
          <w:sz w:val="26"/>
        </w:rPr>
        <w:t>Collins v. United Telephone Company of Pennsylvania, d/b/a Sprint</w:t>
      </w:r>
      <w:r w:rsidRPr="009C1047">
        <w:rPr>
          <w:rFonts w:cs="Arial"/>
          <w:sz w:val="26"/>
        </w:rPr>
        <w:t xml:space="preserve">, Docket Nos. </w:t>
      </w:r>
      <w:proofErr w:type="gramStart"/>
      <w:r w:rsidRPr="009C1047">
        <w:rPr>
          <w:rFonts w:cs="Arial"/>
          <w:sz w:val="26"/>
        </w:rPr>
        <w:t xml:space="preserve">C-00970272 and </w:t>
      </w:r>
      <w:r w:rsidR="006313B8">
        <w:rPr>
          <w:rFonts w:cs="Arial"/>
          <w:sz w:val="26"/>
        </w:rPr>
        <w:br/>
      </w:r>
      <w:r w:rsidRPr="009C1047">
        <w:rPr>
          <w:rFonts w:cs="Arial"/>
          <w:sz w:val="26"/>
        </w:rPr>
        <w:t xml:space="preserve">C-00970273 (Order entered July 21, 1997); </w:t>
      </w:r>
      <w:r w:rsidRPr="009E3FC0">
        <w:rPr>
          <w:rFonts w:cs="Arial"/>
          <w:i/>
          <w:sz w:val="26"/>
        </w:rPr>
        <w:t>Benchmark Color Lab, Inc. v. Verizon Pennsylvania Inc</w:t>
      </w:r>
      <w:r w:rsidRPr="009C1047">
        <w:rPr>
          <w:rFonts w:cs="Arial"/>
          <w:sz w:val="26"/>
        </w:rPr>
        <w:t>., Docket No.</w:t>
      </w:r>
      <w:proofErr w:type="gramEnd"/>
      <w:r w:rsidRPr="009C1047">
        <w:rPr>
          <w:rFonts w:cs="Arial"/>
          <w:sz w:val="26"/>
        </w:rPr>
        <w:t xml:space="preserve"> C-20042694 (Order entered August 2, 2004); </w:t>
      </w:r>
      <w:r w:rsidRPr="009E3FC0">
        <w:rPr>
          <w:rFonts w:cs="Arial"/>
          <w:i/>
          <w:sz w:val="26"/>
        </w:rPr>
        <w:t>Peluso v. North Pittsburgh Telephone Company</w:t>
      </w:r>
      <w:r w:rsidRPr="009C1047">
        <w:rPr>
          <w:rFonts w:cs="Arial"/>
          <w:sz w:val="26"/>
        </w:rPr>
        <w:t xml:space="preserve">, Docket No. C-20054257 (Order entered June 7, 2005).  </w:t>
      </w:r>
    </w:p>
    <w:p w:rsidR="009C1047" w:rsidRPr="009C1047" w:rsidRDefault="009C1047" w:rsidP="009C1047">
      <w:pPr>
        <w:spacing w:line="360" w:lineRule="auto"/>
        <w:ind w:firstLine="720"/>
        <w:jc w:val="both"/>
        <w:rPr>
          <w:rFonts w:cs="Arial"/>
          <w:sz w:val="26"/>
        </w:rPr>
      </w:pPr>
    </w:p>
    <w:p w:rsidR="003471B4" w:rsidRDefault="009C1047" w:rsidP="009E3FC0">
      <w:pPr>
        <w:spacing w:line="360" w:lineRule="auto"/>
        <w:ind w:firstLine="1440"/>
        <w:rPr>
          <w:rFonts w:cs="Arial"/>
          <w:sz w:val="26"/>
        </w:rPr>
      </w:pPr>
      <w:r w:rsidRPr="009C1047">
        <w:rPr>
          <w:rFonts w:cs="Arial"/>
          <w:sz w:val="26"/>
        </w:rPr>
        <w:t>However, we note that DSL-configured lines are capable of handling both ordinary telecommu</w:t>
      </w:r>
      <w:r w:rsidRPr="009C1047">
        <w:rPr>
          <w:rFonts w:cs="Arial"/>
          <w:sz w:val="26"/>
        </w:rPr>
        <w:softHyphen/>
        <w:t>nications services as well as broadband access to retail Internet services.  Previously, the Commission noted</w:t>
      </w:r>
      <w:r w:rsidR="003471B4">
        <w:rPr>
          <w:rFonts w:cs="Arial"/>
          <w:sz w:val="26"/>
        </w:rPr>
        <w:t>:</w:t>
      </w:r>
    </w:p>
    <w:p w:rsidR="003471B4" w:rsidRDefault="003471B4" w:rsidP="009E3FC0">
      <w:pPr>
        <w:spacing w:line="360" w:lineRule="auto"/>
        <w:ind w:firstLine="1440"/>
        <w:rPr>
          <w:rFonts w:cs="Arial"/>
          <w:sz w:val="26"/>
        </w:rPr>
      </w:pPr>
    </w:p>
    <w:p w:rsidR="003471B4" w:rsidRDefault="003471B4" w:rsidP="00E045C7">
      <w:pPr>
        <w:ind w:left="1440" w:right="1440"/>
        <w:rPr>
          <w:rFonts w:cs="Arial"/>
          <w:sz w:val="26"/>
        </w:rPr>
      </w:pPr>
      <w:r>
        <w:rPr>
          <w:rFonts w:cs="Arial"/>
          <w:sz w:val="26"/>
        </w:rPr>
        <w:t>T</w:t>
      </w:r>
      <w:r w:rsidR="009C1047" w:rsidRPr="009C1047">
        <w:rPr>
          <w:rFonts w:cs="Arial"/>
          <w:sz w:val="26"/>
        </w:rPr>
        <w:t>o</w:t>
      </w:r>
      <w:r>
        <w:rPr>
          <w:rFonts w:cs="Arial"/>
          <w:sz w:val="26"/>
        </w:rPr>
        <w:t xml:space="preserve"> </w:t>
      </w:r>
      <w:r w:rsidR="009C1047" w:rsidRPr="009C1047">
        <w:rPr>
          <w:rFonts w:cs="Arial"/>
          <w:sz w:val="26"/>
        </w:rPr>
        <w:t>the extent that issues of installation, quality, adequacy, reliability, safety and privacy of jurisdictional public utility telecommunications services are implicated</w:t>
      </w:r>
      <w:r w:rsidR="007C32C3">
        <w:rPr>
          <w:rFonts w:cs="Arial"/>
          <w:sz w:val="26"/>
        </w:rPr>
        <w:t xml:space="preserve"> </w:t>
      </w:r>
      <w:r w:rsidR="007C32C3">
        <w:t xml:space="preserve">– </w:t>
      </w:r>
      <w:r w:rsidR="009C1047" w:rsidRPr="009C1047">
        <w:rPr>
          <w:rFonts w:cs="Arial"/>
          <w:sz w:val="26"/>
        </w:rPr>
        <w:t>whether th</w:t>
      </w:r>
      <w:r w:rsidR="007C32C3">
        <w:rPr>
          <w:rFonts w:cs="Arial"/>
          <w:sz w:val="26"/>
        </w:rPr>
        <w:t>o</w:t>
      </w:r>
      <w:r w:rsidR="009C1047" w:rsidRPr="009C1047">
        <w:rPr>
          <w:rFonts w:cs="Arial"/>
          <w:sz w:val="26"/>
        </w:rPr>
        <w:t xml:space="preserve">se are price regulated or not </w:t>
      </w:r>
      <w:r w:rsidR="007C32C3">
        <w:t xml:space="preserve">– </w:t>
      </w:r>
      <w:r w:rsidR="009C1047" w:rsidRPr="009C1047">
        <w:rPr>
          <w:rFonts w:cs="Arial"/>
          <w:sz w:val="26"/>
        </w:rPr>
        <w:t>and whether the associated facilities of a regulated public utility may be involved for the adequate, safe and reliable provision of such services, the Commission is statutorily obliged to maintain the appropriate degree of interest and regulatory oversight.</w:t>
      </w:r>
    </w:p>
    <w:p w:rsidR="003471B4" w:rsidRDefault="003471B4" w:rsidP="002F14FA">
      <w:pPr>
        <w:spacing w:line="360" w:lineRule="auto"/>
        <w:rPr>
          <w:rFonts w:cs="Arial"/>
          <w:sz w:val="26"/>
        </w:rPr>
      </w:pPr>
    </w:p>
    <w:p w:rsidR="009C1047" w:rsidRPr="009C1047" w:rsidRDefault="009C1047" w:rsidP="002F14FA">
      <w:pPr>
        <w:spacing w:line="360" w:lineRule="auto"/>
        <w:rPr>
          <w:rFonts w:cs="Arial"/>
          <w:sz w:val="26"/>
          <w:szCs w:val="26"/>
        </w:rPr>
      </w:pPr>
      <w:proofErr w:type="spellStart"/>
      <w:r w:rsidRPr="00461752">
        <w:rPr>
          <w:rFonts w:cs="Arial"/>
          <w:i/>
          <w:sz w:val="26"/>
        </w:rPr>
        <w:t>Daskalakis</w:t>
      </w:r>
      <w:proofErr w:type="spellEnd"/>
      <w:r w:rsidRPr="00461752">
        <w:rPr>
          <w:rFonts w:cs="Arial"/>
          <w:i/>
          <w:sz w:val="26"/>
        </w:rPr>
        <w:t xml:space="preserve"> v</w:t>
      </w:r>
      <w:r w:rsidR="00ED3CE7">
        <w:rPr>
          <w:rFonts w:cs="Arial"/>
          <w:i/>
          <w:sz w:val="26"/>
        </w:rPr>
        <w:t>.</w:t>
      </w:r>
      <w:r w:rsidRPr="00461752">
        <w:rPr>
          <w:rFonts w:cs="Arial"/>
          <w:i/>
          <w:sz w:val="26"/>
        </w:rPr>
        <w:t xml:space="preserve"> Verizon Pennsylvania Inc.</w:t>
      </w:r>
      <w:r w:rsidRPr="009C1047">
        <w:rPr>
          <w:rFonts w:cs="Arial"/>
          <w:sz w:val="26"/>
        </w:rPr>
        <w:t xml:space="preserve">, Docket No. C-2010-2172222 </w:t>
      </w:r>
      <w:r w:rsidR="00461752">
        <w:rPr>
          <w:rFonts w:cs="Arial"/>
          <w:sz w:val="26"/>
        </w:rPr>
        <w:t>(</w:t>
      </w:r>
      <w:r w:rsidRPr="009C1047">
        <w:rPr>
          <w:rFonts w:cs="Arial"/>
          <w:sz w:val="26"/>
        </w:rPr>
        <w:t xml:space="preserve">Order entered April </w:t>
      </w:r>
      <w:r w:rsidR="007C32C3">
        <w:rPr>
          <w:rFonts w:cs="Arial"/>
          <w:sz w:val="26"/>
        </w:rPr>
        <w:t>4</w:t>
      </w:r>
      <w:r w:rsidRPr="009C1047">
        <w:rPr>
          <w:rFonts w:cs="Arial"/>
          <w:sz w:val="26"/>
        </w:rPr>
        <w:t>, 2011</w:t>
      </w:r>
      <w:r w:rsidR="00461752">
        <w:rPr>
          <w:rFonts w:cs="Arial"/>
          <w:sz w:val="26"/>
        </w:rPr>
        <w:t>),</w:t>
      </w:r>
      <w:r w:rsidRPr="009C1047">
        <w:rPr>
          <w:rFonts w:cs="Arial"/>
          <w:sz w:val="26"/>
        </w:rPr>
        <w:t xml:space="preserve"> at 8-9, citing 66 Pa. C.S. §§ 102 and 3019(b</w:t>
      </w:r>
      <w:proofErr w:type="gramStart"/>
      <w:r w:rsidRPr="009C1047">
        <w:rPr>
          <w:rFonts w:cs="Arial"/>
          <w:sz w:val="26"/>
        </w:rPr>
        <w:t>)(</w:t>
      </w:r>
      <w:proofErr w:type="gramEnd"/>
      <w:r w:rsidRPr="009C1047">
        <w:rPr>
          <w:rFonts w:cs="Arial"/>
          <w:sz w:val="26"/>
        </w:rPr>
        <w:t xml:space="preserve">2); </w:t>
      </w:r>
      <w:r w:rsidRPr="009C1047">
        <w:rPr>
          <w:rFonts w:cs="Arial"/>
          <w:i/>
          <w:sz w:val="26"/>
        </w:rPr>
        <w:t>see also</w:t>
      </w:r>
      <w:r w:rsidR="006313B8">
        <w:rPr>
          <w:rFonts w:cs="Arial"/>
          <w:i/>
          <w:sz w:val="26"/>
        </w:rPr>
        <w:t>,</w:t>
      </w:r>
      <w:r w:rsidRPr="009C1047">
        <w:rPr>
          <w:rFonts w:cs="Arial"/>
          <w:i/>
          <w:sz w:val="26"/>
        </w:rPr>
        <w:t xml:space="preserve"> </w:t>
      </w:r>
      <w:proofErr w:type="spellStart"/>
      <w:r w:rsidRPr="00461752">
        <w:rPr>
          <w:rFonts w:cs="Arial"/>
          <w:i/>
          <w:sz w:val="26"/>
        </w:rPr>
        <w:t>Olubanjo</w:t>
      </w:r>
      <w:proofErr w:type="spellEnd"/>
      <w:r w:rsidRPr="00461752">
        <w:rPr>
          <w:rFonts w:cs="Arial"/>
          <w:i/>
          <w:sz w:val="26"/>
        </w:rPr>
        <w:t xml:space="preserve"> v. Verizon Pennsylvania Inc.</w:t>
      </w:r>
      <w:r w:rsidRPr="009C1047">
        <w:rPr>
          <w:rFonts w:cs="Arial"/>
          <w:sz w:val="26"/>
        </w:rPr>
        <w:t xml:space="preserve">, Docket No. C-2009-2123326 </w:t>
      </w:r>
      <w:r w:rsidR="00461752">
        <w:rPr>
          <w:rFonts w:cs="Arial"/>
          <w:sz w:val="26"/>
        </w:rPr>
        <w:t>(</w:t>
      </w:r>
      <w:r w:rsidRPr="009C1047">
        <w:rPr>
          <w:rFonts w:cs="Arial"/>
          <w:sz w:val="26"/>
        </w:rPr>
        <w:t>Order entered March 18, 2011</w:t>
      </w:r>
      <w:r w:rsidR="00461752">
        <w:rPr>
          <w:rFonts w:cs="Arial"/>
          <w:sz w:val="26"/>
        </w:rPr>
        <w:t>)</w:t>
      </w:r>
      <w:r w:rsidRPr="009C1047">
        <w:rPr>
          <w:rFonts w:cs="Arial"/>
          <w:sz w:val="26"/>
        </w:rPr>
        <w:t>, at 16.</w:t>
      </w:r>
    </w:p>
    <w:p w:rsidR="009C1047" w:rsidRPr="009C1047" w:rsidRDefault="009C1047" w:rsidP="009C1047">
      <w:pPr>
        <w:spacing w:line="360" w:lineRule="auto"/>
        <w:ind w:firstLine="720"/>
        <w:jc w:val="both"/>
        <w:rPr>
          <w:rFonts w:cs="Arial"/>
          <w:sz w:val="26"/>
          <w:szCs w:val="26"/>
        </w:rPr>
      </w:pPr>
    </w:p>
    <w:p w:rsidR="009C1047" w:rsidRPr="009C1047" w:rsidRDefault="00DD6A5C" w:rsidP="001050C5">
      <w:pPr>
        <w:spacing w:line="360" w:lineRule="auto"/>
        <w:ind w:firstLine="1440"/>
        <w:rPr>
          <w:rFonts w:cs="Arial"/>
          <w:sz w:val="26"/>
          <w:szCs w:val="20"/>
        </w:rPr>
      </w:pPr>
      <w:r>
        <w:rPr>
          <w:rFonts w:cs="Arial"/>
          <w:sz w:val="26"/>
          <w:szCs w:val="26"/>
        </w:rPr>
        <w:t>W</w:t>
      </w:r>
      <w:r w:rsidR="009C1047" w:rsidRPr="009C1047">
        <w:rPr>
          <w:rFonts w:cs="Arial"/>
          <w:sz w:val="26"/>
          <w:szCs w:val="26"/>
        </w:rPr>
        <w:t xml:space="preserve">e do not agree with the decision to dismiss the Complaint in its entirety.  Upon review, </w:t>
      </w:r>
      <w:r w:rsidR="001050C5">
        <w:rPr>
          <w:rFonts w:cs="Arial"/>
          <w:sz w:val="26"/>
          <w:szCs w:val="26"/>
        </w:rPr>
        <w:t xml:space="preserve">the </w:t>
      </w:r>
      <w:r w:rsidR="009C1047" w:rsidRPr="009C1047">
        <w:rPr>
          <w:rFonts w:cs="Arial"/>
          <w:sz w:val="26"/>
          <w:szCs w:val="26"/>
        </w:rPr>
        <w:t>Complainant has raised a jurisdictional “adequacy of service” issue regarding the migration of its telephone lines to Verizon PA.  This issue implicates Verizon’s “reasonableness of service” obligation under Section 1501 of the Code, 66 Pa. C.S. §</w:t>
      </w:r>
      <w:r w:rsidR="006313B8">
        <w:rPr>
          <w:rFonts w:cs="Arial"/>
          <w:sz w:val="26"/>
          <w:szCs w:val="26"/>
        </w:rPr>
        <w:t xml:space="preserve"> </w:t>
      </w:r>
      <w:r w:rsidR="009C1047" w:rsidRPr="009C1047">
        <w:rPr>
          <w:rFonts w:cs="Arial"/>
          <w:sz w:val="26"/>
          <w:szCs w:val="26"/>
        </w:rPr>
        <w:t xml:space="preserve">1501, and the Commission’s </w:t>
      </w:r>
      <w:r w:rsidR="001050C5">
        <w:rPr>
          <w:rFonts w:cs="Arial"/>
          <w:sz w:val="26"/>
          <w:szCs w:val="26"/>
        </w:rPr>
        <w:t>R</w:t>
      </w:r>
      <w:r w:rsidR="009C1047" w:rsidRPr="009C1047">
        <w:rPr>
          <w:rFonts w:cs="Arial"/>
          <w:sz w:val="26"/>
        </w:rPr>
        <w:t xml:space="preserve">egulations that address changes in local telephone service providers (LSPs).  These Regulations establish general rules, procedures, and standards governing the migration of customers between LSPs, including porting telephone numbers, transitioning service accounts, and coordinating a customer’s service during a migration.  52 Pa. Code §§ 63.201, </w:t>
      </w:r>
      <w:r w:rsidR="009C1047" w:rsidRPr="001050C5">
        <w:rPr>
          <w:rFonts w:cs="Arial"/>
          <w:i/>
          <w:sz w:val="26"/>
        </w:rPr>
        <w:t>et seq</w:t>
      </w:r>
      <w:r w:rsidR="009C1047" w:rsidRPr="009C1047">
        <w:rPr>
          <w:rFonts w:cs="Arial"/>
          <w:i/>
          <w:sz w:val="26"/>
        </w:rPr>
        <w:t>.</w:t>
      </w:r>
      <w:r w:rsidR="009C1047" w:rsidRPr="009C1047">
        <w:rPr>
          <w:rFonts w:cs="Arial"/>
          <w:sz w:val="26"/>
        </w:rPr>
        <w:t xml:space="preserve">  In short, the purpose of these </w:t>
      </w:r>
      <w:r w:rsidR="001050C5">
        <w:rPr>
          <w:rFonts w:cs="Arial"/>
          <w:sz w:val="26"/>
        </w:rPr>
        <w:t>R</w:t>
      </w:r>
      <w:r w:rsidR="009C1047" w:rsidRPr="009C1047">
        <w:rPr>
          <w:rFonts w:cs="Arial"/>
          <w:sz w:val="26"/>
        </w:rPr>
        <w:t xml:space="preserve">egulations is to ensure that customers can migrate from one LSP to another LSP without confusion, delay, or interruption in service.  52 Pa. Code § 63.191(a).  </w:t>
      </w:r>
    </w:p>
    <w:p w:rsidR="009C1047" w:rsidRPr="009C1047" w:rsidRDefault="009C1047" w:rsidP="009C1047">
      <w:pPr>
        <w:spacing w:line="360" w:lineRule="auto"/>
        <w:ind w:firstLine="720"/>
        <w:jc w:val="both"/>
        <w:rPr>
          <w:rFonts w:cs="Arial"/>
          <w:sz w:val="26"/>
        </w:rPr>
      </w:pPr>
    </w:p>
    <w:p w:rsidR="009C1047" w:rsidRPr="009C1047" w:rsidRDefault="009C1047" w:rsidP="001050C5">
      <w:pPr>
        <w:spacing w:line="360" w:lineRule="auto"/>
        <w:ind w:firstLine="1440"/>
        <w:rPr>
          <w:rFonts w:cs="Arial"/>
          <w:sz w:val="26"/>
        </w:rPr>
      </w:pPr>
      <w:r w:rsidRPr="009C1047">
        <w:rPr>
          <w:rFonts w:cs="Arial"/>
          <w:sz w:val="26"/>
        </w:rPr>
        <w:t>In addition, it is unclear how many of the migrated access lines were also configured for DSL service capable of handling both ordinary telecom</w:t>
      </w:r>
      <w:r w:rsidRPr="009C1047">
        <w:rPr>
          <w:rFonts w:cs="Arial"/>
          <w:sz w:val="26"/>
        </w:rPr>
        <w:softHyphen/>
        <w:t>munications and broadband access to retail Internet.  Verizon PA’s allegation that DSL service is provided by Verizon On-Line, allegedly a separate entity,</w:t>
      </w:r>
      <w:r w:rsidRPr="009C1047">
        <w:rPr>
          <w:rStyle w:val="FootnoteReference"/>
          <w:rFonts w:cs="Arial"/>
        </w:rPr>
        <w:footnoteReference w:id="1"/>
      </w:r>
      <w:r w:rsidRPr="009C1047">
        <w:rPr>
          <w:rFonts w:cs="Arial"/>
          <w:sz w:val="26"/>
        </w:rPr>
        <w:t xml:space="preserve"> is immaterial to the present inquiry on the line migration issue</w:t>
      </w:r>
      <w:r w:rsidR="001050C5">
        <w:rPr>
          <w:rFonts w:cs="Arial"/>
          <w:sz w:val="26"/>
        </w:rPr>
        <w:t>,</w:t>
      </w:r>
      <w:r w:rsidRPr="009C1047">
        <w:rPr>
          <w:rFonts w:cs="Arial"/>
          <w:sz w:val="26"/>
        </w:rPr>
        <w:t xml:space="preserve"> because both</w:t>
      </w:r>
      <w:r w:rsidR="001050C5">
        <w:rPr>
          <w:rFonts w:cs="Arial"/>
          <w:sz w:val="26"/>
        </w:rPr>
        <w:t xml:space="preserve"> </w:t>
      </w:r>
      <w:r w:rsidRPr="009C1047">
        <w:rPr>
          <w:rFonts w:cs="Arial"/>
          <w:sz w:val="26"/>
        </w:rPr>
        <w:t>the prior carrier</w:t>
      </w:r>
      <w:r w:rsidR="001050C5">
        <w:rPr>
          <w:rFonts w:cs="Arial"/>
          <w:sz w:val="26"/>
        </w:rPr>
        <w:t>,</w:t>
      </w:r>
      <w:r w:rsidRPr="009C1047">
        <w:rPr>
          <w:rFonts w:cs="Arial"/>
          <w:sz w:val="26"/>
        </w:rPr>
        <w:t xml:space="preserve"> Line Systems, Inc.</w:t>
      </w:r>
      <w:r w:rsidR="001050C5">
        <w:rPr>
          <w:rFonts w:cs="Arial"/>
          <w:sz w:val="26"/>
        </w:rPr>
        <w:t>,</w:t>
      </w:r>
      <w:r w:rsidRPr="009C1047">
        <w:rPr>
          <w:rFonts w:cs="Arial"/>
          <w:sz w:val="26"/>
        </w:rPr>
        <w:t xml:space="preserve"> and Verizon PA, as local service providers, are responsible for proper access line migration.  </w:t>
      </w:r>
      <w:r w:rsidRPr="009C1047">
        <w:rPr>
          <w:rFonts w:cs="Arial"/>
          <w:sz w:val="26"/>
        </w:rPr>
        <w:lastRenderedPageBreak/>
        <w:t xml:space="preserve">Therefore, the migration of </w:t>
      </w:r>
      <w:r w:rsidR="001050C5">
        <w:rPr>
          <w:rFonts w:cs="Arial"/>
          <w:sz w:val="26"/>
        </w:rPr>
        <w:t xml:space="preserve">the </w:t>
      </w:r>
      <w:r w:rsidRPr="009C1047">
        <w:rPr>
          <w:rFonts w:cs="Arial"/>
          <w:sz w:val="26"/>
        </w:rPr>
        <w:t xml:space="preserve">Complainant’s access lines is an appropriate remand issue.  </w:t>
      </w:r>
    </w:p>
    <w:p w:rsidR="009C1047" w:rsidRPr="009C1047" w:rsidRDefault="009C1047" w:rsidP="009C1047">
      <w:pPr>
        <w:spacing w:line="360" w:lineRule="auto"/>
        <w:ind w:firstLine="720"/>
        <w:jc w:val="both"/>
        <w:rPr>
          <w:rFonts w:cs="Arial"/>
          <w:sz w:val="26"/>
        </w:rPr>
      </w:pPr>
    </w:p>
    <w:p w:rsidR="009C1047" w:rsidRPr="009C1047" w:rsidRDefault="009C1047" w:rsidP="00D848FA">
      <w:pPr>
        <w:spacing w:line="360" w:lineRule="auto"/>
        <w:ind w:firstLine="1440"/>
        <w:rPr>
          <w:rFonts w:cs="Arial"/>
          <w:sz w:val="26"/>
        </w:rPr>
      </w:pPr>
      <w:r w:rsidRPr="009C1047">
        <w:rPr>
          <w:rFonts w:cs="Arial"/>
          <w:sz w:val="26"/>
        </w:rPr>
        <w:t xml:space="preserve">Also, in its Answer, Verizon alleges that any service interruptions for telephone service experienced by </w:t>
      </w:r>
      <w:r w:rsidR="00D848FA">
        <w:rPr>
          <w:rFonts w:cs="Arial"/>
          <w:sz w:val="26"/>
        </w:rPr>
        <w:t xml:space="preserve">the Complainant </w:t>
      </w:r>
      <w:r w:rsidRPr="009C1047">
        <w:rPr>
          <w:rFonts w:cs="Arial"/>
          <w:sz w:val="26"/>
        </w:rPr>
        <w:t xml:space="preserve">during the period in question were due solely to the Complainant’s failure to pay for services, resulting in properly noticed and justified service suspensions and termination.  According to Verizon PA, repeated notices of non-payment and service suspensions were issued to the Complainant, beginning in June 2009, for non-payment of bills.  Thus, another jurisdictional issue raised here is whether Verizon’s PA’s suspension and/or termination of </w:t>
      </w:r>
      <w:r w:rsidR="00D848FA">
        <w:rPr>
          <w:rFonts w:cs="Arial"/>
          <w:sz w:val="26"/>
        </w:rPr>
        <w:t xml:space="preserve">the </w:t>
      </w:r>
      <w:r w:rsidRPr="009C1047">
        <w:rPr>
          <w:rFonts w:cs="Arial"/>
          <w:sz w:val="26"/>
        </w:rPr>
        <w:t xml:space="preserve">Complainant’s telephone service was lawful and appropriate.      </w:t>
      </w:r>
    </w:p>
    <w:p w:rsidR="009C1047" w:rsidRPr="009C1047" w:rsidRDefault="009C1047" w:rsidP="009C1047">
      <w:pPr>
        <w:spacing w:line="360" w:lineRule="auto"/>
        <w:ind w:firstLine="720"/>
        <w:jc w:val="both"/>
        <w:rPr>
          <w:rFonts w:cs="Arial"/>
          <w:sz w:val="26"/>
        </w:rPr>
      </w:pPr>
    </w:p>
    <w:p w:rsidR="009C1047" w:rsidRPr="009C1047" w:rsidRDefault="009C1047" w:rsidP="00D848FA">
      <w:pPr>
        <w:spacing w:line="360" w:lineRule="auto"/>
        <w:ind w:firstLine="1440"/>
        <w:rPr>
          <w:rFonts w:cs="Arial"/>
          <w:sz w:val="26"/>
          <w:szCs w:val="26"/>
        </w:rPr>
      </w:pPr>
      <w:r w:rsidRPr="009C1047">
        <w:rPr>
          <w:rFonts w:cs="Arial"/>
          <w:sz w:val="26"/>
          <w:szCs w:val="26"/>
        </w:rPr>
        <w:t xml:space="preserve">To address the service migration and billing/termination issues, this matter is remanded to the </w:t>
      </w:r>
      <w:r w:rsidR="0019251E">
        <w:rPr>
          <w:rFonts w:cs="Arial"/>
          <w:sz w:val="26"/>
          <w:szCs w:val="26"/>
        </w:rPr>
        <w:t xml:space="preserve">OALJ </w:t>
      </w:r>
      <w:r w:rsidRPr="009C1047">
        <w:rPr>
          <w:rFonts w:cs="Arial"/>
          <w:sz w:val="26"/>
          <w:szCs w:val="26"/>
        </w:rPr>
        <w:t>for further proceedings.</w:t>
      </w:r>
      <w:r w:rsidRPr="009C1047">
        <w:rPr>
          <w:rStyle w:val="FootnoteReference"/>
          <w:rFonts w:cs="Arial"/>
        </w:rPr>
        <w:footnoteReference w:id="2"/>
      </w:r>
      <w:r w:rsidRPr="009C1047">
        <w:rPr>
          <w:rFonts w:cs="Arial"/>
          <w:sz w:val="26"/>
          <w:szCs w:val="26"/>
        </w:rPr>
        <w:t xml:space="preserve">  Due to the passage of time between the allegations in the Complaint and the date of this </w:t>
      </w:r>
      <w:r w:rsidR="00602E36">
        <w:rPr>
          <w:rFonts w:cs="Arial"/>
          <w:sz w:val="26"/>
          <w:szCs w:val="26"/>
        </w:rPr>
        <w:t>Opinion and Order</w:t>
      </w:r>
      <w:r w:rsidR="006313B8">
        <w:rPr>
          <w:rFonts w:cs="Arial"/>
          <w:sz w:val="26"/>
          <w:szCs w:val="26"/>
        </w:rPr>
        <w:t>,</w:t>
      </w:r>
      <w:r w:rsidRPr="009C1047">
        <w:rPr>
          <w:rFonts w:cs="Arial"/>
          <w:sz w:val="26"/>
          <w:szCs w:val="26"/>
        </w:rPr>
        <w:t xml:space="preserve"> and the fact that the Commission does not have </w:t>
      </w:r>
      <w:r w:rsidR="00602E36">
        <w:rPr>
          <w:rFonts w:cs="Arial"/>
          <w:sz w:val="26"/>
          <w:szCs w:val="26"/>
        </w:rPr>
        <w:t xml:space="preserve">the </w:t>
      </w:r>
      <w:r w:rsidRPr="009C1047">
        <w:rPr>
          <w:rFonts w:cs="Arial"/>
          <w:sz w:val="26"/>
          <w:szCs w:val="26"/>
        </w:rPr>
        <w:t xml:space="preserve">authority to award money damages as part </w:t>
      </w:r>
      <w:r w:rsidR="00602E36">
        <w:rPr>
          <w:rFonts w:cs="Arial"/>
          <w:sz w:val="26"/>
          <w:szCs w:val="26"/>
        </w:rPr>
        <w:t>of the</w:t>
      </w:r>
      <w:r w:rsidRPr="009C1047">
        <w:rPr>
          <w:rFonts w:cs="Arial"/>
          <w:sz w:val="26"/>
          <w:szCs w:val="26"/>
        </w:rPr>
        <w:t xml:space="preserve"> remand</w:t>
      </w:r>
      <w:r w:rsidR="00602E36">
        <w:rPr>
          <w:rFonts w:cs="Arial"/>
          <w:sz w:val="26"/>
          <w:szCs w:val="26"/>
        </w:rPr>
        <w:t xml:space="preserve"> proceeding</w:t>
      </w:r>
      <w:r w:rsidRPr="009C1047">
        <w:rPr>
          <w:rFonts w:cs="Arial"/>
          <w:sz w:val="26"/>
          <w:szCs w:val="26"/>
        </w:rPr>
        <w:t xml:space="preserve">, we direct </w:t>
      </w:r>
      <w:r w:rsidR="00602E36">
        <w:rPr>
          <w:rFonts w:cs="Arial"/>
          <w:sz w:val="26"/>
          <w:szCs w:val="26"/>
        </w:rPr>
        <w:t xml:space="preserve">the </w:t>
      </w:r>
      <w:r w:rsidRPr="009C1047">
        <w:rPr>
          <w:rFonts w:cs="Arial"/>
          <w:sz w:val="26"/>
          <w:szCs w:val="26"/>
        </w:rPr>
        <w:t>Complainant to notify the Commission, in writing</w:t>
      </w:r>
      <w:r w:rsidR="006313B8">
        <w:rPr>
          <w:rFonts w:cs="Arial"/>
          <w:sz w:val="26"/>
          <w:szCs w:val="26"/>
        </w:rPr>
        <w:t>,</w:t>
      </w:r>
      <w:r w:rsidRPr="009C1047">
        <w:rPr>
          <w:rFonts w:cs="Arial"/>
          <w:sz w:val="26"/>
          <w:szCs w:val="26"/>
        </w:rPr>
        <w:t xml:space="preserve"> with a copy to counsel for Verizon Pennsylvania Inc., as to whether it intends to proceed with the remand proceeding.  Such notification is to be filed with the Commission’s Secretary within </w:t>
      </w:r>
      <w:r w:rsidR="00602E36">
        <w:rPr>
          <w:rFonts w:cs="Arial"/>
          <w:sz w:val="26"/>
          <w:szCs w:val="26"/>
        </w:rPr>
        <w:t>twenty</w:t>
      </w:r>
      <w:r w:rsidRPr="009C1047">
        <w:rPr>
          <w:rFonts w:cs="Arial"/>
          <w:sz w:val="26"/>
          <w:szCs w:val="26"/>
        </w:rPr>
        <w:t xml:space="preserve"> days of the entry date of th</w:t>
      </w:r>
      <w:r w:rsidR="00602E36">
        <w:rPr>
          <w:rFonts w:cs="Arial"/>
          <w:sz w:val="26"/>
          <w:szCs w:val="26"/>
        </w:rPr>
        <w:t>is Opinion and</w:t>
      </w:r>
      <w:r w:rsidRPr="009C1047">
        <w:rPr>
          <w:rFonts w:cs="Arial"/>
          <w:sz w:val="26"/>
          <w:szCs w:val="26"/>
        </w:rPr>
        <w:t xml:space="preserve"> Order.  If </w:t>
      </w:r>
      <w:r w:rsidR="00602E36">
        <w:rPr>
          <w:rFonts w:cs="Arial"/>
          <w:sz w:val="26"/>
          <w:szCs w:val="26"/>
        </w:rPr>
        <w:t xml:space="preserve">the </w:t>
      </w:r>
      <w:r w:rsidRPr="009C1047">
        <w:rPr>
          <w:rFonts w:cs="Arial"/>
          <w:sz w:val="26"/>
          <w:szCs w:val="26"/>
        </w:rPr>
        <w:t xml:space="preserve">Complainant elects to proceed, the remand proceeding shall be conducted on an expedited basis, with a procedural schedule to be worked out by the </w:t>
      </w:r>
      <w:r w:rsidR="00602E36">
        <w:rPr>
          <w:rFonts w:cs="Arial"/>
          <w:sz w:val="26"/>
          <w:szCs w:val="26"/>
        </w:rPr>
        <w:t>P</w:t>
      </w:r>
      <w:r w:rsidRPr="009C1047">
        <w:rPr>
          <w:rFonts w:cs="Arial"/>
          <w:sz w:val="26"/>
          <w:szCs w:val="26"/>
        </w:rPr>
        <w:t xml:space="preserve">arties and the Presiding Officer.  As part of the remand, we also encourage the </w:t>
      </w:r>
      <w:r w:rsidR="00602E36">
        <w:rPr>
          <w:rFonts w:cs="Arial"/>
          <w:sz w:val="26"/>
          <w:szCs w:val="26"/>
        </w:rPr>
        <w:t>P</w:t>
      </w:r>
      <w:r w:rsidRPr="009C1047">
        <w:rPr>
          <w:rFonts w:cs="Arial"/>
          <w:sz w:val="26"/>
          <w:szCs w:val="26"/>
        </w:rPr>
        <w:t>arties to pursue mediation before the Commission’s mediation unit.</w:t>
      </w:r>
    </w:p>
    <w:bookmarkEnd w:id="0"/>
    <w:p w:rsidR="00956972" w:rsidRPr="00385898" w:rsidRDefault="00956972" w:rsidP="00E045C7">
      <w:pPr>
        <w:spacing w:line="360" w:lineRule="auto"/>
        <w:jc w:val="center"/>
        <w:rPr>
          <w:b/>
          <w:sz w:val="26"/>
          <w:szCs w:val="26"/>
        </w:rPr>
      </w:pPr>
      <w:r w:rsidRPr="00385898">
        <w:rPr>
          <w:b/>
          <w:sz w:val="26"/>
          <w:szCs w:val="26"/>
        </w:rPr>
        <w:lastRenderedPageBreak/>
        <w:t>Conclusion</w:t>
      </w:r>
    </w:p>
    <w:p w:rsidR="006C56A5" w:rsidRPr="00385898" w:rsidRDefault="006C56A5" w:rsidP="00385898">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23377F">
        <w:rPr>
          <w:sz w:val="26"/>
          <w:szCs w:val="26"/>
        </w:rPr>
        <w:t xml:space="preserve">Based on our review of the </w:t>
      </w:r>
      <w:r w:rsidR="002A3250">
        <w:rPr>
          <w:sz w:val="26"/>
          <w:szCs w:val="26"/>
        </w:rPr>
        <w:t>P</w:t>
      </w:r>
      <w:r w:rsidR="003928E1">
        <w:rPr>
          <w:sz w:val="26"/>
          <w:szCs w:val="26"/>
        </w:rPr>
        <w:t xml:space="preserve">arties’ pleadings, the ALJ’s Initial Decision, </w:t>
      </w:r>
      <w:r w:rsidR="0023377F">
        <w:rPr>
          <w:sz w:val="26"/>
          <w:szCs w:val="26"/>
        </w:rPr>
        <w:t>and the applicable</w:t>
      </w:r>
      <w:r w:rsidR="003928E1">
        <w:rPr>
          <w:sz w:val="26"/>
          <w:szCs w:val="26"/>
        </w:rPr>
        <w:t xml:space="preserve"> </w:t>
      </w:r>
      <w:r w:rsidR="0023377F">
        <w:rPr>
          <w:sz w:val="26"/>
          <w:szCs w:val="26"/>
        </w:rPr>
        <w:t>law,</w:t>
      </w:r>
      <w:r w:rsidR="00474DBB">
        <w:rPr>
          <w:sz w:val="26"/>
          <w:szCs w:val="26"/>
        </w:rPr>
        <w:t xml:space="preserve"> </w:t>
      </w:r>
      <w:r w:rsidR="00FD497B">
        <w:rPr>
          <w:sz w:val="26"/>
          <w:szCs w:val="26"/>
        </w:rPr>
        <w:t>w</w:t>
      </w:r>
      <w:r w:rsidR="00B265B1">
        <w:rPr>
          <w:sz w:val="26"/>
          <w:szCs w:val="26"/>
        </w:rPr>
        <w:t xml:space="preserve">e </w:t>
      </w:r>
      <w:r w:rsidR="00502D50">
        <w:rPr>
          <w:sz w:val="26"/>
          <w:szCs w:val="26"/>
        </w:rPr>
        <w:t>shall</w:t>
      </w:r>
      <w:r w:rsidR="0019318F">
        <w:rPr>
          <w:sz w:val="26"/>
          <w:szCs w:val="26"/>
        </w:rPr>
        <w:t xml:space="preserve"> </w:t>
      </w:r>
      <w:r w:rsidR="0023377F">
        <w:rPr>
          <w:sz w:val="26"/>
          <w:szCs w:val="26"/>
        </w:rPr>
        <w:t>modify the ALJ’s Initial Decision</w:t>
      </w:r>
      <w:r w:rsidR="0019251E">
        <w:rPr>
          <w:sz w:val="26"/>
          <w:szCs w:val="26"/>
        </w:rPr>
        <w:t>, consistent with this Opinion and Order</w:t>
      </w:r>
      <w:r w:rsidR="00795F8D">
        <w:rPr>
          <w:sz w:val="26"/>
          <w:szCs w:val="26"/>
        </w:rPr>
        <w:t xml:space="preserve">.  </w:t>
      </w:r>
      <w:r w:rsidR="001F49F1">
        <w:rPr>
          <w:sz w:val="26"/>
          <w:szCs w:val="26"/>
        </w:rPr>
        <w:t>Additionally,</w:t>
      </w:r>
      <w:r w:rsidR="0019251E">
        <w:rPr>
          <w:sz w:val="26"/>
          <w:szCs w:val="26"/>
        </w:rPr>
        <w:t xml:space="preserve"> we shall remand this proceeding to the OALJ for further proceedings regarding</w:t>
      </w:r>
      <w:r w:rsidR="0019251E" w:rsidRPr="0019251E">
        <w:rPr>
          <w:rFonts w:cs="Arial"/>
          <w:sz w:val="26"/>
          <w:szCs w:val="26"/>
        </w:rPr>
        <w:t xml:space="preserve"> </w:t>
      </w:r>
      <w:r w:rsidR="0019251E" w:rsidRPr="009C1047">
        <w:rPr>
          <w:rFonts w:cs="Arial"/>
          <w:sz w:val="26"/>
          <w:szCs w:val="26"/>
        </w:rPr>
        <w:t>the service migration and billing/termination issues</w:t>
      </w:r>
      <w:r w:rsidR="0019251E">
        <w:rPr>
          <w:rFonts w:cs="Arial"/>
          <w:sz w:val="26"/>
          <w:szCs w:val="26"/>
        </w:rPr>
        <w:t xml:space="preserve"> as set forth in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F97807" w:rsidRDefault="001A1AD3" w:rsidP="00F97807">
      <w:pPr>
        <w:spacing w:line="360" w:lineRule="auto"/>
        <w:rPr>
          <w:sz w:val="26"/>
          <w:szCs w:val="26"/>
        </w:rPr>
      </w:pPr>
      <w:r>
        <w:rPr>
          <w:sz w:val="26"/>
          <w:szCs w:val="26"/>
        </w:rPr>
        <w:tab/>
      </w:r>
      <w:r>
        <w:rPr>
          <w:sz w:val="26"/>
          <w:szCs w:val="26"/>
        </w:rPr>
        <w:tab/>
      </w:r>
      <w:r w:rsidR="0019251E">
        <w:rPr>
          <w:sz w:val="26"/>
          <w:szCs w:val="26"/>
        </w:rPr>
        <w:t>1</w:t>
      </w:r>
      <w:r w:rsidR="00431F78" w:rsidRPr="00A37986">
        <w:rPr>
          <w:sz w:val="26"/>
          <w:szCs w:val="26"/>
        </w:rPr>
        <w:t>.</w:t>
      </w:r>
      <w:r w:rsidR="00431F78">
        <w:rPr>
          <w:b/>
          <w:sz w:val="26"/>
          <w:szCs w:val="26"/>
        </w:rPr>
        <w:tab/>
      </w:r>
      <w:r w:rsidR="00431F78">
        <w:rPr>
          <w:sz w:val="26"/>
          <w:szCs w:val="26"/>
        </w:rPr>
        <w:t xml:space="preserve">That the </w:t>
      </w:r>
      <w:r w:rsidR="00527A20">
        <w:rPr>
          <w:sz w:val="26"/>
          <w:szCs w:val="26"/>
        </w:rPr>
        <w:t xml:space="preserve">Initial Decision of </w:t>
      </w:r>
      <w:r w:rsidR="00C05103">
        <w:rPr>
          <w:sz w:val="26"/>
          <w:szCs w:val="26"/>
        </w:rPr>
        <w:t xml:space="preserve">Administrative Law </w:t>
      </w:r>
      <w:r w:rsidR="00B809EB">
        <w:rPr>
          <w:sz w:val="26"/>
          <w:szCs w:val="26"/>
        </w:rPr>
        <w:t xml:space="preserve">Judge </w:t>
      </w:r>
      <w:r w:rsidR="0019251E">
        <w:rPr>
          <w:sz w:val="26"/>
          <w:szCs w:val="26"/>
        </w:rPr>
        <w:t>Erand</w:t>
      </w:r>
      <w:r w:rsidR="00E631AE">
        <w:rPr>
          <w:sz w:val="26"/>
          <w:szCs w:val="26"/>
        </w:rPr>
        <w:t>a</w:t>
      </w:r>
      <w:r w:rsidR="0019251E">
        <w:rPr>
          <w:sz w:val="26"/>
          <w:szCs w:val="26"/>
        </w:rPr>
        <w:t xml:space="preserve"> Vero</w:t>
      </w:r>
      <w:r w:rsidR="00B809EB">
        <w:rPr>
          <w:sz w:val="26"/>
          <w:szCs w:val="26"/>
        </w:rPr>
        <w:t xml:space="preserve">, issued February </w:t>
      </w:r>
      <w:r w:rsidR="0019251E">
        <w:rPr>
          <w:sz w:val="26"/>
          <w:szCs w:val="26"/>
        </w:rPr>
        <w:t>15</w:t>
      </w:r>
      <w:r w:rsidR="00B809EB">
        <w:rPr>
          <w:sz w:val="26"/>
          <w:szCs w:val="26"/>
        </w:rPr>
        <w:t>, 2011,</w:t>
      </w:r>
      <w:r w:rsidR="008E45DB">
        <w:rPr>
          <w:sz w:val="26"/>
          <w:szCs w:val="26"/>
        </w:rPr>
        <w:t xml:space="preserve"> </w:t>
      </w:r>
      <w:r w:rsidR="005154BC">
        <w:rPr>
          <w:sz w:val="26"/>
          <w:szCs w:val="26"/>
        </w:rPr>
        <w:t xml:space="preserve">is </w:t>
      </w:r>
      <w:r w:rsidR="0019251E">
        <w:rPr>
          <w:sz w:val="26"/>
          <w:szCs w:val="26"/>
        </w:rPr>
        <w:t>modified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B55B97" w:rsidRDefault="0019251E" w:rsidP="00B55B97">
      <w:pPr>
        <w:spacing w:line="360" w:lineRule="auto"/>
        <w:ind w:firstLine="1440"/>
        <w:rPr>
          <w:sz w:val="26"/>
          <w:szCs w:val="26"/>
        </w:rPr>
      </w:pPr>
      <w:r>
        <w:rPr>
          <w:sz w:val="26"/>
          <w:szCs w:val="26"/>
        </w:rPr>
        <w:t>2</w:t>
      </w:r>
      <w:r w:rsidR="00120C2F">
        <w:rPr>
          <w:sz w:val="26"/>
          <w:szCs w:val="26"/>
        </w:rPr>
        <w:t>.</w:t>
      </w:r>
      <w:r w:rsidR="00120C2F">
        <w:rPr>
          <w:sz w:val="26"/>
          <w:szCs w:val="26"/>
        </w:rPr>
        <w:tab/>
        <w:t xml:space="preserve">That the </w:t>
      </w:r>
      <w:r w:rsidR="00B809EB">
        <w:rPr>
          <w:sz w:val="26"/>
          <w:szCs w:val="26"/>
        </w:rPr>
        <w:t xml:space="preserve">Preliminary Objections filed by </w:t>
      </w:r>
      <w:r>
        <w:rPr>
          <w:sz w:val="26"/>
          <w:szCs w:val="26"/>
        </w:rPr>
        <w:t xml:space="preserve">Verizon Pennsylvania Inc., </w:t>
      </w:r>
      <w:r w:rsidR="006313B8">
        <w:rPr>
          <w:sz w:val="26"/>
          <w:szCs w:val="26"/>
        </w:rPr>
        <w:t>are granted, in part</w:t>
      </w:r>
      <w:r>
        <w:rPr>
          <w:sz w:val="26"/>
          <w:szCs w:val="26"/>
        </w:rPr>
        <w:t xml:space="preserve">, </w:t>
      </w:r>
      <w:r w:rsidR="006313B8">
        <w:rPr>
          <w:sz w:val="26"/>
          <w:szCs w:val="26"/>
        </w:rPr>
        <w:t xml:space="preserve">and </w:t>
      </w:r>
      <w:r w:rsidR="00B809EB">
        <w:rPr>
          <w:sz w:val="26"/>
          <w:szCs w:val="26"/>
        </w:rPr>
        <w:t>denied</w:t>
      </w:r>
      <w:r w:rsidR="006313B8">
        <w:rPr>
          <w:sz w:val="26"/>
          <w:szCs w:val="26"/>
        </w:rPr>
        <w:t>, in part, consistent with this Opinion and Order</w:t>
      </w:r>
      <w:r w:rsidR="00B809EB">
        <w:rPr>
          <w:sz w:val="26"/>
          <w:szCs w:val="26"/>
        </w:rPr>
        <w:t>.</w:t>
      </w:r>
      <w:r w:rsidR="001D24BD">
        <w:rPr>
          <w:sz w:val="26"/>
          <w:szCs w:val="26"/>
        </w:rPr>
        <w:t xml:space="preserve">  </w:t>
      </w:r>
    </w:p>
    <w:p w:rsidR="00027EE5" w:rsidRDefault="00027EE5" w:rsidP="00027EE5">
      <w:pPr>
        <w:tabs>
          <w:tab w:val="left" w:pos="-720"/>
          <w:tab w:val="left" w:pos="0"/>
        </w:tabs>
        <w:suppressAutoHyphens/>
        <w:rPr>
          <w:sz w:val="26"/>
          <w:szCs w:val="26"/>
        </w:rPr>
      </w:pPr>
    </w:p>
    <w:p w:rsidR="00B55B97" w:rsidRDefault="00F97807" w:rsidP="00B55B97">
      <w:pPr>
        <w:tabs>
          <w:tab w:val="left" w:pos="-720"/>
          <w:tab w:val="left" w:pos="0"/>
        </w:tabs>
        <w:suppressAutoHyphens/>
        <w:spacing w:line="360" w:lineRule="auto"/>
        <w:rPr>
          <w:sz w:val="26"/>
          <w:szCs w:val="26"/>
        </w:rPr>
      </w:pPr>
      <w:r>
        <w:rPr>
          <w:sz w:val="26"/>
          <w:szCs w:val="26"/>
        </w:rPr>
        <w:tab/>
      </w:r>
      <w:r>
        <w:rPr>
          <w:sz w:val="26"/>
          <w:szCs w:val="26"/>
        </w:rPr>
        <w:tab/>
      </w:r>
      <w:r w:rsidR="0019251E">
        <w:rPr>
          <w:sz w:val="26"/>
          <w:szCs w:val="26"/>
        </w:rPr>
        <w:t>3</w:t>
      </w:r>
      <w:r>
        <w:rPr>
          <w:sz w:val="26"/>
          <w:szCs w:val="26"/>
        </w:rPr>
        <w:t>.</w:t>
      </w:r>
      <w:r>
        <w:rPr>
          <w:sz w:val="26"/>
          <w:szCs w:val="26"/>
        </w:rPr>
        <w:tab/>
      </w:r>
      <w:r w:rsidR="00F24526">
        <w:rPr>
          <w:sz w:val="26"/>
          <w:szCs w:val="26"/>
        </w:rPr>
        <w:t>That th</w:t>
      </w:r>
      <w:r w:rsidR="00F620AF">
        <w:rPr>
          <w:sz w:val="26"/>
          <w:szCs w:val="26"/>
        </w:rPr>
        <w:t>is</w:t>
      </w:r>
      <w:r w:rsidR="008E45DB">
        <w:rPr>
          <w:sz w:val="26"/>
          <w:szCs w:val="26"/>
        </w:rPr>
        <w:t xml:space="preserve"> </w:t>
      </w:r>
      <w:r w:rsidR="00F620AF">
        <w:rPr>
          <w:sz w:val="26"/>
          <w:szCs w:val="26"/>
        </w:rPr>
        <w:t>proceeding</w:t>
      </w:r>
      <w:r w:rsidR="00F24526">
        <w:rPr>
          <w:sz w:val="26"/>
          <w:szCs w:val="26"/>
        </w:rPr>
        <w:t xml:space="preserve"> </w:t>
      </w:r>
      <w:r w:rsidR="00F620AF">
        <w:rPr>
          <w:sz w:val="26"/>
          <w:szCs w:val="26"/>
        </w:rPr>
        <w:t xml:space="preserve">shall </w:t>
      </w:r>
      <w:r w:rsidR="00F24526">
        <w:rPr>
          <w:sz w:val="26"/>
          <w:szCs w:val="26"/>
        </w:rPr>
        <w:t xml:space="preserve">be </w:t>
      </w:r>
      <w:r w:rsidR="00F620AF">
        <w:rPr>
          <w:sz w:val="26"/>
          <w:szCs w:val="26"/>
        </w:rPr>
        <w:t xml:space="preserve">remanded to the Office of Administrative Law Judge </w:t>
      </w:r>
      <w:r w:rsidR="00B93DAD">
        <w:rPr>
          <w:sz w:val="26"/>
          <w:szCs w:val="26"/>
        </w:rPr>
        <w:t>for further proceedings</w:t>
      </w:r>
      <w:r w:rsidR="0019251E">
        <w:rPr>
          <w:sz w:val="26"/>
          <w:szCs w:val="26"/>
        </w:rPr>
        <w:t>,</w:t>
      </w:r>
      <w:r w:rsidR="00B93DAD">
        <w:rPr>
          <w:sz w:val="26"/>
          <w:szCs w:val="26"/>
        </w:rPr>
        <w:t xml:space="preserve"> consistent with this Opinion and Order.</w:t>
      </w:r>
      <w:r w:rsidR="00F620AF">
        <w:rPr>
          <w:sz w:val="26"/>
          <w:szCs w:val="26"/>
        </w:rPr>
        <w:t xml:space="preserve">  </w:t>
      </w:r>
      <w:r>
        <w:rPr>
          <w:sz w:val="26"/>
          <w:szCs w:val="26"/>
        </w:rPr>
        <w:t xml:space="preserve"> </w:t>
      </w:r>
    </w:p>
    <w:p w:rsidR="00DD6F0B" w:rsidRDefault="00DD6F0B" w:rsidP="00B55B97">
      <w:pPr>
        <w:tabs>
          <w:tab w:val="left" w:pos="-720"/>
          <w:tab w:val="left" w:pos="0"/>
        </w:tabs>
        <w:suppressAutoHyphens/>
        <w:spacing w:line="360" w:lineRule="auto"/>
        <w:rPr>
          <w:sz w:val="26"/>
          <w:szCs w:val="26"/>
        </w:rPr>
      </w:pPr>
      <w:r>
        <w:rPr>
          <w:sz w:val="26"/>
          <w:szCs w:val="26"/>
        </w:rPr>
        <w:tab/>
      </w:r>
    </w:p>
    <w:p w:rsidR="00DD6F0B" w:rsidRDefault="00DD6F0B" w:rsidP="00B55B97">
      <w:pPr>
        <w:tabs>
          <w:tab w:val="left" w:pos="-720"/>
          <w:tab w:val="left" w:pos="0"/>
        </w:tabs>
        <w:suppressAutoHyphens/>
        <w:spacing w:line="360" w:lineRule="auto"/>
        <w:rPr>
          <w:sz w:val="26"/>
          <w:szCs w:val="26"/>
        </w:rPr>
      </w:pPr>
      <w:r>
        <w:rPr>
          <w:sz w:val="26"/>
          <w:szCs w:val="26"/>
        </w:rPr>
        <w:tab/>
      </w:r>
      <w:r>
        <w:rPr>
          <w:sz w:val="26"/>
          <w:szCs w:val="26"/>
        </w:rPr>
        <w:tab/>
        <w:t>4.</w:t>
      </w:r>
      <w:r>
        <w:rPr>
          <w:sz w:val="26"/>
          <w:szCs w:val="26"/>
        </w:rPr>
        <w:tab/>
        <w:t>That within twenty days of the entry date of this Opinion and Order, A. Moses, Inc. shall notify the Commission’s Secretary, in writing</w:t>
      </w:r>
      <w:r w:rsidR="006313B8">
        <w:rPr>
          <w:sz w:val="26"/>
          <w:szCs w:val="26"/>
        </w:rPr>
        <w:t>,</w:t>
      </w:r>
      <w:r>
        <w:rPr>
          <w:sz w:val="26"/>
          <w:szCs w:val="26"/>
        </w:rPr>
        <w:t xml:space="preserve"> with a copy to counsel for Verizon Pennsylvania Inc., as to whether it intends to participate in the remand proceeding.  </w:t>
      </w:r>
    </w:p>
    <w:p w:rsidR="00DD6F0B" w:rsidRDefault="00DD6F0B" w:rsidP="00B55B97">
      <w:pPr>
        <w:tabs>
          <w:tab w:val="left" w:pos="-720"/>
          <w:tab w:val="left" w:pos="0"/>
        </w:tabs>
        <w:suppressAutoHyphens/>
        <w:spacing w:line="360" w:lineRule="auto"/>
        <w:rPr>
          <w:sz w:val="26"/>
          <w:szCs w:val="26"/>
        </w:rPr>
      </w:pPr>
      <w:r>
        <w:rPr>
          <w:sz w:val="26"/>
          <w:szCs w:val="26"/>
        </w:rPr>
        <w:tab/>
      </w:r>
    </w:p>
    <w:p w:rsidR="00DD6F0B" w:rsidRDefault="00DD6F0B" w:rsidP="00B55B97">
      <w:pPr>
        <w:tabs>
          <w:tab w:val="left" w:pos="-720"/>
          <w:tab w:val="left" w:pos="0"/>
        </w:tabs>
        <w:suppressAutoHyphens/>
        <w:spacing w:line="360" w:lineRule="auto"/>
        <w:rPr>
          <w:sz w:val="26"/>
          <w:szCs w:val="26"/>
        </w:rPr>
      </w:pPr>
      <w:r>
        <w:rPr>
          <w:sz w:val="26"/>
          <w:szCs w:val="26"/>
        </w:rPr>
        <w:tab/>
      </w:r>
      <w:r>
        <w:rPr>
          <w:sz w:val="26"/>
          <w:szCs w:val="26"/>
        </w:rPr>
        <w:tab/>
        <w:t>5.</w:t>
      </w:r>
      <w:r>
        <w:rPr>
          <w:sz w:val="26"/>
          <w:szCs w:val="26"/>
        </w:rPr>
        <w:tab/>
        <w:t xml:space="preserve">That if A. Moses, Inc. elects to participate in the remand proceeding, the remand proceeding shall be conducted on an expedited basis, with a procedural schedule that is determined by the Parties and the Presiding Officer.  </w:t>
      </w:r>
    </w:p>
    <w:p w:rsidR="00DD6F0B" w:rsidRDefault="00DD6F0B" w:rsidP="00B55B97">
      <w:pPr>
        <w:tabs>
          <w:tab w:val="left" w:pos="-720"/>
          <w:tab w:val="left" w:pos="0"/>
        </w:tabs>
        <w:suppressAutoHyphens/>
        <w:spacing w:line="360" w:lineRule="auto"/>
        <w:rPr>
          <w:sz w:val="26"/>
          <w:szCs w:val="26"/>
        </w:rPr>
      </w:pPr>
    </w:p>
    <w:p w:rsidR="00DD6F0B" w:rsidRDefault="00DD6F0B" w:rsidP="00B55B97">
      <w:pPr>
        <w:tabs>
          <w:tab w:val="left" w:pos="-720"/>
          <w:tab w:val="left" w:pos="0"/>
        </w:tabs>
        <w:suppressAutoHyphens/>
        <w:spacing w:line="360" w:lineRule="auto"/>
        <w:rPr>
          <w:sz w:val="26"/>
          <w:szCs w:val="26"/>
        </w:rPr>
      </w:pPr>
      <w:r>
        <w:rPr>
          <w:sz w:val="26"/>
          <w:szCs w:val="26"/>
        </w:rPr>
        <w:lastRenderedPageBreak/>
        <w:tab/>
      </w:r>
      <w:r>
        <w:rPr>
          <w:sz w:val="26"/>
          <w:szCs w:val="26"/>
        </w:rPr>
        <w:tab/>
        <w:t>6.</w:t>
      </w:r>
      <w:r>
        <w:rPr>
          <w:sz w:val="26"/>
          <w:szCs w:val="26"/>
        </w:rPr>
        <w:tab/>
        <w:t xml:space="preserve">That if A. Moses, Inc. does not elect to participate in the remand proceeding, then </w:t>
      </w:r>
      <w:r w:rsidR="00EC3065">
        <w:rPr>
          <w:sz w:val="26"/>
          <w:szCs w:val="26"/>
        </w:rPr>
        <w:t xml:space="preserve">this proceeding shall be marked closed.  </w:t>
      </w:r>
      <w:r>
        <w:rPr>
          <w:sz w:val="26"/>
          <w:szCs w:val="26"/>
        </w:rPr>
        <w:t xml:space="preserve">   </w:t>
      </w:r>
    </w:p>
    <w:p w:rsidR="00F24526" w:rsidRDefault="00F24526" w:rsidP="001A1AD3">
      <w:pPr>
        <w:spacing w:line="360" w:lineRule="auto"/>
        <w:rPr>
          <w:sz w:val="26"/>
          <w:szCs w:val="26"/>
        </w:rPr>
      </w:pPr>
    </w:p>
    <w:p w:rsidR="00503B2F" w:rsidRPr="003C63B1" w:rsidRDefault="00753947" w:rsidP="0019251E">
      <w:pPr>
        <w:spacing w:line="360" w:lineRule="auto"/>
        <w:rPr>
          <w:sz w:val="26"/>
        </w:rPr>
      </w:pPr>
      <w:r>
        <w:rPr>
          <w:noProof/>
        </w:rPr>
        <w:drawing>
          <wp:anchor distT="0" distB="0" distL="114300" distR="114300" simplePos="0" relativeHeight="251658240" behindDoc="1" locked="0" layoutInCell="1" allowOverlap="1" wp14:anchorId="4AA6C619" wp14:editId="7B0A7FBA">
            <wp:simplePos x="0" y="0"/>
            <wp:positionH relativeFrom="column">
              <wp:posOffset>3100705</wp:posOffset>
            </wp:positionH>
            <wp:positionV relativeFrom="paragraph">
              <wp:posOffset>66040</wp:posOffset>
            </wp:positionV>
            <wp:extent cx="2200275" cy="838200"/>
            <wp:effectExtent l="0" t="0" r="9525"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E7206">
        <w:rPr>
          <w:sz w:val="26"/>
          <w:szCs w:val="26"/>
        </w:rPr>
        <w:tab/>
      </w:r>
      <w:r w:rsidR="002E7206">
        <w:rPr>
          <w:sz w:val="26"/>
          <w:szCs w:val="26"/>
        </w:rPr>
        <w:tab/>
      </w:r>
      <w:r w:rsidR="001A1AD3" w:rsidRPr="000D6043">
        <w:rPr>
          <w:sz w:val="26"/>
          <w:szCs w:val="26"/>
        </w:rPr>
        <w:tab/>
      </w:r>
      <w:r w:rsidR="001A1AD3" w:rsidRPr="000D6043">
        <w:rPr>
          <w:sz w:val="26"/>
          <w:szCs w:val="26"/>
        </w:rPr>
        <w:tab/>
      </w:r>
      <w:r w:rsidR="0019251E">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19251E">
        <w:rPr>
          <w:sz w:val="26"/>
        </w:rPr>
        <w:t>October 14</w:t>
      </w:r>
      <w:r>
        <w:rPr>
          <w:sz w:val="26"/>
        </w:rPr>
        <w:t xml:space="preserve">, 2011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753947">
        <w:rPr>
          <w:sz w:val="26"/>
        </w:rPr>
        <w:t>November 4, 2011</w:t>
      </w:r>
      <w:bookmarkStart w:id="1" w:name="_GoBack"/>
      <w:bookmarkEnd w:id="1"/>
    </w:p>
    <w:p w:rsidR="009304FE" w:rsidRDefault="009304FE" w:rsidP="00503B2F">
      <w:pPr>
        <w:spacing w:line="360" w:lineRule="auto"/>
      </w:pP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02" w:rsidRDefault="00596402">
      <w:r>
        <w:separator/>
      </w:r>
    </w:p>
  </w:endnote>
  <w:endnote w:type="continuationSeparator" w:id="0">
    <w:p w:rsidR="00596402" w:rsidRDefault="0059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end"/>
    </w:r>
  </w:p>
  <w:p w:rsidR="00CB7B1A" w:rsidRDefault="00CB7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B1A" w:rsidRDefault="00373021" w:rsidP="00654A2F">
    <w:pPr>
      <w:pStyle w:val="Footer"/>
      <w:framePr w:wrap="around" w:vAnchor="text" w:hAnchor="margin" w:xAlign="center" w:y="1"/>
      <w:rPr>
        <w:rStyle w:val="PageNumber"/>
      </w:rPr>
    </w:pPr>
    <w:r>
      <w:rPr>
        <w:rStyle w:val="PageNumber"/>
      </w:rPr>
      <w:fldChar w:fldCharType="begin"/>
    </w:r>
    <w:r w:rsidR="00CB7B1A">
      <w:rPr>
        <w:rStyle w:val="PageNumber"/>
      </w:rPr>
      <w:instrText xml:space="preserve">PAGE  </w:instrText>
    </w:r>
    <w:r>
      <w:rPr>
        <w:rStyle w:val="PageNumber"/>
      </w:rPr>
      <w:fldChar w:fldCharType="separate"/>
    </w:r>
    <w:r w:rsidR="00753947">
      <w:rPr>
        <w:rStyle w:val="PageNumber"/>
        <w:noProof/>
      </w:rPr>
      <w:t>10</w:t>
    </w:r>
    <w:r>
      <w:rPr>
        <w:rStyle w:val="PageNumber"/>
      </w:rPr>
      <w:fldChar w:fldCharType="end"/>
    </w:r>
  </w:p>
  <w:p w:rsidR="00CB7B1A" w:rsidRDefault="00CB7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02" w:rsidRDefault="00596402">
      <w:r>
        <w:separator/>
      </w:r>
    </w:p>
  </w:footnote>
  <w:footnote w:type="continuationSeparator" w:id="0">
    <w:p w:rsidR="00596402" w:rsidRDefault="00596402">
      <w:r>
        <w:continuationSeparator/>
      </w:r>
    </w:p>
  </w:footnote>
  <w:footnote w:id="1">
    <w:p w:rsidR="009C1047" w:rsidRPr="001050C5" w:rsidRDefault="001050C5" w:rsidP="009C1047">
      <w:pPr>
        <w:pStyle w:val="FootnoteText"/>
        <w:rPr>
          <w:rFonts w:ascii="Times New Roman" w:hAnsi="Times New Roman" w:cs="Arial"/>
          <w:sz w:val="26"/>
          <w:szCs w:val="22"/>
        </w:rPr>
      </w:pPr>
      <w:r>
        <w:rPr>
          <w:rFonts w:ascii="Arial" w:hAnsi="Arial" w:cs="Arial"/>
          <w:sz w:val="22"/>
          <w:szCs w:val="22"/>
        </w:rPr>
        <w:tab/>
      </w:r>
      <w:r w:rsidR="009C1047" w:rsidRPr="001050C5">
        <w:rPr>
          <w:rStyle w:val="FootnoteReference"/>
          <w:rFonts w:ascii="Times New Roman" w:hAnsi="Times New Roman"/>
          <w:sz w:val="22"/>
          <w:szCs w:val="22"/>
        </w:rPr>
        <w:footnoteRef/>
      </w:r>
      <w:r w:rsidR="009C1047">
        <w:rPr>
          <w:rFonts w:ascii="Arial" w:hAnsi="Arial" w:cs="Arial"/>
          <w:sz w:val="22"/>
          <w:szCs w:val="22"/>
        </w:rPr>
        <w:t xml:space="preserve"> </w:t>
      </w:r>
      <w:r>
        <w:rPr>
          <w:rFonts w:ascii="Arial" w:hAnsi="Arial" w:cs="Arial"/>
          <w:sz w:val="22"/>
          <w:szCs w:val="22"/>
        </w:rPr>
        <w:tab/>
      </w:r>
      <w:r w:rsidR="009C1047" w:rsidRPr="001050C5">
        <w:rPr>
          <w:rFonts w:ascii="Times New Roman" w:hAnsi="Times New Roman" w:cs="Arial"/>
          <w:sz w:val="26"/>
          <w:szCs w:val="22"/>
        </w:rPr>
        <w:t xml:space="preserve">We are administratively aware that Verizon On-Line is an affiliate of Verizon PA.  </w:t>
      </w:r>
      <w:r w:rsidR="009C1047" w:rsidRPr="001050C5">
        <w:rPr>
          <w:rFonts w:ascii="Times New Roman" w:hAnsi="Times New Roman" w:cs="Arial"/>
          <w:i/>
          <w:sz w:val="26"/>
          <w:szCs w:val="22"/>
        </w:rPr>
        <w:t>See also</w:t>
      </w:r>
      <w:r w:rsidR="006313B8">
        <w:rPr>
          <w:rFonts w:ascii="Times New Roman" w:hAnsi="Times New Roman" w:cs="Arial"/>
          <w:i/>
          <w:sz w:val="26"/>
          <w:szCs w:val="22"/>
        </w:rPr>
        <w:t>,</w:t>
      </w:r>
      <w:r w:rsidR="009C1047" w:rsidRPr="001050C5">
        <w:rPr>
          <w:rFonts w:ascii="Times New Roman" w:hAnsi="Times New Roman" w:cs="Arial"/>
          <w:sz w:val="26"/>
          <w:szCs w:val="22"/>
        </w:rPr>
        <w:t xml:space="preserve"> </w:t>
      </w:r>
      <w:r w:rsidR="009C1047" w:rsidRPr="001050C5">
        <w:rPr>
          <w:rFonts w:ascii="Times New Roman" w:hAnsi="Times New Roman" w:cs="Arial"/>
          <w:i/>
          <w:sz w:val="26"/>
          <w:szCs w:val="22"/>
        </w:rPr>
        <w:t>Affiliated Interest Agreement Verizon Services Corp. et al.</w:t>
      </w:r>
      <w:r w:rsidR="009C1047" w:rsidRPr="001050C5">
        <w:rPr>
          <w:rFonts w:ascii="Times New Roman" w:hAnsi="Times New Roman" w:cs="Arial"/>
          <w:sz w:val="26"/>
          <w:szCs w:val="22"/>
        </w:rPr>
        <w:t>, Docket No. G</w:t>
      </w:r>
      <w:r w:rsidR="009C1047" w:rsidRPr="001050C5">
        <w:rPr>
          <w:rFonts w:ascii="Times New Roman" w:hAnsi="Times New Roman" w:cs="Arial"/>
          <w:sz w:val="26"/>
          <w:szCs w:val="22"/>
        </w:rPr>
        <w:noBreakHyphen/>
        <w:t xml:space="preserve">00041080, filed September 2, 2004 (Proprietary).  We are also aware that Verizon PA dispatches technicians to deal with technical issues involving Verizon On-Line’s services.  </w:t>
      </w:r>
      <w:proofErr w:type="gramStart"/>
      <w:r w:rsidR="009C1047" w:rsidRPr="001050C5">
        <w:rPr>
          <w:rFonts w:ascii="Times New Roman" w:hAnsi="Times New Roman" w:cs="Arial"/>
          <w:i/>
          <w:sz w:val="26"/>
          <w:szCs w:val="22"/>
        </w:rPr>
        <w:t>Daskalakis v. Verizon PA</w:t>
      </w:r>
      <w:r w:rsidR="009C1047" w:rsidRPr="001050C5">
        <w:rPr>
          <w:rFonts w:ascii="Times New Roman" w:hAnsi="Times New Roman" w:cs="Arial"/>
          <w:sz w:val="26"/>
          <w:szCs w:val="22"/>
        </w:rPr>
        <w:t xml:space="preserve">, </w:t>
      </w:r>
      <w:r w:rsidR="009C1047" w:rsidRPr="001050C5">
        <w:rPr>
          <w:rFonts w:ascii="Times New Roman" w:hAnsi="Times New Roman" w:cs="Arial"/>
          <w:i/>
          <w:sz w:val="26"/>
          <w:szCs w:val="22"/>
        </w:rPr>
        <w:t>supra</w:t>
      </w:r>
      <w:r w:rsidR="009C1047" w:rsidRPr="001050C5">
        <w:rPr>
          <w:rFonts w:ascii="Times New Roman" w:hAnsi="Times New Roman" w:cs="Arial"/>
          <w:sz w:val="26"/>
          <w:szCs w:val="22"/>
        </w:rPr>
        <w:t xml:space="preserve">, at 8 n.8; </w:t>
      </w:r>
      <w:proofErr w:type="spellStart"/>
      <w:r w:rsidR="009C1047" w:rsidRPr="001050C5">
        <w:rPr>
          <w:rFonts w:ascii="Times New Roman" w:hAnsi="Times New Roman" w:cs="Arial"/>
          <w:i/>
          <w:sz w:val="26"/>
          <w:szCs w:val="22"/>
        </w:rPr>
        <w:t>Olubanjo</w:t>
      </w:r>
      <w:proofErr w:type="spellEnd"/>
      <w:r w:rsidR="009C1047" w:rsidRPr="001050C5">
        <w:rPr>
          <w:rFonts w:ascii="Times New Roman" w:hAnsi="Times New Roman" w:cs="Arial"/>
          <w:i/>
          <w:sz w:val="26"/>
          <w:szCs w:val="22"/>
        </w:rPr>
        <w:t xml:space="preserve"> v. Verizon PA</w:t>
      </w:r>
      <w:r w:rsidR="009C1047" w:rsidRPr="001050C5">
        <w:rPr>
          <w:rFonts w:ascii="Times New Roman" w:hAnsi="Times New Roman" w:cs="Arial"/>
          <w:sz w:val="26"/>
          <w:szCs w:val="22"/>
        </w:rPr>
        <w:t xml:space="preserve">, </w:t>
      </w:r>
      <w:r w:rsidR="009C1047" w:rsidRPr="001050C5">
        <w:rPr>
          <w:rFonts w:ascii="Times New Roman" w:hAnsi="Times New Roman" w:cs="Arial"/>
          <w:i/>
          <w:sz w:val="26"/>
          <w:szCs w:val="22"/>
        </w:rPr>
        <w:t>supra</w:t>
      </w:r>
      <w:r w:rsidR="009C1047" w:rsidRPr="001050C5">
        <w:rPr>
          <w:rFonts w:ascii="Times New Roman" w:hAnsi="Times New Roman" w:cs="Arial"/>
          <w:sz w:val="26"/>
          <w:szCs w:val="22"/>
        </w:rPr>
        <w:t>, at 16.</w:t>
      </w:r>
      <w:proofErr w:type="gramEnd"/>
    </w:p>
  </w:footnote>
  <w:footnote w:id="2">
    <w:p w:rsidR="009C1047" w:rsidRPr="00D848FA" w:rsidRDefault="00D848FA" w:rsidP="009C1047">
      <w:pPr>
        <w:pStyle w:val="FootnoteText"/>
        <w:rPr>
          <w:rFonts w:ascii="Times New Roman" w:hAnsi="Times New Roman"/>
          <w:sz w:val="26"/>
          <w:szCs w:val="22"/>
        </w:rPr>
      </w:pPr>
      <w:r>
        <w:rPr>
          <w:rFonts w:ascii="Arial" w:hAnsi="Arial" w:cs="Arial"/>
          <w:sz w:val="22"/>
          <w:szCs w:val="22"/>
        </w:rPr>
        <w:tab/>
      </w:r>
      <w:r w:rsidR="009C1047" w:rsidRPr="00D848FA">
        <w:rPr>
          <w:rStyle w:val="FootnoteReference"/>
          <w:rFonts w:ascii="Times New Roman" w:hAnsi="Times New Roman"/>
          <w:sz w:val="22"/>
          <w:szCs w:val="22"/>
        </w:rPr>
        <w:footnoteRef/>
      </w:r>
      <w:r w:rsidR="009C1047">
        <w:rPr>
          <w:rFonts w:ascii="Arial" w:hAnsi="Arial" w:cs="Arial"/>
          <w:sz w:val="22"/>
          <w:szCs w:val="22"/>
        </w:rPr>
        <w:t xml:space="preserve"> </w:t>
      </w:r>
      <w:r>
        <w:rPr>
          <w:rFonts w:ascii="Arial" w:hAnsi="Arial" w:cs="Arial"/>
          <w:sz w:val="22"/>
          <w:szCs w:val="22"/>
        </w:rPr>
        <w:tab/>
      </w:r>
      <w:r>
        <w:rPr>
          <w:rFonts w:ascii="Times New Roman" w:hAnsi="Times New Roman" w:cs="Arial"/>
          <w:sz w:val="26"/>
          <w:szCs w:val="22"/>
        </w:rPr>
        <w:t xml:space="preserve">The </w:t>
      </w:r>
      <w:r w:rsidR="009C1047" w:rsidRPr="00D848FA">
        <w:rPr>
          <w:rFonts w:ascii="Times New Roman" w:hAnsi="Times New Roman"/>
          <w:sz w:val="26"/>
          <w:szCs w:val="22"/>
        </w:rPr>
        <w:t>Complainant</w:t>
      </w:r>
      <w:r>
        <w:rPr>
          <w:rFonts w:ascii="Times New Roman" w:hAnsi="Times New Roman"/>
          <w:sz w:val="26"/>
          <w:szCs w:val="22"/>
        </w:rPr>
        <w:t>,</w:t>
      </w:r>
      <w:r w:rsidR="009C1047" w:rsidRPr="00D848FA">
        <w:rPr>
          <w:rFonts w:ascii="Times New Roman" w:hAnsi="Times New Roman"/>
          <w:sz w:val="26"/>
          <w:szCs w:val="22"/>
        </w:rPr>
        <w:t xml:space="preserve"> A. Moses</w:t>
      </w:r>
      <w:r>
        <w:rPr>
          <w:rFonts w:ascii="Times New Roman" w:hAnsi="Times New Roman"/>
          <w:sz w:val="26"/>
          <w:szCs w:val="22"/>
        </w:rPr>
        <w:t>, Inc.,</w:t>
      </w:r>
      <w:r w:rsidR="009C1047" w:rsidRPr="00D848FA">
        <w:rPr>
          <w:rFonts w:ascii="Times New Roman" w:hAnsi="Times New Roman"/>
          <w:sz w:val="26"/>
          <w:szCs w:val="22"/>
        </w:rPr>
        <w:t xml:space="preserve"> is a corporation that, at least initially, was represented by counsel.  We remind A. Moses</w:t>
      </w:r>
      <w:r>
        <w:rPr>
          <w:rFonts w:ascii="Times New Roman" w:hAnsi="Times New Roman"/>
          <w:sz w:val="26"/>
          <w:szCs w:val="22"/>
        </w:rPr>
        <w:t>, Inc.</w:t>
      </w:r>
      <w:r w:rsidR="009C1047" w:rsidRPr="00D848FA">
        <w:rPr>
          <w:rFonts w:ascii="Times New Roman" w:hAnsi="Times New Roman"/>
          <w:sz w:val="26"/>
          <w:szCs w:val="22"/>
        </w:rPr>
        <w:t xml:space="preserve"> that corporate complainants must be represented by legal counsel at all stages of Commission proceedings once these proceedings become adversarial upon the filing of an answer.  </w:t>
      </w:r>
      <w:r w:rsidR="009C1047" w:rsidRPr="00D848FA">
        <w:rPr>
          <w:rFonts w:ascii="Times New Roman" w:hAnsi="Times New Roman"/>
          <w:i/>
          <w:sz w:val="26"/>
          <w:szCs w:val="22"/>
        </w:rPr>
        <w:t>Cars R Us c/o Holman Copeland v. Philadelphia Gas Works</w:t>
      </w:r>
      <w:r w:rsidR="009C1047" w:rsidRPr="00D848FA">
        <w:rPr>
          <w:rFonts w:ascii="Times New Roman" w:hAnsi="Times New Roman"/>
          <w:sz w:val="26"/>
          <w:szCs w:val="22"/>
        </w:rPr>
        <w:t xml:space="preserve">, Docket No. C-2008-2033437 (Order entered February 4,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90A"/>
    <w:rsid w:val="00002F2A"/>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3CB2"/>
    <w:rsid w:val="0003588B"/>
    <w:rsid w:val="00035F25"/>
    <w:rsid w:val="000378DC"/>
    <w:rsid w:val="0004071F"/>
    <w:rsid w:val="000416ED"/>
    <w:rsid w:val="00044438"/>
    <w:rsid w:val="0004679E"/>
    <w:rsid w:val="000472A4"/>
    <w:rsid w:val="000510D0"/>
    <w:rsid w:val="000510FD"/>
    <w:rsid w:val="00053CED"/>
    <w:rsid w:val="000541A0"/>
    <w:rsid w:val="00054407"/>
    <w:rsid w:val="00054F7A"/>
    <w:rsid w:val="00055EF9"/>
    <w:rsid w:val="00057057"/>
    <w:rsid w:val="000573BD"/>
    <w:rsid w:val="000610F9"/>
    <w:rsid w:val="00061284"/>
    <w:rsid w:val="00061850"/>
    <w:rsid w:val="000629CD"/>
    <w:rsid w:val="000634BD"/>
    <w:rsid w:val="0006405C"/>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F62"/>
    <w:rsid w:val="000777D8"/>
    <w:rsid w:val="00080C6A"/>
    <w:rsid w:val="0008251E"/>
    <w:rsid w:val="0008328F"/>
    <w:rsid w:val="0008445E"/>
    <w:rsid w:val="00085FFB"/>
    <w:rsid w:val="00086411"/>
    <w:rsid w:val="00086D0B"/>
    <w:rsid w:val="0008768F"/>
    <w:rsid w:val="000876C2"/>
    <w:rsid w:val="00087C06"/>
    <w:rsid w:val="00087D18"/>
    <w:rsid w:val="00091937"/>
    <w:rsid w:val="00092384"/>
    <w:rsid w:val="00092ABD"/>
    <w:rsid w:val="00094D6F"/>
    <w:rsid w:val="00096187"/>
    <w:rsid w:val="000966DC"/>
    <w:rsid w:val="0009781B"/>
    <w:rsid w:val="000A1364"/>
    <w:rsid w:val="000A2F11"/>
    <w:rsid w:val="000A35F4"/>
    <w:rsid w:val="000A4C46"/>
    <w:rsid w:val="000A6EB3"/>
    <w:rsid w:val="000A770A"/>
    <w:rsid w:val="000A7F96"/>
    <w:rsid w:val="000B2688"/>
    <w:rsid w:val="000B2B80"/>
    <w:rsid w:val="000B3FB4"/>
    <w:rsid w:val="000B4F29"/>
    <w:rsid w:val="000B5487"/>
    <w:rsid w:val="000B5DF8"/>
    <w:rsid w:val="000B71E3"/>
    <w:rsid w:val="000B77E2"/>
    <w:rsid w:val="000C4BFD"/>
    <w:rsid w:val="000C608B"/>
    <w:rsid w:val="000C742F"/>
    <w:rsid w:val="000D0BAC"/>
    <w:rsid w:val="000D0D75"/>
    <w:rsid w:val="000D1965"/>
    <w:rsid w:val="000D6482"/>
    <w:rsid w:val="000D6C35"/>
    <w:rsid w:val="000D761A"/>
    <w:rsid w:val="000E0050"/>
    <w:rsid w:val="000E0311"/>
    <w:rsid w:val="000E09BE"/>
    <w:rsid w:val="000E24DE"/>
    <w:rsid w:val="000E3AA7"/>
    <w:rsid w:val="000E3FDA"/>
    <w:rsid w:val="000E492B"/>
    <w:rsid w:val="000E4BED"/>
    <w:rsid w:val="000E7110"/>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48B3"/>
    <w:rsid w:val="00105084"/>
    <w:rsid w:val="001050C5"/>
    <w:rsid w:val="00105104"/>
    <w:rsid w:val="00105193"/>
    <w:rsid w:val="00106537"/>
    <w:rsid w:val="001112D8"/>
    <w:rsid w:val="0011244B"/>
    <w:rsid w:val="0011311C"/>
    <w:rsid w:val="001133C8"/>
    <w:rsid w:val="00114D80"/>
    <w:rsid w:val="00115FD9"/>
    <w:rsid w:val="00116D79"/>
    <w:rsid w:val="00120C2F"/>
    <w:rsid w:val="00122E0F"/>
    <w:rsid w:val="00123068"/>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7415"/>
    <w:rsid w:val="00150989"/>
    <w:rsid w:val="001509E0"/>
    <w:rsid w:val="0015662E"/>
    <w:rsid w:val="001572C5"/>
    <w:rsid w:val="0016005F"/>
    <w:rsid w:val="001606BC"/>
    <w:rsid w:val="00160F0A"/>
    <w:rsid w:val="0016115A"/>
    <w:rsid w:val="00162A88"/>
    <w:rsid w:val="001636E2"/>
    <w:rsid w:val="00163AA3"/>
    <w:rsid w:val="0016441E"/>
    <w:rsid w:val="00164715"/>
    <w:rsid w:val="00164C98"/>
    <w:rsid w:val="00166006"/>
    <w:rsid w:val="001679F1"/>
    <w:rsid w:val="001701B3"/>
    <w:rsid w:val="001704F7"/>
    <w:rsid w:val="0017084A"/>
    <w:rsid w:val="00173EDA"/>
    <w:rsid w:val="00175F2D"/>
    <w:rsid w:val="00177A43"/>
    <w:rsid w:val="00180E89"/>
    <w:rsid w:val="001811B8"/>
    <w:rsid w:val="001827DB"/>
    <w:rsid w:val="00183D96"/>
    <w:rsid w:val="00185B5E"/>
    <w:rsid w:val="001865B9"/>
    <w:rsid w:val="00186887"/>
    <w:rsid w:val="00187BC6"/>
    <w:rsid w:val="0019214E"/>
    <w:rsid w:val="0019251E"/>
    <w:rsid w:val="0019318F"/>
    <w:rsid w:val="00193EF0"/>
    <w:rsid w:val="00197920"/>
    <w:rsid w:val="00197C2F"/>
    <w:rsid w:val="00197F3D"/>
    <w:rsid w:val="001A0516"/>
    <w:rsid w:val="001A18D5"/>
    <w:rsid w:val="001A1AD3"/>
    <w:rsid w:val="001A3C6A"/>
    <w:rsid w:val="001A4A0C"/>
    <w:rsid w:val="001A4C6C"/>
    <w:rsid w:val="001A53ED"/>
    <w:rsid w:val="001A5711"/>
    <w:rsid w:val="001A5756"/>
    <w:rsid w:val="001A5804"/>
    <w:rsid w:val="001A5B0A"/>
    <w:rsid w:val="001A6E4B"/>
    <w:rsid w:val="001A6FD4"/>
    <w:rsid w:val="001A75AA"/>
    <w:rsid w:val="001B00D9"/>
    <w:rsid w:val="001B07E7"/>
    <w:rsid w:val="001B423C"/>
    <w:rsid w:val="001B5CD3"/>
    <w:rsid w:val="001B7A05"/>
    <w:rsid w:val="001C37DD"/>
    <w:rsid w:val="001C396E"/>
    <w:rsid w:val="001C42FD"/>
    <w:rsid w:val="001C4B37"/>
    <w:rsid w:val="001C4CAD"/>
    <w:rsid w:val="001C53B1"/>
    <w:rsid w:val="001C7E91"/>
    <w:rsid w:val="001C7F88"/>
    <w:rsid w:val="001D01F1"/>
    <w:rsid w:val="001D02A2"/>
    <w:rsid w:val="001D0E29"/>
    <w:rsid w:val="001D24BD"/>
    <w:rsid w:val="001D2BAD"/>
    <w:rsid w:val="001D491F"/>
    <w:rsid w:val="001D70A6"/>
    <w:rsid w:val="001D7137"/>
    <w:rsid w:val="001E05C6"/>
    <w:rsid w:val="001E0B29"/>
    <w:rsid w:val="001E19BC"/>
    <w:rsid w:val="001E1A53"/>
    <w:rsid w:val="001E2CFB"/>
    <w:rsid w:val="001E3574"/>
    <w:rsid w:val="001E4225"/>
    <w:rsid w:val="001E5B8E"/>
    <w:rsid w:val="001F0488"/>
    <w:rsid w:val="001F3BF4"/>
    <w:rsid w:val="001F3C68"/>
    <w:rsid w:val="001F4194"/>
    <w:rsid w:val="001F49F1"/>
    <w:rsid w:val="001F55D5"/>
    <w:rsid w:val="001F5F40"/>
    <w:rsid w:val="001F75D6"/>
    <w:rsid w:val="001F79C6"/>
    <w:rsid w:val="001F7B55"/>
    <w:rsid w:val="00203F27"/>
    <w:rsid w:val="00205242"/>
    <w:rsid w:val="00205B95"/>
    <w:rsid w:val="00206D03"/>
    <w:rsid w:val="00207453"/>
    <w:rsid w:val="0020784E"/>
    <w:rsid w:val="00210868"/>
    <w:rsid w:val="00210BB0"/>
    <w:rsid w:val="00213B95"/>
    <w:rsid w:val="00214C25"/>
    <w:rsid w:val="00215192"/>
    <w:rsid w:val="002170BF"/>
    <w:rsid w:val="002174D8"/>
    <w:rsid w:val="00217C4E"/>
    <w:rsid w:val="00223564"/>
    <w:rsid w:val="002242F7"/>
    <w:rsid w:val="00225BD2"/>
    <w:rsid w:val="002278A0"/>
    <w:rsid w:val="00230396"/>
    <w:rsid w:val="0023097E"/>
    <w:rsid w:val="00230BAB"/>
    <w:rsid w:val="00232A03"/>
    <w:rsid w:val="0023377F"/>
    <w:rsid w:val="00233A9F"/>
    <w:rsid w:val="0023535F"/>
    <w:rsid w:val="00237CE3"/>
    <w:rsid w:val="00241AA6"/>
    <w:rsid w:val="00243016"/>
    <w:rsid w:val="0024349F"/>
    <w:rsid w:val="00243CC9"/>
    <w:rsid w:val="00243D31"/>
    <w:rsid w:val="002450F3"/>
    <w:rsid w:val="00245B0C"/>
    <w:rsid w:val="002469C9"/>
    <w:rsid w:val="00247332"/>
    <w:rsid w:val="00250E63"/>
    <w:rsid w:val="00252313"/>
    <w:rsid w:val="00252626"/>
    <w:rsid w:val="00253CC7"/>
    <w:rsid w:val="00254560"/>
    <w:rsid w:val="00254840"/>
    <w:rsid w:val="002556E9"/>
    <w:rsid w:val="002564D7"/>
    <w:rsid w:val="00256A4C"/>
    <w:rsid w:val="0025718D"/>
    <w:rsid w:val="002618AC"/>
    <w:rsid w:val="0026312F"/>
    <w:rsid w:val="00264ABB"/>
    <w:rsid w:val="002652DF"/>
    <w:rsid w:val="00265BD8"/>
    <w:rsid w:val="0026727E"/>
    <w:rsid w:val="00271322"/>
    <w:rsid w:val="00271DE6"/>
    <w:rsid w:val="002723CB"/>
    <w:rsid w:val="00273450"/>
    <w:rsid w:val="0027458E"/>
    <w:rsid w:val="00274EC0"/>
    <w:rsid w:val="00275533"/>
    <w:rsid w:val="00277BAB"/>
    <w:rsid w:val="00282019"/>
    <w:rsid w:val="002830F0"/>
    <w:rsid w:val="00283433"/>
    <w:rsid w:val="002838E3"/>
    <w:rsid w:val="002851CE"/>
    <w:rsid w:val="002854BF"/>
    <w:rsid w:val="00285856"/>
    <w:rsid w:val="00285EB1"/>
    <w:rsid w:val="00286C9A"/>
    <w:rsid w:val="00287BE6"/>
    <w:rsid w:val="00290876"/>
    <w:rsid w:val="00291657"/>
    <w:rsid w:val="002919FB"/>
    <w:rsid w:val="00296493"/>
    <w:rsid w:val="00297040"/>
    <w:rsid w:val="002A0E82"/>
    <w:rsid w:val="002A3250"/>
    <w:rsid w:val="002A3A6E"/>
    <w:rsid w:val="002A3AC8"/>
    <w:rsid w:val="002A5399"/>
    <w:rsid w:val="002A740E"/>
    <w:rsid w:val="002A782B"/>
    <w:rsid w:val="002B0089"/>
    <w:rsid w:val="002B03EA"/>
    <w:rsid w:val="002B31AD"/>
    <w:rsid w:val="002B3767"/>
    <w:rsid w:val="002B4B0D"/>
    <w:rsid w:val="002C011D"/>
    <w:rsid w:val="002C116F"/>
    <w:rsid w:val="002C4014"/>
    <w:rsid w:val="002C4311"/>
    <w:rsid w:val="002C61A7"/>
    <w:rsid w:val="002C6681"/>
    <w:rsid w:val="002D08E2"/>
    <w:rsid w:val="002D0BD9"/>
    <w:rsid w:val="002D13F6"/>
    <w:rsid w:val="002D33E8"/>
    <w:rsid w:val="002D5216"/>
    <w:rsid w:val="002D5C5B"/>
    <w:rsid w:val="002D650D"/>
    <w:rsid w:val="002D6FE5"/>
    <w:rsid w:val="002D775A"/>
    <w:rsid w:val="002E00A3"/>
    <w:rsid w:val="002E0503"/>
    <w:rsid w:val="002E1CA7"/>
    <w:rsid w:val="002E3288"/>
    <w:rsid w:val="002E4908"/>
    <w:rsid w:val="002E6F2D"/>
    <w:rsid w:val="002E7206"/>
    <w:rsid w:val="002F0238"/>
    <w:rsid w:val="002F14FA"/>
    <w:rsid w:val="002F3B92"/>
    <w:rsid w:val="002F4D5E"/>
    <w:rsid w:val="002F50FB"/>
    <w:rsid w:val="002F6563"/>
    <w:rsid w:val="00300C9D"/>
    <w:rsid w:val="00301735"/>
    <w:rsid w:val="00301857"/>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B42"/>
    <w:rsid w:val="00342149"/>
    <w:rsid w:val="003440BD"/>
    <w:rsid w:val="00344581"/>
    <w:rsid w:val="003459E2"/>
    <w:rsid w:val="00346964"/>
    <w:rsid w:val="003471B4"/>
    <w:rsid w:val="00350442"/>
    <w:rsid w:val="00350B3E"/>
    <w:rsid w:val="00352BC7"/>
    <w:rsid w:val="00353BBC"/>
    <w:rsid w:val="00353F42"/>
    <w:rsid w:val="0035474E"/>
    <w:rsid w:val="00354EEE"/>
    <w:rsid w:val="00356A26"/>
    <w:rsid w:val="003573EB"/>
    <w:rsid w:val="00357A93"/>
    <w:rsid w:val="00357B6E"/>
    <w:rsid w:val="00362AC9"/>
    <w:rsid w:val="003669C8"/>
    <w:rsid w:val="00366C32"/>
    <w:rsid w:val="00367224"/>
    <w:rsid w:val="00370193"/>
    <w:rsid w:val="003704B1"/>
    <w:rsid w:val="003708CD"/>
    <w:rsid w:val="00372E6D"/>
    <w:rsid w:val="00373021"/>
    <w:rsid w:val="00373918"/>
    <w:rsid w:val="003742CF"/>
    <w:rsid w:val="003745DB"/>
    <w:rsid w:val="0037549D"/>
    <w:rsid w:val="0037692B"/>
    <w:rsid w:val="003807E7"/>
    <w:rsid w:val="0038091E"/>
    <w:rsid w:val="00381C7A"/>
    <w:rsid w:val="00383324"/>
    <w:rsid w:val="00383585"/>
    <w:rsid w:val="00385898"/>
    <w:rsid w:val="0039007A"/>
    <w:rsid w:val="00390A6D"/>
    <w:rsid w:val="00390D53"/>
    <w:rsid w:val="00390FB3"/>
    <w:rsid w:val="00391B6F"/>
    <w:rsid w:val="00391BFC"/>
    <w:rsid w:val="00392572"/>
    <w:rsid w:val="003928E1"/>
    <w:rsid w:val="00392B85"/>
    <w:rsid w:val="003943C4"/>
    <w:rsid w:val="00394901"/>
    <w:rsid w:val="00395F28"/>
    <w:rsid w:val="003967A2"/>
    <w:rsid w:val="00397F28"/>
    <w:rsid w:val="003A07CB"/>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B99"/>
    <w:rsid w:val="003C042A"/>
    <w:rsid w:val="003C0F72"/>
    <w:rsid w:val="003C31AF"/>
    <w:rsid w:val="003C384E"/>
    <w:rsid w:val="003C4355"/>
    <w:rsid w:val="003C446B"/>
    <w:rsid w:val="003C729B"/>
    <w:rsid w:val="003C75CF"/>
    <w:rsid w:val="003C7FAE"/>
    <w:rsid w:val="003D102F"/>
    <w:rsid w:val="003D1BB7"/>
    <w:rsid w:val="003D283B"/>
    <w:rsid w:val="003D2936"/>
    <w:rsid w:val="003D3F4C"/>
    <w:rsid w:val="003D4446"/>
    <w:rsid w:val="003D4638"/>
    <w:rsid w:val="003D4D1D"/>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27D1"/>
    <w:rsid w:val="003F287E"/>
    <w:rsid w:val="003F3939"/>
    <w:rsid w:val="003F5CC4"/>
    <w:rsid w:val="00400A4D"/>
    <w:rsid w:val="0040233B"/>
    <w:rsid w:val="004023F4"/>
    <w:rsid w:val="00402479"/>
    <w:rsid w:val="004051BE"/>
    <w:rsid w:val="00406D11"/>
    <w:rsid w:val="00411FED"/>
    <w:rsid w:val="004140BA"/>
    <w:rsid w:val="004144EB"/>
    <w:rsid w:val="004144EE"/>
    <w:rsid w:val="004146BE"/>
    <w:rsid w:val="00414855"/>
    <w:rsid w:val="00415460"/>
    <w:rsid w:val="00415483"/>
    <w:rsid w:val="00415A5E"/>
    <w:rsid w:val="0041704E"/>
    <w:rsid w:val="00417CCE"/>
    <w:rsid w:val="00421E3B"/>
    <w:rsid w:val="004246D3"/>
    <w:rsid w:val="00425651"/>
    <w:rsid w:val="00425C2F"/>
    <w:rsid w:val="00427697"/>
    <w:rsid w:val="0043042D"/>
    <w:rsid w:val="00430570"/>
    <w:rsid w:val="00431621"/>
    <w:rsid w:val="00431969"/>
    <w:rsid w:val="00431F78"/>
    <w:rsid w:val="00433F60"/>
    <w:rsid w:val="00435582"/>
    <w:rsid w:val="00436B64"/>
    <w:rsid w:val="0044114D"/>
    <w:rsid w:val="00441920"/>
    <w:rsid w:val="004419DA"/>
    <w:rsid w:val="00442945"/>
    <w:rsid w:val="004430A9"/>
    <w:rsid w:val="00443198"/>
    <w:rsid w:val="0044366E"/>
    <w:rsid w:val="00443A90"/>
    <w:rsid w:val="00443DE7"/>
    <w:rsid w:val="00446BCB"/>
    <w:rsid w:val="00447592"/>
    <w:rsid w:val="00455C99"/>
    <w:rsid w:val="004572B4"/>
    <w:rsid w:val="00457386"/>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54BF"/>
    <w:rsid w:val="0048674B"/>
    <w:rsid w:val="0048747D"/>
    <w:rsid w:val="00492432"/>
    <w:rsid w:val="00492787"/>
    <w:rsid w:val="004938FA"/>
    <w:rsid w:val="00493959"/>
    <w:rsid w:val="004949D0"/>
    <w:rsid w:val="0049771B"/>
    <w:rsid w:val="0049798B"/>
    <w:rsid w:val="00497BCA"/>
    <w:rsid w:val="004A0DC5"/>
    <w:rsid w:val="004A228E"/>
    <w:rsid w:val="004A2A28"/>
    <w:rsid w:val="004A35EA"/>
    <w:rsid w:val="004A41B7"/>
    <w:rsid w:val="004A5287"/>
    <w:rsid w:val="004A572B"/>
    <w:rsid w:val="004A6496"/>
    <w:rsid w:val="004A7831"/>
    <w:rsid w:val="004B1011"/>
    <w:rsid w:val="004B14C4"/>
    <w:rsid w:val="004B30C3"/>
    <w:rsid w:val="004B35DC"/>
    <w:rsid w:val="004C40E8"/>
    <w:rsid w:val="004C4F45"/>
    <w:rsid w:val="004C54A0"/>
    <w:rsid w:val="004C5B03"/>
    <w:rsid w:val="004C749A"/>
    <w:rsid w:val="004C7AC4"/>
    <w:rsid w:val="004D08F5"/>
    <w:rsid w:val="004D12A1"/>
    <w:rsid w:val="004D311C"/>
    <w:rsid w:val="004D34A0"/>
    <w:rsid w:val="004D362A"/>
    <w:rsid w:val="004D3C08"/>
    <w:rsid w:val="004D55FA"/>
    <w:rsid w:val="004D5A16"/>
    <w:rsid w:val="004D5B29"/>
    <w:rsid w:val="004D5E02"/>
    <w:rsid w:val="004D5F70"/>
    <w:rsid w:val="004D75D8"/>
    <w:rsid w:val="004E05E7"/>
    <w:rsid w:val="004E1757"/>
    <w:rsid w:val="004E2F35"/>
    <w:rsid w:val="004E3204"/>
    <w:rsid w:val="004E3FFF"/>
    <w:rsid w:val="004E58C3"/>
    <w:rsid w:val="004E65E9"/>
    <w:rsid w:val="004E75A8"/>
    <w:rsid w:val="004E7901"/>
    <w:rsid w:val="004E79BD"/>
    <w:rsid w:val="004F1F04"/>
    <w:rsid w:val="004F2383"/>
    <w:rsid w:val="004F23E9"/>
    <w:rsid w:val="004F2FF1"/>
    <w:rsid w:val="004F366A"/>
    <w:rsid w:val="004F5854"/>
    <w:rsid w:val="004F72E9"/>
    <w:rsid w:val="00500EDA"/>
    <w:rsid w:val="00502D50"/>
    <w:rsid w:val="00503295"/>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715"/>
    <w:rsid w:val="00525DBB"/>
    <w:rsid w:val="005262C2"/>
    <w:rsid w:val="00527A20"/>
    <w:rsid w:val="005300C8"/>
    <w:rsid w:val="00530F5B"/>
    <w:rsid w:val="005310AE"/>
    <w:rsid w:val="005318B9"/>
    <w:rsid w:val="00531E07"/>
    <w:rsid w:val="005321F4"/>
    <w:rsid w:val="0053257C"/>
    <w:rsid w:val="0053271E"/>
    <w:rsid w:val="00533178"/>
    <w:rsid w:val="005332F5"/>
    <w:rsid w:val="00534585"/>
    <w:rsid w:val="00534A1D"/>
    <w:rsid w:val="00535011"/>
    <w:rsid w:val="00535439"/>
    <w:rsid w:val="00536EE4"/>
    <w:rsid w:val="00540F72"/>
    <w:rsid w:val="00542F46"/>
    <w:rsid w:val="00543297"/>
    <w:rsid w:val="00543DB7"/>
    <w:rsid w:val="00545FB5"/>
    <w:rsid w:val="005460F4"/>
    <w:rsid w:val="005469D0"/>
    <w:rsid w:val="005519BC"/>
    <w:rsid w:val="00551BEE"/>
    <w:rsid w:val="0055360E"/>
    <w:rsid w:val="005545BF"/>
    <w:rsid w:val="00555069"/>
    <w:rsid w:val="00555A12"/>
    <w:rsid w:val="00555CA0"/>
    <w:rsid w:val="00557536"/>
    <w:rsid w:val="00557627"/>
    <w:rsid w:val="00560E96"/>
    <w:rsid w:val="005611AB"/>
    <w:rsid w:val="0056564F"/>
    <w:rsid w:val="005673FC"/>
    <w:rsid w:val="00567F85"/>
    <w:rsid w:val="00572F46"/>
    <w:rsid w:val="00580871"/>
    <w:rsid w:val="0058183A"/>
    <w:rsid w:val="00584D1A"/>
    <w:rsid w:val="005850E9"/>
    <w:rsid w:val="00585605"/>
    <w:rsid w:val="00585FF4"/>
    <w:rsid w:val="00590A8E"/>
    <w:rsid w:val="005921ED"/>
    <w:rsid w:val="00592536"/>
    <w:rsid w:val="00592CAB"/>
    <w:rsid w:val="00593628"/>
    <w:rsid w:val="00593636"/>
    <w:rsid w:val="0059500A"/>
    <w:rsid w:val="00596402"/>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3D9A"/>
    <w:rsid w:val="005C5271"/>
    <w:rsid w:val="005C55BC"/>
    <w:rsid w:val="005D090E"/>
    <w:rsid w:val="005D33F7"/>
    <w:rsid w:val="005D40C7"/>
    <w:rsid w:val="005D436B"/>
    <w:rsid w:val="005D4382"/>
    <w:rsid w:val="005D4D4F"/>
    <w:rsid w:val="005D5B48"/>
    <w:rsid w:val="005D60FF"/>
    <w:rsid w:val="005D6922"/>
    <w:rsid w:val="005D75C3"/>
    <w:rsid w:val="005E0C51"/>
    <w:rsid w:val="005E214B"/>
    <w:rsid w:val="005E50A3"/>
    <w:rsid w:val="005E5393"/>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1F67"/>
    <w:rsid w:val="00602E36"/>
    <w:rsid w:val="00603D1C"/>
    <w:rsid w:val="00603EE2"/>
    <w:rsid w:val="00604B46"/>
    <w:rsid w:val="00607554"/>
    <w:rsid w:val="00607CD1"/>
    <w:rsid w:val="00613C23"/>
    <w:rsid w:val="00613EA0"/>
    <w:rsid w:val="00613F67"/>
    <w:rsid w:val="0061492A"/>
    <w:rsid w:val="0061524E"/>
    <w:rsid w:val="00615576"/>
    <w:rsid w:val="0061563D"/>
    <w:rsid w:val="006158BA"/>
    <w:rsid w:val="00615BEA"/>
    <w:rsid w:val="00617175"/>
    <w:rsid w:val="006172CD"/>
    <w:rsid w:val="006207F3"/>
    <w:rsid w:val="006212C0"/>
    <w:rsid w:val="006216D9"/>
    <w:rsid w:val="00621F3C"/>
    <w:rsid w:val="00623C44"/>
    <w:rsid w:val="00625470"/>
    <w:rsid w:val="00625C7F"/>
    <w:rsid w:val="006301EB"/>
    <w:rsid w:val="006313B8"/>
    <w:rsid w:val="00631505"/>
    <w:rsid w:val="006327F5"/>
    <w:rsid w:val="0063491D"/>
    <w:rsid w:val="00636992"/>
    <w:rsid w:val="00640D08"/>
    <w:rsid w:val="00640D3D"/>
    <w:rsid w:val="00642706"/>
    <w:rsid w:val="00642A13"/>
    <w:rsid w:val="00642A8F"/>
    <w:rsid w:val="006437DA"/>
    <w:rsid w:val="00643ECB"/>
    <w:rsid w:val="0064401B"/>
    <w:rsid w:val="0064422C"/>
    <w:rsid w:val="00644D7F"/>
    <w:rsid w:val="00645170"/>
    <w:rsid w:val="00645E6F"/>
    <w:rsid w:val="0065242B"/>
    <w:rsid w:val="00652638"/>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368"/>
    <w:rsid w:val="00666BF3"/>
    <w:rsid w:val="006706A5"/>
    <w:rsid w:val="006709E7"/>
    <w:rsid w:val="0067105F"/>
    <w:rsid w:val="00671138"/>
    <w:rsid w:val="0067116A"/>
    <w:rsid w:val="00671A52"/>
    <w:rsid w:val="00671D61"/>
    <w:rsid w:val="00672851"/>
    <w:rsid w:val="00676A37"/>
    <w:rsid w:val="00677D41"/>
    <w:rsid w:val="00680324"/>
    <w:rsid w:val="00680C89"/>
    <w:rsid w:val="006811E0"/>
    <w:rsid w:val="006836BF"/>
    <w:rsid w:val="0068534E"/>
    <w:rsid w:val="00685438"/>
    <w:rsid w:val="00685C47"/>
    <w:rsid w:val="00686195"/>
    <w:rsid w:val="0068734F"/>
    <w:rsid w:val="006873CB"/>
    <w:rsid w:val="006878D9"/>
    <w:rsid w:val="006906C5"/>
    <w:rsid w:val="00690B33"/>
    <w:rsid w:val="00690F25"/>
    <w:rsid w:val="00692A55"/>
    <w:rsid w:val="00693910"/>
    <w:rsid w:val="00694B21"/>
    <w:rsid w:val="00695654"/>
    <w:rsid w:val="006A0461"/>
    <w:rsid w:val="006A0550"/>
    <w:rsid w:val="006A0B82"/>
    <w:rsid w:val="006A172E"/>
    <w:rsid w:val="006A29BE"/>
    <w:rsid w:val="006A4113"/>
    <w:rsid w:val="006A5CFC"/>
    <w:rsid w:val="006A5DB1"/>
    <w:rsid w:val="006A780B"/>
    <w:rsid w:val="006A7DB6"/>
    <w:rsid w:val="006B1632"/>
    <w:rsid w:val="006B23FF"/>
    <w:rsid w:val="006B247F"/>
    <w:rsid w:val="006B3C0B"/>
    <w:rsid w:val="006B460D"/>
    <w:rsid w:val="006B59EF"/>
    <w:rsid w:val="006C0F2D"/>
    <w:rsid w:val="006C2D84"/>
    <w:rsid w:val="006C56A5"/>
    <w:rsid w:val="006C58A2"/>
    <w:rsid w:val="006C5BFF"/>
    <w:rsid w:val="006C5D46"/>
    <w:rsid w:val="006C5DAF"/>
    <w:rsid w:val="006C65F1"/>
    <w:rsid w:val="006D0207"/>
    <w:rsid w:val="006D04EE"/>
    <w:rsid w:val="006D3169"/>
    <w:rsid w:val="006D590F"/>
    <w:rsid w:val="006D60A4"/>
    <w:rsid w:val="006D6E56"/>
    <w:rsid w:val="006E0ACD"/>
    <w:rsid w:val="006E19CA"/>
    <w:rsid w:val="006E270D"/>
    <w:rsid w:val="006E3777"/>
    <w:rsid w:val="006E50F1"/>
    <w:rsid w:val="006E7B1A"/>
    <w:rsid w:val="006F0018"/>
    <w:rsid w:val="006F32C7"/>
    <w:rsid w:val="006F381F"/>
    <w:rsid w:val="006F4482"/>
    <w:rsid w:val="006F45BC"/>
    <w:rsid w:val="006F472E"/>
    <w:rsid w:val="006F59DE"/>
    <w:rsid w:val="00700664"/>
    <w:rsid w:val="00700E59"/>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A44"/>
    <w:rsid w:val="00715D19"/>
    <w:rsid w:val="00716C70"/>
    <w:rsid w:val="00716DBB"/>
    <w:rsid w:val="00717887"/>
    <w:rsid w:val="00717AA6"/>
    <w:rsid w:val="00720090"/>
    <w:rsid w:val="007227BD"/>
    <w:rsid w:val="00723F00"/>
    <w:rsid w:val="0072487D"/>
    <w:rsid w:val="007258B9"/>
    <w:rsid w:val="007302CD"/>
    <w:rsid w:val="00732C4E"/>
    <w:rsid w:val="00733D05"/>
    <w:rsid w:val="0073478E"/>
    <w:rsid w:val="00735921"/>
    <w:rsid w:val="00736CA8"/>
    <w:rsid w:val="00737C3A"/>
    <w:rsid w:val="00737D14"/>
    <w:rsid w:val="00737F05"/>
    <w:rsid w:val="007431F5"/>
    <w:rsid w:val="00745223"/>
    <w:rsid w:val="00745908"/>
    <w:rsid w:val="00747304"/>
    <w:rsid w:val="007477F4"/>
    <w:rsid w:val="00752178"/>
    <w:rsid w:val="0075282E"/>
    <w:rsid w:val="00752F02"/>
    <w:rsid w:val="00753947"/>
    <w:rsid w:val="00754881"/>
    <w:rsid w:val="00754AB5"/>
    <w:rsid w:val="0075617D"/>
    <w:rsid w:val="007564AB"/>
    <w:rsid w:val="00756930"/>
    <w:rsid w:val="00756975"/>
    <w:rsid w:val="00756DFA"/>
    <w:rsid w:val="00757C4B"/>
    <w:rsid w:val="007611CB"/>
    <w:rsid w:val="00761B0B"/>
    <w:rsid w:val="007631E0"/>
    <w:rsid w:val="00765781"/>
    <w:rsid w:val="00766353"/>
    <w:rsid w:val="00773BDD"/>
    <w:rsid w:val="00774460"/>
    <w:rsid w:val="00776EC9"/>
    <w:rsid w:val="00780296"/>
    <w:rsid w:val="00780707"/>
    <w:rsid w:val="00780972"/>
    <w:rsid w:val="00780E2F"/>
    <w:rsid w:val="00781C27"/>
    <w:rsid w:val="00787B2C"/>
    <w:rsid w:val="00787B36"/>
    <w:rsid w:val="00787D24"/>
    <w:rsid w:val="00791EEE"/>
    <w:rsid w:val="0079543C"/>
    <w:rsid w:val="00795F8D"/>
    <w:rsid w:val="00796AEA"/>
    <w:rsid w:val="007A1316"/>
    <w:rsid w:val="007A1DC5"/>
    <w:rsid w:val="007A20AD"/>
    <w:rsid w:val="007A28CD"/>
    <w:rsid w:val="007A5D05"/>
    <w:rsid w:val="007A5E2B"/>
    <w:rsid w:val="007A7331"/>
    <w:rsid w:val="007A7415"/>
    <w:rsid w:val="007B0CB0"/>
    <w:rsid w:val="007B116D"/>
    <w:rsid w:val="007B1A13"/>
    <w:rsid w:val="007B1F99"/>
    <w:rsid w:val="007B27DF"/>
    <w:rsid w:val="007B3A86"/>
    <w:rsid w:val="007B3DF4"/>
    <w:rsid w:val="007B54ED"/>
    <w:rsid w:val="007B596C"/>
    <w:rsid w:val="007B6462"/>
    <w:rsid w:val="007B6EF3"/>
    <w:rsid w:val="007C2AE2"/>
    <w:rsid w:val="007C2F4E"/>
    <w:rsid w:val="007C31CC"/>
    <w:rsid w:val="007C32C3"/>
    <w:rsid w:val="007C3E46"/>
    <w:rsid w:val="007C47D0"/>
    <w:rsid w:val="007C6751"/>
    <w:rsid w:val="007D0987"/>
    <w:rsid w:val="007D0E00"/>
    <w:rsid w:val="007D0FC5"/>
    <w:rsid w:val="007D1913"/>
    <w:rsid w:val="007D1DA4"/>
    <w:rsid w:val="007D20B0"/>
    <w:rsid w:val="007D298C"/>
    <w:rsid w:val="007D30DA"/>
    <w:rsid w:val="007D3420"/>
    <w:rsid w:val="007D5362"/>
    <w:rsid w:val="007D6110"/>
    <w:rsid w:val="007D6BBA"/>
    <w:rsid w:val="007D6C48"/>
    <w:rsid w:val="007D71F7"/>
    <w:rsid w:val="007E000F"/>
    <w:rsid w:val="007E156E"/>
    <w:rsid w:val="007E2E70"/>
    <w:rsid w:val="007E3501"/>
    <w:rsid w:val="007E4C3F"/>
    <w:rsid w:val="007E65B1"/>
    <w:rsid w:val="007F0FF4"/>
    <w:rsid w:val="007F2683"/>
    <w:rsid w:val="007F2956"/>
    <w:rsid w:val="007F2E32"/>
    <w:rsid w:val="007F6A11"/>
    <w:rsid w:val="008002AA"/>
    <w:rsid w:val="008015EA"/>
    <w:rsid w:val="008018EF"/>
    <w:rsid w:val="0080230D"/>
    <w:rsid w:val="008036FD"/>
    <w:rsid w:val="0080383D"/>
    <w:rsid w:val="00807429"/>
    <w:rsid w:val="00810827"/>
    <w:rsid w:val="008127D6"/>
    <w:rsid w:val="00814E45"/>
    <w:rsid w:val="00815360"/>
    <w:rsid w:val="00817DA7"/>
    <w:rsid w:val="0082161C"/>
    <w:rsid w:val="00821B16"/>
    <w:rsid w:val="00823378"/>
    <w:rsid w:val="008243DF"/>
    <w:rsid w:val="0082459D"/>
    <w:rsid w:val="00824CEF"/>
    <w:rsid w:val="008254AB"/>
    <w:rsid w:val="00826480"/>
    <w:rsid w:val="00830148"/>
    <w:rsid w:val="008316AD"/>
    <w:rsid w:val="00831855"/>
    <w:rsid w:val="00832D13"/>
    <w:rsid w:val="00835315"/>
    <w:rsid w:val="00835AEB"/>
    <w:rsid w:val="00836BE5"/>
    <w:rsid w:val="00840D0F"/>
    <w:rsid w:val="0084200E"/>
    <w:rsid w:val="00842A84"/>
    <w:rsid w:val="00842FDE"/>
    <w:rsid w:val="008445D4"/>
    <w:rsid w:val="008446F1"/>
    <w:rsid w:val="00846FF0"/>
    <w:rsid w:val="00847CD0"/>
    <w:rsid w:val="00854B56"/>
    <w:rsid w:val="00855374"/>
    <w:rsid w:val="0085728C"/>
    <w:rsid w:val="00857A42"/>
    <w:rsid w:val="00860737"/>
    <w:rsid w:val="008611A4"/>
    <w:rsid w:val="00861FD7"/>
    <w:rsid w:val="00862B1B"/>
    <w:rsid w:val="00862B56"/>
    <w:rsid w:val="0086363F"/>
    <w:rsid w:val="008639C9"/>
    <w:rsid w:val="008667AD"/>
    <w:rsid w:val="00866D13"/>
    <w:rsid w:val="00874DEF"/>
    <w:rsid w:val="00876D09"/>
    <w:rsid w:val="00877308"/>
    <w:rsid w:val="0088013C"/>
    <w:rsid w:val="00881882"/>
    <w:rsid w:val="00882AC7"/>
    <w:rsid w:val="00882CC5"/>
    <w:rsid w:val="008835E3"/>
    <w:rsid w:val="00884452"/>
    <w:rsid w:val="008905D7"/>
    <w:rsid w:val="008934C7"/>
    <w:rsid w:val="008957C4"/>
    <w:rsid w:val="00895B87"/>
    <w:rsid w:val="00895EB5"/>
    <w:rsid w:val="008960B7"/>
    <w:rsid w:val="008962F2"/>
    <w:rsid w:val="00896511"/>
    <w:rsid w:val="00896657"/>
    <w:rsid w:val="0089692A"/>
    <w:rsid w:val="00896F35"/>
    <w:rsid w:val="008975E7"/>
    <w:rsid w:val="008A08D2"/>
    <w:rsid w:val="008A0DE1"/>
    <w:rsid w:val="008A2E7B"/>
    <w:rsid w:val="008A3EA4"/>
    <w:rsid w:val="008A3FB1"/>
    <w:rsid w:val="008A7133"/>
    <w:rsid w:val="008B1D85"/>
    <w:rsid w:val="008B24E5"/>
    <w:rsid w:val="008B270A"/>
    <w:rsid w:val="008B3920"/>
    <w:rsid w:val="008B5B9D"/>
    <w:rsid w:val="008B68C6"/>
    <w:rsid w:val="008B6F16"/>
    <w:rsid w:val="008B6F4B"/>
    <w:rsid w:val="008C0156"/>
    <w:rsid w:val="008C0189"/>
    <w:rsid w:val="008C0257"/>
    <w:rsid w:val="008C12FB"/>
    <w:rsid w:val="008C2607"/>
    <w:rsid w:val="008C465E"/>
    <w:rsid w:val="008C4CE4"/>
    <w:rsid w:val="008C6787"/>
    <w:rsid w:val="008C73D6"/>
    <w:rsid w:val="008D0C62"/>
    <w:rsid w:val="008D20C1"/>
    <w:rsid w:val="008D2CD6"/>
    <w:rsid w:val="008D4939"/>
    <w:rsid w:val="008D50C8"/>
    <w:rsid w:val="008D790B"/>
    <w:rsid w:val="008D7FC7"/>
    <w:rsid w:val="008E0C04"/>
    <w:rsid w:val="008E0FE3"/>
    <w:rsid w:val="008E2737"/>
    <w:rsid w:val="008E3D60"/>
    <w:rsid w:val="008E45DB"/>
    <w:rsid w:val="008E4DCD"/>
    <w:rsid w:val="008E4E47"/>
    <w:rsid w:val="008E6098"/>
    <w:rsid w:val="008E7390"/>
    <w:rsid w:val="008E7B58"/>
    <w:rsid w:val="008F05C2"/>
    <w:rsid w:val="008F1F00"/>
    <w:rsid w:val="008F41ED"/>
    <w:rsid w:val="008F42BB"/>
    <w:rsid w:val="008F47D1"/>
    <w:rsid w:val="008F6D2B"/>
    <w:rsid w:val="008F7005"/>
    <w:rsid w:val="0090291C"/>
    <w:rsid w:val="00905434"/>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3539"/>
    <w:rsid w:val="009160E0"/>
    <w:rsid w:val="00921B80"/>
    <w:rsid w:val="00921F3C"/>
    <w:rsid w:val="00923A05"/>
    <w:rsid w:val="00924F4A"/>
    <w:rsid w:val="009259EF"/>
    <w:rsid w:val="00926659"/>
    <w:rsid w:val="00927725"/>
    <w:rsid w:val="00927DC4"/>
    <w:rsid w:val="009304FE"/>
    <w:rsid w:val="00930782"/>
    <w:rsid w:val="009310F0"/>
    <w:rsid w:val="0093251E"/>
    <w:rsid w:val="0093422B"/>
    <w:rsid w:val="009353DF"/>
    <w:rsid w:val="0093570A"/>
    <w:rsid w:val="00935F40"/>
    <w:rsid w:val="009363C8"/>
    <w:rsid w:val="00936C3C"/>
    <w:rsid w:val="00936EC8"/>
    <w:rsid w:val="00941138"/>
    <w:rsid w:val="00942DAE"/>
    <w:rsid w:val="00943F6E"/>
    <w:rsid w:val="00945CCD"/>
    <w:rsid w:val="00945D59"/>
    <w:rsid w:val="00947F9D"/>
    <w:rsid w:val="00951D24"/>
    <w:rsid w:val="00952049"/>
    <w:rsid w:val="00952C86"/>
    <w:rsid w:val="00953BC2"/>
    <w:rsid w:val="00954986"/>
    <w:rsid w:val="00955739"/>
    <w:rsid w:val="009559AF"/>
    <w:rsid w:val="009564F3"/>
    <w:rsid w:val="009565E3"/>
    <w:rsid w:val="00956972"/>
    <w:rsid w:val="0095714D"/>
    <w:rsid w:val="00957687"/>
    <w:rsid w:val="00957E20"/>
    <w:rsid w:val="00961E91"/>
    <w:rsid w:val="00963876"/>
    <w:rsid w:val="00964CD3"/>
    <w:rsid w:val="00966051"/>
    <w:rsid w:val="00973088"/>
    <w:rsid w:val="00974568"/>
    <w:rsid w:val="0097493A"/>
    <w:rsid w:val="0097619C"/>
    <w:rsid w:val="009765DF"/>
    <w:rsid w:val="00977973"/>
    <w:rsid w:val="00981F79"/>
    <w:rsid w:val="009834E9"/>
    <w:rsid w:val="00983A72"/>
    <w:rsid w:val="009850EF"/>
    <w:rsid w:val="009868FC"/>
    <w:rsid w:val="00986D78"/>
    <w:rsid w:val="00987FE0"/>
    <w:rsid w:val="00990566"/>
    <w:rsid w:val="00991A16"/>
    <w:rsid w:val="00991AA5"/>
    <w:rsid w:val="00993BEE"/>
    <w:rsid w:val="00995CC1"/>
    <w:rsid w:val="009961EE"/>
    <w:rsid w:val="00996FC8"/>
    <w:rsid w:val="009A0BF1"/>
    <w:rsid w:val="009A23A4"/>
    <w:rsid w:val="009A2E64"/>
    <w:rsid w:val="009A43AF"/>
    <w:rsid w:val="009A4ED0"/>
    <w:rsid w:val="009A6EF9"/>
    <w:rsid w:val="009B0086"/>
    <w:rsid w:val="009B0DF1"/>
    <w:rsid w:val="009B32BB"/>
    <w:rsid w:val="009B4416"/>
    <w:rsid w:val="009B4E8F"/>
    <w:rsid w:val="009B5E0E"/>
    <w:rsid w:val="009B75B8"/>
    <w:rsid w:val="009B7FCB"/>
    <w:rsid w:val="009C07DF"/>
    <w:rsid w:val="009C0E2E"/>
    <w:rsid w:val="009C1047"/>
    <w:rsid w:val="009C190C"/>
    <w:rsid w:val="009C2436"/>
    <w:rsid w:val="009C77A0"/>
    <w:rsid w:val="009C79CB"/>
    <w:rsid w:val="009C7C61"/>
    <w:rsid w:val="009D1640"/>
    <w:rsid w:val="009D21D0"/>
    <w:rsid w:val="009D2D1D"/>
    <w:rsid w:val="009D2FBA"/>
    <w:rsid w:val="009D351E"/>
    <w:rsid w:val="009D6D73"/>
    <w:rsid w:val="009D73AC"/>
    <w:rsid w:val="009D7787"/>
    <w:rsid w:val="009E02C9"/>
    <w:rsid w:val="009E1660"/>
    <w:rsid w:val="009E1F68"/>
    <w:rsid w:val="009E2A96"/>
    <w:rsid w:val="009E39DC"/>
    <w:rsid w:val="009E3FC0"/>
    <w:rsid w:val="009E44D4"/>
    <w:rsid w:val="009E455F"/>
    <w:rsid w:val="009E5645"/>
    <w:rsid w:val="009E56B4"/>
    <w:rsid w:val="009E67DD"/>
    <w:rsid w:val="009F00E2"/>
    <w:rsid w:val="009F43C3"/>
    <w:rsid w:val="009F4C44"/>
    <w:rsid w:val="009F61A9"/>
    <w:rsid w:val="009F6A19"/>
    <w:rsid w:val="00A020B4"/>
    <w:rsid w:val="00A02F3C"/>
    <w:rsid w:val="00A03358"/>
    <w:rsid w:val="00A043FE"/>
    <w:rsid w:val="00A044A3"/>
    <w:rsid w:val="00A05916"/>
    <w:rsid w:val="00A05AA6"/>
    <w:rsid w:val="00A06192"/>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96C"/>
    <w:rsid w:val="00A36B1D"/>
    <w:rsid w:val="00A36E14"/>
    <w:rsid w:val="00A40446"/>
    <w:rsid w:val="00A40A8F"/>
    <w:rsid w:val="00A41B06"/>
    <w:rsid w:val="00A43468"/>
    <w:rsid w:val="00A437BB"/>
    <w:rsid w:val="00A4716C"/>
    <w:rsid w:val="00A50DA6"/>
    <w:rsid w:val="00A511E6"/>
    <w:rsid w:val="00A52978"/>
    <w:rsid w:val="00A52C86"/>
    <w:rsid w:val="00A53130"/>
    <w:rsid w:val="00A5412B"/>
    <w:rsid w:val="00A55158"/>
    <w:rsid w:val="00A57DA5"/>
    <w:rsid w:val="00A6042C"/>
    <w:rsid w:val="00A628DE"/>
    <w:rsid w:val="00A64735"/>
    <w:rsid w:val="00A64AC6"/>
    <w:rsid w:val="00A666B7"/>
    <w:rsid w:val="00A66B50"/>
    <w:rsid w:val="00A677C0"/>
    <w:rsid w:val="00A67FAE"/>
    <w:rsid w:val="00A72556"/>
    <w:rsid w:val="00A72AF8"/>
    <w:rsid w:val="00A7322E"/>
    <w:rsid w:val="00A73601"/>
    <w:rsid w:val="00A7422E"/>
    <w:rsid w:val="00A746B4"/>
    <w:rsid w:val="00A80B08"/>
    <w:rsid w:val="00A81E64"/>
    <w:rsid w:val="00A82AD7"/>
    <w:rsid w:val="00A8326A"/>
    <w:rsid w:val="00A8367E"/>
    <w:rsid w:val="00A84536"/>
    <w:rsid w:val="00A84FC0"/>
    <w:rsid w:val="00A8510A"/>
    <w:rsid w:val="00A85226"/>
    <w:rsid w:val="00A857A7"/>
    <w:rsid w:val="00A860D4"/>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50E"/>
    <w:rsid w:val="00AA72B5"/>
    <w:rsid w:val="00AB0EFE"/>
    <w:rsid w:val="00AB0F2F"/>
    <w:rsid w:val="00AB12D9"/>
    <w:rsid w:val="00AB195F"/>
    <w:rsid w:val="00AB2C4F"/>
    <w:rsid w:val="00AB3848"/>
    <w:rsid w:val="00AB5020"/>
    <w:rsid w:val="00AB5F73"/>
    <w:rsid w:val="00AB6968"/>
    <w:rsid w:val="00AB699B"/>
    <w:rsid w:val="00AB6EAA"/>
    <w:rsid w:val="00AC042B"/>
    <w:rsid w:val="00AC0A37"/>
    <w:rsid w:val="00AC113A"/>
    <w:rsid w:val="00AC1E64"/>
    <w:rsid w:val="00AC2919"/>
    <w:rsid w:val="00AC3473"/>
    <w:rsid w:val="00AC3CC5"/>
    <w:rsid w:val="00AC4230"/>
    <w:rsid w:val="00AC4746"/>
    <w:rsid w:val="00AC5FB9"/>
    <w:rsid w:val="00AC6001"/>
    <w:rsid w:val="00AC6F04"/>
    <w:rsid w:val="00AC7080"/>
    <w:rsid w:val="00AC7204"/>
    <w:rsid w:val="00AD07F3"/>
    <w:rsid w:val="00AD1FB6"/>
    <w:rsid w:val="00AD20E2"/>
    <w:rsid w:val="00AD22B6"/>
    <w:rsid w:val="00AD2ADC"/>
    <w:rsid w:val="00AD2B54"/>
    <w:rsid w:val="00AD46E9"/>
    <w:rsid w:val="00AD5C38"/>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44F4"/>
    <w:rsid w:val="00B05C76"/>
    <w:rsid w:val="00B068F0"/>
    <w:rsid w:val="00B077A2"/>
    <w:rsid w:val="00B07E37"/>
    <w:rsid w:val="00B101A9"/>
    <w:rsid w:val="00B106F6"/>
    <w:rsid w:val="00B10F4E"/>
    <w:rsid w:val="00B11E5B"/>
    <w:rsid w:val="00B146AF"/>
    <w:rsid w:val="00B1511A"/>
    <w:rsid w:val="00B15D08"/>
    <w:rsid w:val="00B16E7E"/>
    <w:rsid w:val="00B17456"/>
    <w:rsid w:val="00B20655"/>
    <w:rsid w:val="00B206E5"/>
    <w:rsid w:val="00B20AC4"/>
    <w:rsid w:val="00B21FFE"/>
    <w:rsid w:val="00B24127"/>
    <w:rsid w:val="00B24658"/>
    <w:rsid w:val="00B2631A"/>
    <w:rsid w:val="00B265B1"/>
    <w:rsid w:val="00B26D8F"/>
    <w:rsid w:val="00B300F8"/>
    <w:rsid w:val="00B301A2"/>
    <w:rsid w:val="00B303F0"/>
    <w:rsid w:val="00B30A47"/>
    <w:rsid w:val="00B31173"/>
    <w:rsid w:val="00B312A4"/>
    <w:rsid w:val="00B320CE"/>
    <w:rsid w:val="00B32735"/>
    <w:rsid w:val="00B32D74"/>
    <w:rsid w:val="00B3348E"/>
    <w:rsid w:val="00B35695"/>
    <w:rsid w:val="00B40231"/>
    <w:rsid w:val="00B40C7A"/>
    <w:rsid w:val="00B419E0"/>
    <w:rsid w:val="00B4266C"/>
    <w:rsid w:val="00B42A6D"/>
    <w:rsid w:val="00B42ABB"/>
    <w:rsid w:val="00B42F5F"/>
    <w:rsid w:val="00B45042"/>
    <w:rsid w:val="00B45348"/>
    <w:rsid w:val="00B453FA"/>
    <w:rsid w:val="00B508E9"/>
    <w:rsid w:val="00B50EFF"/>
    <w:rsid w:val="00B513A5"/>
    <w:rsid w:val="00B52B1B"/>
    <w:rsid w:val="00B531F1"/>
    <w:rsid w:val="00B547FB"/>
    <w:rsid w:val="00B555ED"/>
    <w:rsid w:val="00B55B97"/>
    <w:rsid w:val="00B56E5D"/>
    <w:rsid w:val="00B5729D"/>
    <w:rsid w:val="00B5735F"/>
    <w:rsid w:val="00B57E11"/>
    <w:rsid w:val="00B61727"/>
    <w:rsid w:val="00B6173F"/>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6396"/>
    <w:rsid w:val="00B866CA"/>
    <w:rsid w:val="00B9003F"/>
    <w:rsid w:val="00B903FE"/>
    <w:rsid w:val="00B9185F"/>
    <w:rsid w:val="00B918B1"/>
    <w:rsid w:val="00B91E89"/>
    <w:rsid w:val="00B92D56"/>
    <w:rsid w:val="00B934B4"/>
    <w:rsid w:val="00B93DAD"/>
    <w:rsid w:val="00B9411D"/>
    <w:rsid w:val="00B94551"/>
    <w:rsid w:val="00B94598"/>
    <w:rsid w:val="00B951C0"/>
    <w:rsid w:val="00B95A7D"/>
    <w:rsid w:val="00B96A3D"/>
    <w:rsid w:val="00BA188B"/>
    <w:rsid w:val="00BA4EA6"/>
    <w:rsid w:val="00BA657A"/>
    <w:rsid w:val="00BA7B9D"/>
    <w:rsid w:val="00BA7BD2"/>
    <w:rsid w:val="00BA7C42"/>
    <w:rsid w:val="00BB0832"/>
    <w:rsid w:val="00BB1257"/>
    <w:rsid w:val="00BB14EE"/>
    <w:rsid w:val="00BB25C7"/>
    <w:rsid w:val="00BB276B"/>
    <w:rsid w:val="00BB354F"/>
    <w:rsid w:val="00BB36A8"/>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C7E"/>
    <w:rsid w:val="00BD1AD4"/>
    <w:rsid w:val="00BD1E93"/>
    <w:rsid w:val="00BD1F85"/>
    <w:rsid w:val="00BD27A4"/>
    <w:rsid w:val="00BD4D28"/>
    <w:rsid w:val="00BD57BE"/>
    <w:rsid w:val="00BD6587"/>
    <w:rsid w:val="00BD720D"/>
    <w:rsid w:val="00BE0162"/>
    <w:rsid w:val="00BE07AC"/>
    <w:rsid w:val="00BE0929"/>
    <w:rsid w:val="00BE1981"/>
    <w:rsid w:val="00BE1985"/>
    <w:rsid w:val="00BE2DFC"/>
    <w:rsid w:val="00BE33C9"/>
    <w:rsid w:val="00BE37E1"/>
    <w:rsid w:val="00BE448A"/>
    <w:rsid w:val="00BE6B92"/>
    <w:rsid w:val="00BE6BBF"/>
    <w:rsid w:val="00BE7433"/>
    <w:rsid w:val="00BF0D7D"/>
    <w:rsid w:val="00BF335C"/>
    <w:rsid w:val="00BF3876"/>
    <w:rsid w:val="00BF4490"/>
    <w:rsid w:val="00BF48C1"/>
    <w:rsid w:val="00BF57E1"/>
    <w:rsid w:val="00BF5828"/>
    <w:rsid w:val="00BF6C75"/>
    <w:rsid w:val="00C00570"/>
    <w:rsid w:val="00C00AE5"/>
    <w:rsid w:val="00C02DFA"/>
    <w:rsid w:val="00C03981"/>
    <w:rsid w:val="00C04218"/>
    <w:rsid w:val="00C04F43"/>
    <w:rsid w:val="00C05103"/>
    <w:rsid w:val="00C0704F"/>
    <w:rsid w:val="00C07844"/>
    <w:rsid w:val="00C07AD3"/>
    <w:rsid w:val="00C100E8"/>
    <w:rsid w:val="00C10BBC"/>
    <w:rsid w:val="00C1369E"/>
    <w:rsid w:val="00C13ED1"/>
    <w:rsid w:val="00C14024"/>
    <w:rsid w:val="00C1408E"/>
    <w:rsid w:val="00C14801"/>
    <w:rsid w:val="00C14D24"/>
    <w:rsid w:val="00C15225"/>
    <w:rsid w:val="00C152B8"/>
    <w:rsid w:val="00C16120"/>
    <w:rsid w:val="00C16966"/>
    <w:rsid w:val="00C16E1E"/>
    <w:rsid w:val="00C21F0C"/>
    <w:rsid w:val="00C22F84"/>
    <w:rsid w:val="00C26422"/>
    <w:rsid w:val="00C26763"/>
    <w:rsid w:val="00C26C7C"/>
    <w:rsid w:val="00C32484"/>
    <w:rsid w:val="00C3269F"/>
    <w:rsid w:val="00C334D7"/>
    <w:rsid w:val="00C33C89"/>
    <w:rsid w:val="00C33ED1"/>
    <w:rsid w:val="00C34D03"/>
    <w:rsid w:val="00C36E14"/>
    <w:rsid w:val="00C4047F"/>
    <w:rsid w:val="00C41F4A"/>
    <w:rsid w:val="00C45358"/>
    <w:rsid w:val="00C45513"/>
    <w:rsid w:val="00C4681F"/>
    <w:rsid w:val="00C51391"/>
    <w:rsid w:val="00C56CDC"/>
    <w:rsid w:val="00C56DC5"/>
    <w:rsid w:val="00C577BF"/>
    <w:rsid w:val="00C609DF"/>
    <w:rsid w:val="00C6107C"/>
    <w:rsid w:val="00C6111C"/>
    <w:rsid w:val="00C65A7D"/>
    <w:rsid w:val="00C65E9D"/>
    <w:rsid w:val="00C67EB5"/>
    <w:rsid w:val="00C70497"/>
    <w:rsid w:val="00C704B8"/>
    <w:rsid w:val="00C7149A"/>
    <w:rsid w:val="00C72CFB"/>
    <w:rsid w:val="00C72D10"/>
    <w:rsid w:val="00C74E95"/>
    <w:rsid w:val="00C74FDD"/>
    <w:rsid w:val="00C760D9"/>
    <w:rsid w:val="00C81097"/>
    <w:rsid w:val="00C81704"/>
    <w:rsid w:val="00C8399C"/>
    <w:rsid w:val="00C848D1"/>
    <w:rsid w:val="00C85B39"/>
    <w:rsid w:val="00C869F3"/>
    <w:rsid w:val="00C86F0C"/>
    <w:rsid w:val="00C87880"/>
    <w:rsid w:val="00C918DF"/>
    <w:rsid w:val="00C93939"/>
    <w:rsid w:val="00C93C0C"/>
    <w:rsid w:val="00C95721"/>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B0B66"/>
    <w:rsid w:val="00CB0FE1"/>
    <w:rsid w:val="00CB1C25"/>
    <w:rsid w:val="00CB3617"/>
    <w:rsid w:val="00CB6336"/>
    <w:rsid w:val="00CB7B1A"/>
    <w:rsid w:val="00CB7C08"/>
    <w:rsid w:val="00CC00F7"/>
    <w:rsid w:val="00CC0273"/>
    <w:rsid w:val="00CC044C"/>
    <w:rsid w:val="00CC14C4"/>
    <w:rsid w:val="00CC3C93"/>
    <w:rsid w:val="00CC4EB1"/>
    <w:rsid w:val="00CC54C3"/>
    <w:rsid w:val="00CC5812"/>
    <w:rsid w:val="00CC6492"/>
    <w:rsid w:val="00CC6A7A"/>
    <w:rsid w:val="00CC6BD1"/>
    <w:rsid w:val="00CC714E"/>
    <w:rsid w:val="00CD0016"/>
    <w:rsid w:val="00CD1C84"/>
    <w:rsid w:val="00CD24A8"/>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EF9"/>
    <w:rsid w:val="00D15AE9"/>
    <w:rsid w:val="00D21282"/>
    <w:rsid w:val="00D21CD0"/>
    <w:rsid w:val="00D222D0"/>
    <w:rsid w:val="00D2292C"/>
    <w:rsid w:val="00D229F9"/>
    <w:rsid w:val="00D2377A"/>
    <w:rsid w:val="00D23D51"/>
    <w:rsid w:val="00D24A7F"/>
    <w:rsid w:val="00D30E85"/>
    <w:rsid w:val="00D325CD"/>
    <w:rsid w:val="00D32B20"/>
    <w:rsid w:val="00D33BAD"/>
    <w:rsid w:val="00D3501F"/>
    <w:rsid w:val="00D36224"/>
    <w:rsid w:val="00D40999"/>
    <w:rsid w:val="00D416AA"/>
    <w:rsid w:val="00D41FF6"/>
    <w:rsid w:val="00D4491E"/>
    <w:rsid w:val="00D45FDF"/>
    <w:rsid w:val="00D50742"/>
    <w:rsid w:val="00D50EE4"/>
    <w:rsid w:val="00D53BB6"/>
    <w:rsid w:val="00D540B2"/>
    <w:rsid w:val="00D55558"/>
    <w:rsid w:val="00D556A2"/>
    <w:rsid w:val="00D55FDF"/>
    <w:rsid w:val="00D5616B"/>
    <w:rsid w:val="00D5673B"/>
    <w:rsid w:val="00D56769"/>
    <w:rsid w:val="00D56F3D"/>
    <w:rsid w:val="00D57E6D"/>
    <w:rsid w:val="00D63483"/>
    <w:rsid w:val="00D63FC0"/>
    <w:rsid w:val="00D65037"/>
    <w:rsid w:val="00D66349"/>
    <w:rsid w:val="00D66661"/>
    <w:rsid w:val="00D66F4D"/>
    <w:rsid w:val="00D74447"/>
    <w:rsid w:val="00D7563C"/>
    <w:rsid w:val="00D75B68"/>
    <w:rsid w:val="00D75DD0"/>
    <w:rsid w:val="00D76810"/>
    <w:rsid w:val="00D76EF3"/>
    <w:rsid w:val="00D80A47"/>
    <w:rsid w:val="00D81263"/>
    <w:rsid w:val="00D83927"/>
    <w:rsid w:val="00D848FA"/>
    <w:rsid w:val="00D85E86"/>
    <w:rsid w:val="00D867A5"/>
    <w:rsid w:val="00D90AB8"/>
    <w:rsid w:val="00D923E5"/>
    <w:rsid w:val="00D92798"/>
    <w:rsid w:val="00D942D5"/>
    <w:rsid w:val="00D94DB6"/>
    <w:rsid w:val="00D964B5"/>
    <w:rsid w:val="00DA1938"/>
    <w:rsid w:val="00DA3675"/>
    <w:rsid w:val="00DA4B4A"/>
    <w:rsid w:val="00DA5597"/>
    <w:rsid w:val="00DA7199"/>
    <w:rsid w:val="00DB07BF"/>
    <w:rsid w:val="00DB1610"/>
    <w:rsid w:val="00DB393B"/>
    <w:rsid w:val="00DB56B4"/>
    <w:rsid w:val="00DB61A8"/>
    <w:rsid w:val="00DB6E40"/>
    <w:rsid w:val="00DB75A7"/>
    <w:rsid w:val="00DC07A5"/>
    <w:rsid w:val="00DC0B14"/>
    <w:rsid w:val="00DC134F"/>
    <w:rsid w:val="00DC14DE"/>
    <w:rsid w:val="00DC2DC4"/>
    <w:rsid w:val="00DC2FD3"/>
    <w:rsid w:val="00DC3A95"/>
    <w:rsid w:val="00DC4F0E"/>
    <w:rsid w:val="00DC5992"/>
    <w:rsid w:val="00DC5F21"/>
    <w:rsid w:val="00DC6174"/>
    <w:rsid w:val="00DC6C80"/>
    <w:rsid w:val="00DD009F"/>
    <w:rsid w:val="00DD0EEF"/>
    <w:rsid w:val="00DD3E1A"/>
    <w:rsid w:val="00DD461A"/>
    <w:rsid w:val="00DD479B"/>
    <w:rsid w:val="00DD4AD2"/>
    <w:rsid w:val="00DD58FD"/>
    <w:rsid w:val="00DD5FC9"/>
    <w:rsid w:val="00DD6697"/>
    <w:rsid w:val="00DD6A5C"/>
    <w:rsid w:val="00DD6F0B"/>
    <w:rsid w:val="00DD7963"/>
    <w:rsid w:val="00DE06B7"/>
    <w:rsid w:val="00DE06E8"/>
    <w:rsid w:val="00DE0726"/>
    <w:rsid w:val="00DE167F"/>
    <w:rsid w:val="00DE1F57"/>
    <w:rsid w:val="00DE3207"/>
    <w:rsid w:val="00DE4D90"/>
    <w:rsid w:val="00DE5D05"/>
    <w:rsid w:val="00DE6CE8"/>
    <w:rsid w:val="00DE6DAB"/>
    <w:rsid w:val="00DE7AB3"/>
    <w:rsid w:val="00DF0036"/>
    <w:rsid w:val="00DF0724"/>
    <w:rsid w:val="00DF2BFF"/>
    <w:rsid w:val="00DF4141"/>
    <w:rsid w:val="00DF4AA9"/>
    <w:rsid w:val="00DF6AC2"/>
    <w:rsid w:val="00DF7AAA"/>
    <w:rsid w:val="00E007AE"/>
    <w:rsid w:val="00E01407"/>
    <w:rsid w:val="00E02E7F"/>
    <w:rsid w:val="00E04197"/>
    <w:rsid w:val="00E045C7"/>
    <w:rsid w:val="00E050C0"/>
    <w:rsid w:val="00E05189"/>
    <w:rsid w:val="00E05801"/>
    <w:rsid w:val="00E05C7D"/>
    <w:rsid w:val="00E06113"/>
    <w:rsid w:val="00E064FC"/>
    <w:rsid w:val="00E07E27"/>
    <w:rsid w:val="00E1053D"/>
    <w:rsid w:val="00E12301"/>
    <w:rsid w:val="00E12922"/>
    <w:rsid w:val="00E12E16"/>
    <w:rsid w:val="00E139B4"/>
    <w:rsid w:val="00E13CEA"/>
    <w:rsid w:val="00E140A6"/>
    <w:rsid w:val="00E14272"/>
    <w:rsid w:val="00E148B8"/>
    <w:rsid w:val="00E1561C"/>
    <w:rsid w:val="00E1648B"/>
    <w:rsid w:val="00E16FE2"/>
    <w:rsid w:val="00E209D0"/>
    <w:rsid w:val="00E21E25"/>
    <w:rsid w:val="00E22AF2"/>
    <w:rsid w:val="00E22B89"/>
    <w:rsid w:val="00E23D74"/>
    <w:rsid w:val="00E240F1"/>
    <w:rsid w:val="00E245C5"/>
    <w:rsid w:val="00E25274"/>
    <w:rsid w:val="00E26111"/>
    <w:rsid w:val="00E2649B"/>
    <w:rsid w:val="00E266C1"/>
    <w:rsid w:val="00E26E0C"/>
    <w:rsid w:val="00E302B8"/>
    <w:rsid w:val="00E31C44"/>
    <w:rsid w:val="00E32765"/>
    <w:rsid w:val="00E34401"/>
    <w:rsid w:val="00E34CCD"/>
    <w:rsid w:val="00E3553E"/>
    <w:rsid w:val="00E35C31"/>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72523"/>
    <w:rsid w:val="00E73C65"/>
    <w:rsid w:val="00E741A1"/>
    <w:rsid w:val="00E743EC"/>
    <w:rsid w:val="00E74D5E"/>
    <w:rsid w:val="00E77ADD"/>
    <w:rsid w:val="00E83AD0"/>
    <w:rsid w:val="00E849FB"/>
    <w:rsid w:val="00E84AE9"/>
    <w:rsid w:val="00E865EA"/>
    <w:rsid w:val="00E912EB"/>
    <w:rsid w:val="00E91331"/>
    <w:rsid w:val="00E91896"/>
    <w:rsid w:val="00E9272A"/>
    <w:rsid w:val="00E93FDD"/>
    <w:rsid w:val="00E9423B"/>
    <w:rsid w:val="00E95165"/>
    <w:rsid w:val="00E966E3"/>
    <w:rsid w:val="00E968B2"/>
    <w:rsid w:val="00E97BC1"/>
    <w:rsid w:val="00EA086B"/>
    <w:rsid w:val="00EA1B47"/>
    <w:rsid w:val="00EA3B35"/>
    <w:rsid w:val="00EA4EBA"/>
    <w:rsid w:val="00EA5CCE"/>
    <w:rsid w:val="00EA7014"/>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B4"/>
    <w:rsid w:val="00EC7D98"/>
    <w:rsid w:val="00ED075D"/>
    <w:rsid w:val="00ED08E4"/>
    <w:rsid w:val="00ED114C"/>
    <w:rsid w:val="00ED1344"/>
    <w:rsid w:val="00ED1FAA"/>
    <w:rsid w:val="00ED3390"/>
    <w:rsid w:val="00ED3CE7"/>
    <w:rsid w:val="00ED64E6"/>
    <w:rsid w:val="00ED6560"/>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782F"/>
    <w:rsid w:val="00EF7CD6"/>
    <w:rsid w:val="00F00694"/>
    <w:rsid w:val="00F00C8E"/>
    <w:rsid w:val="00F02ACE"/>
    <w:rsid w:val="00F04D8F"/>
    <w:rsid w:val="00F06195"/>
    <w:rsid w:val="00F061E4"/>
    <w:rsid w:val="00F06524"/>
    <w:rsid w:val="00F06FD3"/>
    <w:rsid w:val="00F07424"/>
    <w:rsid w:val="00F07D5F"/>
    <w:rsid w:val="00F12408"/>
    <w:rsid w:val="00F12DC2"/>
    <w:rsid w:val="00F139DD"/>
    <w:rsid w:val="00F13AE9"/>
    <w:rsid w:val="00F147F9"/>
    <w:rsid w:val="00F1579D"/>
    <w:rsid w:val="00F15AA1"/>
    <w:rsid w:val="00F167EB"/>
    <w:rsid w:val="00F1720D"/>
    <w:rsid w:val="00F177E3"/>
    <w:rsid w:val="00F2175E"/>
    <w:rsid w:val="00F23162"/>
    <w:rsid w:val="00F24526"/>
    <w:rsid w:val="00F24926"/>
    <w:rsid w:val="00F24C1C"/>
    <w:rsid w:val="00F25311"/>
    <w:rsid w:val="00F26C41"/>
    <w:rsid w:val="00F30A79"/>
    <w:rsid w:val="00F32D74"/>
    <w:rsid w:val="00F332CF"/>
    <w:rsid w:val="00F35F83"/>
    <w:rsid w:val="00F3684A"/>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694C"/>
    <w:rsid w:val="00F66AF2"/>
    <w:rsid w:val="00F6700A"/>
    <w:rsid w:val="00F70645"/>
    <w:rsid w:val="00F717AF"/>
    <w:rsid w:val="00F74101"/>
    <w:rsid w:val="00F74D99"/>
    <w:rsid w:val="00F803E8"/>
    <w:rsid w:val="00F8097F"/>
    <w:rsid w:val="00F8178D"/>
    <w:rsid w:val="00F83BAD"/>
    <w:rsid w:val="00F86732"/>
    <w:rsid w:val="00F86CD7"/>
    <w:rsid w:val="00F923D8"/>
    <w:rsid w:val="00F93027"/>
    <w:rsid w:val="00F945B3"/>
    <w:rsid w:val="00F948A6"/>
    <w:rsid w:val="00F95BA3"/>
    <w:rsid w:val="00F96208"/>
    <w:rsid w:val="00F96664"/>
    <w:rsid w:val="00F97807"/>
    <w:rsid w:val="00FA1E4A"/>
    <w:rsid w:val="00FA2C64"/>
    <w:rsid w:val="00FA4F12"/>
    <w:rsid w:val="00FA5043"/>
    <w:rsid w:val="00FA684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71E8"/>
    <w:rsid w:val="00FD2521"/>
    <w:rsid w:val="00FD286B"/>
    <w:rsid w:val="00FD2B91"/>
    <w:rsid w:val="00FD3549"/>
    <w:rsid w:val="00FD4876"/>
    <w:rsid w:val="00FD497B"/>
    <w:rsid w:val="00FD5BB3"/>
    <w:rsid w:val="00FD7D6E"/>
    <w:rsid w:val="00FE0478"/>
    <w:rsid w:val="00FE0C89"/>
    <w:rsid w:val="00FE3446"/>
    <w:rsid w:val="00FE3E56"/>
    <w:rsid w:val="00FE4072"/>
    <w:rsid w:val="00FE479B"/>
    <w:rsid w:val="00FE63DF"/>
    <w:rsid w:val="00FE7460"/>
    <w:rsid w:val="00FE7B3B"/>
    <w:rsid w:val="00FF0555"/>
    <w:rsid w:val="00FF0F23"/>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0A3F-C485-4FC6-A491-10B20E42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7</cp:revision>
  <cp:lastPrinted>2011-11-04T11:24:00Z</cp:lastPrinted>
  <dcterms:created xsi:type="dcterms:W3CDTF">2011-10-24T17:20:00Z</dcterms:created>
  <dcterms:modified xsi:type="dcterms:W3CDTF">2011-11-04T11:24:00Z</dcterms:modified>
</cp:coreProperties>
</file>