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88" w:rsidRPr="007D29EE" w:rsidRDefault="00296288" w:rsidP="00296288">
      <w:pPr>
        <w:jc w:val="center"/>
        <w:rPr>
          <w:b/>
        </w:rPr>
      </w:pPr>
      <w:r w:rsidRPr="007D29EE">
        <w:rPr>
          <w:b/>
        </w:rPr>
        <w:t>BEFORE THE</w:t>
      </w:r>
    </w:p>
    <w:p w:rsidR="00296288" w:rsidRPr="007D29EE" w:rsidRDefault="00296288" w:rsidP="00296288">
      <w:pPr>
        <w:tabs>
          <w:tab w:val="center" w:pos="4680"/>
        </w:tabs>
        <w:suppressAutoHyphens/>
        <w:jc w:val="center"/>
        <w:rPr>
          <w:b/>
          <w:bCs/>
          <w:spacing w:val="-3"/>
        </w:rPr>
      </w:pPr>
      <w:r w:rsidRPr="007D29EE">
        <w:rPr>
          <w:b/>
          <w:bCs/>
          <w:spacing w:val="-3"/>
        </w:rPr>
        <w:t>PENNSYLVANIA PUBLIC UTILITY COMMISSION</w:t>
      </w:r>
    </w:p>
    <w:p w:rsidR="00296288" w:rsidRPr="007D29EE" w:rsidRDefault="00296288" w:rsidP="00296288">
      <w:pPr>
        <w:tabs>
          <w:tab w:val="left" w:pos="-720"/>
        </w:tabs>
        <w:suppressAutoHyphens/>
        <w:ind w:firstLine="1440"/>
        <w:rPr>
          <w:spacing w:val="-3"/>
        </w:rPr>
      </w:pPr>
    </w:p>
    <w:p w:rsidR="00296288" w:rsidRPr="007D29EE" w:rsidRDefault="00296288" w:rsidP="00296288">
      <w:pPr>
        <w:tabs>
          <w:tab w:val="left" w:pos="-720"/>
        </w:tabs>
        <w:suppressAutoHyphens/>
        <w:ind w:firstLine="1440"/>
        <w:rPr>
          <w:spacing w:val="-3"/>
        </w:rPr>
      </w:pPr>
    </w:p>
    <w:p w:rsidR="00296288" w:rsidRPr="007D29EE" w:rsidRDefault="00296288" w:rsidP="00296288">
      <w:pPr>
        <w:tabs>
          <w:tab w:val="left" w:pos="-720"/>
        </w:tabs>
        <w:suppressAutoHyphens/>
        <w:ind w:firstLine="1440"/>
        <w:rPr>
          <w:spacing w:val="-3"/>
        </w:rPr>
      </w:pPr>
    </w:p>
    <w:p w:rsidR="00296288" w:rsidRPr="007D29EE" w:rsidRDefault="00296288" w:rsidP="00296288">
      <w:r w:rsidRPr="007D29EE">
        <w:rPr>
          <w:spacing w:val="-3"/>
        </w:rPr>
        <w:t xml:space="preserve">Pennsylvania Public Utility </w:t>
      </w:r>
      <w:proofErr w:type="gramStart"/>
      <w:r w:rsidRPr="007D29EE">
        <w:rPr>
          <w:spacing w:val="-3"/>
        </w:rPr>
        <w:t>Commission,</w:t>
      </w:r>
      <w:r w:rsidRPr="007D29EE">
        <w:tab/>
      </w:r>
      <w:r w:rsidRPr="007D29EE">
        <w:tab/>
        <w:t>:</w:t>
      </w:r>
      <w:proofErr w:type="gramEnd"/>
      <w:r w:rsidRPr="007D29EE">
        <w:tab/>
      </w:r>
      <w:r w:rsidRPr="007D29EE">
        <w:tab/>
      </w:r>
    </w:p>
    <w:p w:rsidR="00296288" w:rsidRPr="007D29EE" w:rsidRDefault="00296288" w:rsidP="00296288">
      <w:r w:rsidRPr="007D29EE">
        <w:t>Bureau of Transportation and Safety</w:t>
      </w:r>
      <w:r w:rsidRPr="007D29EE">
        <w:tab/>
      </w:r>
      <w:r w:rsidRPr="007D29EE">
        <w:tab/>
      </w:r>
      <w:r w:rsidRPr="007D29EE">
        <w:tab/>
        <w:t>:</w:t>
      </w:r>
      <w:r w:rsidRPr="007D29EE">
        <w:tab/>
      </w:r>
      <w:r w:rsidRPr="007D29EE">
        <w:tab/>
      </w:r>
    </w:p>
    <w:p w:rsidR="00296288" w:rsidRPr="007D29EE" w:rsidRDefault="00296288" w:rsidP="00296288">
      <w:r w:rsidRPr="007D29EE">
        <w:tab/>
      </w:r>
      <w:r w:rsidRPr="007D29EE">
        <w:tab/>
      </w:r>
      <w:r w:rsidRPr="007D29EE">
        <w:tab/>
      </w:r>
      <w:r w:rsidRPr="007D29EE">
        <w:tab/>
      </w:r>
      <w:r w:rsidRPr="007D29EE">
        <w:tab/>
      </w:r>
      <w:r w:rsidRPr="007D29EE">
        <w:tab/>
      </w:r>
      <w:r w:rsidRPr="007D29EE">
        <w:tab/>
        <w:t>:</w:t>
      </w:r>
      <w:r w:rsidRPr="007D29EE">
        <w:tab/>
      </w:r>
      <w:r w:rsidRPr="007D29EE">
        <w:tab/>
      </w:r>
    </w:p>
    <w:p w:rsidR="00296288" w:rsidRPr="007D29EE" w:rsidRDefault="00296288" w:rsidP="00296288">
      <w:r w:rsidRPr="007D29EE">
        <w:tab/>
        <w:t>v.</w:t>
      </w:r>
      <w:r w:rsidRPr="007D29EE">
        <w:tab/>
      </w:r>
      <w:r w:rsidRPr="007D29EE">
        <w:tab/>
      </w:r>
      <w:r w:rsidRPr="007D29EE">
        <w:tab/>
      </w:r>
      <w:r w:rsidRPr="007D29EE">
        <w:tab/>
      </w:r>
      <w:r w:rsidRPr="007D29EE">
        <w:tab/>
      </w:r>
      <w:r w:rsidRPr="007D29EE">
        <w:tab/>
        <w:t>:</w:t>
      </w:r>
      <w:r w:rsidRPr="007D29EE">
        <w:tab/>
      </w:r>
      <w:r w:rsidRPr="007D29EE">
        <w:tab/>
      </w:r>
      <w:r>
        <w:tab/>
      </w:r>
      <w:r w:rsidRPr="007D29EE">
        <w:t>C-2009-2070216</w:t>
      </w:r>
      <w:r w:rsidRPr="007D29EE">
        <w:tab/>
      </w:r>
    </w:p>
    <w:p w:rsidR="00296288" w:rsidRPr="007D29EE" w:rsidRDefault="00296288" w:rsidP="00296288">
      <w:r w:rsidRPr="007D29EE">
        <w:tab/>
      </w:r>
      <w:r w:rsidRPr="007D29EE">
        <w:tab/>
      </w:r>
      <w:r w:rsidRPr="007D29EE">
        <w:tab/>
      </w:r>
      <w:r w:rsidRPr="007D29EE">
        <w:tab/>
      </w:r>
      <w:r w:rsidRPr="007D29EE">
        <w:tab/>
      </w:r>
      <w:r w:rsidRPr="007D29EE">
        <w:tab/>
      </w:r>
      <w:r w:rsidRPr="007D29EE">
        <w:tab/>
        <w:t>:</w:t>
      </w:r>
    </w:p>
    <w:p w:rsidR="00296288" w:rsidRPr="007D29EE" w:rsidRDefault="00296288" w:rsidP="00296288">
      <w:r w:rsidRPr="007D29EE">
        <w:t xml:space="preserve">Robert </w:t>
      </w:r>
      <w:proofErr w:type="spellStart"/>
      <w:r w:rsidRPr="007D29EE">
        <w:t>Levan</w:t>
      </w:r>
      <w:proofErr w:type="spellEnd"/>
      <w:r w:rsidRPr="007D29EE">
        <w:t xml:space="preserve"> t/a </w:t>
      </w:r>
      <w:proofErr w:type="spellStart"/>
      <w:r w:rsidRPr="007D29EE">
        <w:t>Nite</w:t>
      </w:r>
      <w:proofErr w:type="spellEnd"/>
      <w:r w:rsidRPr="007D29EE">
        <w:t xml:space="preserve"> Moves</w:t>
      </w:r>
      <w:r w:rsidRPr="007D29EE">
        <w:tab/>
      </w:r>
      <w:r w:rsidRPr="007D29EE">
        <w:tab/>
      </w:r>
      <w:r w:rsidRPr="007D29EE">
        <w:tab/>
      </w:r>
      <w:r w:rsidRPr="007D29EE">
        <w:tab/>
        <w:t>:</w:t>
      </w:r>
      <w:r w:rsidRPr="007D29EE">
        <w:tab/>
      </w:r>
      <w:r w:rsidRPr="007D29EE">
        <w:tab/>
        <w:t xml:space="preserve"> </w:t>
      </w:r>
    </w:p>
    <w:p w:rsidR="00296288" w:rsidRPr="007D29EE" w:rsidRDefault="00296288" w:rsidP="00296288"/>
    <w:p w:rsidR="00296288" w:rsidRPr="007D29EE" w:rsidRDefault="00296288" w:rsidP="00296288">
      <w:bookmarkStart w:id="0" w:name="_GoBack"/>
      <w:bookmarkEnd w:id="0"/>
    </w:p>
    <w:p w:rsidR="00296288" w:rsidRPr="007D29EE" w:rsidRDefault="00296288" w:rsidP="00296288">
      <w:pPr>
        <w:tabs>
          <w:tab w:val="center" w:pos="4680"/>
        </w:tabs>
        <w:suppressAutoHyphens/>
        <w:jc w:val="center"/>
        <w:rPr>
          <w:b/>
          <w:bCs/>
          <w:spacing w:val="-3"/>
          <w:u w:val="single"/>
        </w:rPr>
      </w:pPr>
      <w:r w:rsidRPr="0092771D">
        <w:rPr>
          <w:b/>
          <w:spacing w:val="-3"/>
          <w:u w:val="single"/>
        </w:rPr>
        <w:t>INITIAL</w:t>
      </w:r>
      <w:r w:rsidRPr="0092771D">
        <w:rPr>
          <w:b/>
          <w:bCs/>
          <w:spacing w:val="-3"/>
          <w:u w:val="single"/>
        </w:rPr>
        <w:t xml:space="preserve"> </w:t>
      </w:r>
      <w:r w:rsidRPr="007D29EE">
        <w:rPr>
          <w:b/>
          <w:bCs/>
          <w:spacing w:val="-3"/>
          <w:u w:val="single"/>
        </w:rPr>
        <w:t>DECISION</w:t>
      </w:r>
    </w:p>
    <w:p w:rsidR="00296288" w:rsidRPr="007D29EE" w:rsidRDefault="00296288" w:rsidP="00296288">
      <w:pPr>
        <w:tabs>
          <w:tab w:val="center" w:pos="4680"/>
        </w:tabs>
        <w:suppressAutoHyphens/>
        <w:jc w:val="center"/>
        <w:rPr>
          <w:b/>
          <w:bCs/>
          <w:spacing w:val="-3"/>
          <w:u w:val="single"/>
        </w:rPr>
      </w:pPr>
    </w:p>
    <w:p w:rsidR="00296288" w:rsidRPr="007D29EE" w:rsidRDefault="00296288" w:rsidP="00296288">
      <w:pPr>
        <w:tabs>
          <w:tab w:val="center" w:pos="4680"/>
        </w:tabs>
        <w:suppressAutoHyphens/>
        <w:jc w:val="center"/>
        <w:rPr>
          <w:b/>
          <w:bCs/>
          <w:spacing w:val="-3"/>
          <w:u w:val="single"/>
        </w:rPr>
      </w:pPr>
    </w:p>
    <w:p w:rsidR="00296288" w:rsidRPr="007D29EE" w:rsidRDefault="00296288" w:rsidP="00296288">
      <w:pPr>
        <w:tabs>
          <w:tab w:val="center" w:pos="4680"/>
        </w:tabs>
        <w:suppressAutoHyphens/>
        <w:jc w:val="center"/>
        <w:rPr>
          <w:bCs/>
          <w:spacing w:val="-3"/>
        </w:rPr>
      </w:pPr>
      <w:r w:rsidRPr="007D29EE">
        <w:rPr>
          <w:bCs/>
          <w:spacing w:val="-3"/>
        </w:rPr>
        <w:t>Before</w:t>
      </w:r>
    </w:p>
    <w:p w:rsidR="00296288" w:rsidRPr="007D29EE" w:rsidRDefault="00296288" w:rsidP="00296288">
      <w:pPr>
        <w:tabs>
          <w:tab w:val="center" w:pos="4680"/>
        </w:tabs>
        <w:suppressAutoHyphens/>
        <w:jc w:val="center"/>
        <w:rPr>
          <w:bCs/>
          <w:spacing w:val="-3"/>
        </w:rPr>
      </w:pPr>
      <w:r w:rsidRPr="007D29EE">
        <w:rPr>
          <w:bCs/>
          <w:spacing w:val="-3"/>
        </w:rPr>
        <w:t>Dennis J. Buckley</w:t>
      </w:r>
    </w:p>
    <w:p w:rsidR="00296288" w:rsidRPr="007D29EE" w:rsidRDefault="00296288" w:rsidP="00296288">
      <w:pPr>
        <w:tabs>
          <w:tab w:val="center" w:pos="4680"/>
        </w:tabs>
        <w:suppressAutoHyphens/>
        <w:jc w:val="center"/>
        <w:rPr>
          <w:bCs/>
          <w:spacing w:val="-3"/>
        </w:rPr>
      </w:pPr>
      <w:r w:rsidRPr="007D29EE">
        <w:rPr>
          <w:bCs/>
          <w:spacing w:val="-3"/>
        </w:rPr>
        <w:t>Administrative Law Judge</w:t>
      </w:r>
    </w:p>
    <w:p w:rsidR="00296288" w:rsidRPr="007D29EE" w:rsidRDefault="00296288" w:rsidP="00296288">
      <w:pPr>
        <w:pStyle w:val="ParaTab1"/>
        <w:tabs>
          <w:tab w:val="left" w:pos="2070"/>
        </w:tabs>
        <w:ind w:firstLine="0"/>
        <w:rPr>
          <w:rFonts w:ascii="Times New Roman" w:hAnsi="Times New Roman" w:cs="Times New Roman"/>
        </w:rPr>
      </w:pPr>
    </w:p>
    <w:p w:rsidR="00296288" w:rsidRPr="007D29EE" w:rsidRDefault="00296288" w:rsidP="00296288">
      <w:pPr>
        <w:pStyle w:val="ParaTab1"/>
        <w:tabs>
          <w:tab w:val="left" w:pos="2070"/>
        </w:tabs>
        <w:ind w:firstLine="0"/>
        <w:rPr>
          <w:rFonts w:ascii="Times New Roman" w:hAnsi="Times New Roman" w:cs="Times New Roman"/>
        </w:rPr>
      </w:pPr>
    </w:p>
    <w:p w:rsidR="00296288" w:rsidRPr="007D29EE" w:rsidRDefault="00296288" w:rsidP="00296288">
      <w:pPr>
        <w:pStyle w:val="ParaTab1"/>
        <w:tabs>
          <w:tab w:val="left" w:pos="1440"/>
          <w:tab w:val="left" w:pos="2070"/>
        </w:tabs>
        <w:spacing w:line="360" w:lineRule="auto"/>
        <w:rPr>
          <w:rFonts w:ascii="Times New Roman" w:hAnsi="Times New Roman" w:cs="Times New Roman"/>
        </w:rPr>
      </w:pPr>
      <w:r w:rsidRPr="007D29EE">
        <w:rPr>
          <w:rFonts w:ascii="Times New Roman" w:hAnsi="Times New Roman" w:cs="Times New Roman"/>
        </w:rPr>
        <w:t>This Decision approve</w:t>
      </w:r>
      <w:r>
        <w:rPr>
          <w:rFonts w:ascii="Times New Roman" w:hAnsi="Times New Roman" w:cs="Times New Roman"/>
        </w:rPr>
        <w:t>s</w:t>
      </w:r>
      <w:r w:rsidRPr="007D29EE">
        <w:rPr>
          <w:rFonts w:ascii="Times New Roman" w:hAnsi="Times New Roman" w:cs="Times New Roman"/>
        </w:rPr>
        <w:t xml:space="preserve">, </w:t>
      </w:r>
      <w:r>
        <w:rPr>
          <w:rFonts w:ascii="Times New Roman" w:hAnsi="Times New Roman" w:cs="Times New Roman"/>
        </w:rPr>
        <w:t xml:space="preserve">but </w:t>
      </w:r>
      <w:r w:rsidRPr="007D29EE">
        <w:rPr>
          <w:rFonts w:ascii="Times New Roman" w:hAnsi="Times New Roman" w:cs="Times New Roman"/>
        </w:rPr>
        <w:t xml:space="preserve">with modification, the joint Settlement Agreement between the Commission’s Bureau of Transportation and Safety (BTS) and Robert </w:t>
      </w:r>
      <w:proofErr w:type="spellStart"/>
      <w:r w:rsidRPr="007D29EE">
        <w:rPr>
          <w:rFonts w:ascii="Times New Roman" w:hAnsi="Times New Roman" w:cs="Times New Roman"/>
        </w:rPr>
        <w:t>Levan</w:t>
      </w:r>
      <w:proofErr w:type="spellEnd"/>
      <w:r w:rsidRPr="007D29EE">
        <w:rPr>
          <w:rFonts w:ascii="Times New Roman" w:hAnsi="Times New Roman" w:cs="Times New Roman"/>
        </w:rPr>
        <w:t xml:space="preserve"> t/a </w:t>
      </w:r>
      <w:proofErr w:type="spellStart"/>
      <w:r w:rsidRPr="007D29EE">
        <w:rPr>
          <w:rFonts w:ascii="Times New Roman" w:hAnsi="Times New Roman" w:cs="Times New Roman"/>
        </w:rPr>
        <w:t>Nite</w:t>
      </w:r>
      <w:proofErr w:type="spellEnd"/>
      <w:r w:rsidRPr="007D29EE">
        <w:rPr>
          <w:rFonts w:ascii="Times New Roman" w:hAnsi="Times New Roman" w:cs="Times New Roman"/>
        </w:rPr>
        <w:t xml:space="preserve"> Moves (Respondent) that resolves a Complaint which was filed in this case on February 28, 2009, by the BTS.   That Complaint alleged a violation of the Pennsylvania Public Utility Code (Code) at 66 Pa. C.S. § 1101 by Respondent in that Respondent was accused of holding himself out to transport household goods in use between points in the Commonwealth of Pennsylvania.  In the proposed Settlement, the Respondent admits the violation and agrees to pay a civil penalty of $500.  For reasons to be explained, below, the proposed joint Settlement Agreement </w:t>
      </w:r>
      <w:r>
        <w:rPr>
          <w:rFonts w:ascii="Times New Roman" w:hAnsi="Times New Roman" w:cs="Times New Roman"/>
        </w:rPr>
        <w:t>is</w:t>
      </w:r>
      <w:r w:rsidRPr="007D29EE">
        <w:rPr>
          <w:rFonts w:ascii="Times New Roman" w:hAnsi="Times New Roman" w:cs="Times New Roman"/>
        </w:rPr>
        <w:t xml:space="preserve"> modified to increase the civil penalty to $5,000, and in the event that the modification is not accepted by the parties, this matter </w:t>
      </w:r>
      <w:r>
        <w:rPr>
          <w:rFonts w:ascii="Times New Roman" w:hAnsi="Times New Roman" w:cs="Times New Roman"/>
        </w:rPr>
        <w:t xml:space="preserve">is to </w:t>
      </w:r>
      <w:r w:rsidRPr="007D29EE">
        <w:rPr>
          <w:rFonts w:ascii="Times New Roman" w:hAnsi="Times New Roman" w:cs="Times New Roman"/>
        </w:rPr>
        <w:t>be set for hearing.</w:t>
      </w:r>
    </w:p>
    <w:p w:rsidR="00296288" w:rsidRPr="007D29EE" w:rsidRDefault="00296288" w:rsidP="00296288">
      <w:pPr>
        <w:pStyle w:val="ParaTab1"/>
        <w:tabs>
          <w:tab w:val="left" w:pos="2070"/>
        </w:tabs>
        <w:spacing w:line="360" w:lineRule="auto"/>
        <w:ind w:firstLine="0"/>
        <w:rPr>
          <w:rFonts w:ascii="Times New Roman" w:hAnsi="Times New Roman" w:cs="Times New Roman"/>
        </w:rPr>
      </w:pPr>
    </w:p>
    <w:p w:rsidR="00296288" w:rsidRPr="007D29EE" w:rsidRDefault="00296288" w:rsidP="00296288">
      <w:pPr>
        <w:spacing w:line="360" w:lineRule="auto"/>
        <w:jc w:val="center"/>
        <w:rPr>
          <w:u w:val="single"/>
        </w:rPr>
      </w:pPr>
      <w:r w:rsidRPr="007D29EE">
        <w:t>I.</w:t>
      </w:r>
      <w:r w:rsidRPr="007D29EE">
        <w:tab/>
      </w:r>
      <w:r w:rsidRPr="007D29EE">
        <w:rPr>
          <w:u w:val="single"/>
        </w:rPr>
        <w:t>HISTORY OF THE PROCEEDING</w:t>
      </w:r>
    </w:p>
    <w:p w:rsidR="00296288" w:rsidRPr="007D29EE" w:rsidRDefault="00296288" w:rsidP="00296288">
      <w:pPr>
        <w:spacing w:line="360" w:lineRule="auto"/>
        <w:jc w:val="center"/>
        <w:rPr>
          <w:u w:val="single"/>
        </w:rPr>
      </w:pPr>
    </w:p>
    <w:p w:rsidR="00296288" w:rsidRPr="007D29EE" w:rsidRDefault="00296288" w:rsidP="00296288">
      <w:pPr>
        <w:spacing w:line="360" w:lineRule="auto"/>
      </w:pPr>
      <w:r w:rsidRPr="007D29EE">
        <w:tab/>
      </w:r>
      <w:r w:rsidRPr="007D29EE">
        <w:tab/>
        <w:t xml:space="preserve">On February 28, 2009, the BTS issued a Complaint which alleged that Respondent held himself out to transport household goods in use between points in the Commonwealth of Pennsylvania which constitutes a violation of the Code in that the Respondent offered to render, furnish or supply public utility service within this Commonwealth without first </w:t>
      </w:r>
      <w:r w:rsidRPr="007D29EE">
        <w:lastRenderedPageBreak/>
        <w:t>obtaining a certificate of public convenience and necessity.  The BTS Complaint requested that the Commission impose a $1,000 civil penalty on Respondent.</w:t>
      </w: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On March 6, 2009, the BTS Complaint was served on Respondent by the Secretary of the Commission.</w:t>
      </w: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On March 24, 2009, Respondent, represented by counsel, filed a timely Answer to the Complaint.</w:t>
      </w:r>
      <w:r w:rsidRPr="007D29EE">
        <w:rPr>
          <w:rStyle w:val="FootnoteReference"/>
        </w:rPr>
        <w:footnoteReference w:id="1"/>
      </w:r>
      <w:r w:rsidRPr="007D29EE">
        <w:t xml:space="preserve">  In his Answer, Respondent denied that he held himself out to transport household goods for compensation.  Respondent averred that he agreed to provide a pack and load service wherein Respondent would provide a dolly and packing materials, and arrange for the services of two other persons who would load the shipper’s property into the shipper’s vehicle.  Respondent stated that he picked up a Budget rental truck for the customer because it was inconvenient for the customer to retrieve the truck on his own.  Respondent admitted that he drove the Budget rental truck to the customer’s residence, observed BTS enforcement officers and then returned the vehicle to avoid the appearance of impropriety.  Respondent also stated that he received no compensation from the shipper.</w:t>
      </w: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 xml:space="preserve">On November 10, 2010, Stephanie M. </w:t>
      </w:r>
      <w:proofErr w:type="spellStart"/>
      <w:r w:rsidRPr="007D29EE">
        <w:t>Wimer</w:t>
      </w:r>
      <w:proofErr w:type="spellEnd"/>
      <w:r w:rsidRPr="007D29EE">
        <w:t>, Assistant Counsel with the Commission’s Law Bureau, entered an appearance in this matter on behalf of the BTS.</w:t>
      </w:r>
      <w:r w:rsidRPr="007D29EE">
        <w:rPr>
          <w:rStyle w:val="FootnoteReference"/>
        </w:rPr>
        <w:footnoteReference w:id="2"/>
      </w: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On August 25, 2011, the undersigned was assigned as Presiding Officer in this case, and a Notice of Hearing was issued setting September 15, 2011, as the day for a hearing in this matter.</w:t>
      </w: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 xml:space="preserve">A series of negotiations took place between the parties, and on August 31, 2011, a Settlement Agreement and a letter/petition asking that the Joint Settlement Agreement be approved was filed with the Secretary of the Commission.  </w:t>
      </w:r>
    </w:p>
    <w:p w:rsidR="00296288" w:rsidRPr="007D29EE" w:rsidRDefault="00296288" w:rsidP="00296288">
      <w:pPr>
        <w:tabs>
          <w:tab w:val="left" w:pos="0"/>
        </w:tabs>
        <w:spacing w:line="360" w:lineRule="auto"/>
        <w:jc w:val="center"/>
      </w:pPr>
      <w:r w:rsidRPr="007D29EE">
        <w:lastRenderedPageBreak/>
        <w:t>II.</w:t>
      </w:r>
      <w:r w:rsidRPr="007D29EE">
        <w:tab/>
      </w:r>
      <w:r w:rsidRPr="007D29EE">
        <w:rPr>
          <w:u w:val="single"/>
        </w:rPr>
        <w:t>DISCUSSION</w:t>
      </w:r>
    </w:p>
    <w:p w:rsidR="00296288" w:rsidRPr="007D29EE" w:rsidRDefault="00296288" w:rsidP="00296288">
      <w:pPr>
        <w:spacing w:line="360" w:lineRule="auto"/>
      </w:pPr>
    </w:p>
    <w:p w:rsidR="00296288" w:rsidRPr="007D29EE" w:rsidRDefault="00296288" w:rsidP="00296288">
      <w:pPr>
        <w:pStyle w:val="TxBrp3"/>
        <w:widowControl/>
        <w:tabs>
          <w:tab w:val="clear" w:pos="1474"/>
        </w:tabs>
        <w:spacing w:line="360" w:lineRule="auto"/>
        <w:ind w:firstLine="1440"/>
      </w:pPr>
      <w:r w:rsidRPr="007D29EE">
        <w:t xml:space="preserve">Commission policy promotes settlements.  </w:t>
      </w:r>
      <w:proofErr w:type="gramStart"/>
      <w:r w:rsidRPr="007D29EE">
        <w:t>52 Pa. Code §5.231.</w:t>
      </w:r>
      <w:proofErr w:type="gramEnd"/>
      <w:r w:rsidRPr="007D29EE">
        <w:t xml:space="preserve">  Settlements reduce the time and expense the parties must expend litigating a case and at the same time conserve administrative hearing resources.  The Commission has indicated that settlement results are often preferable to those achieved at the conclusion of a fully litigated proceeding.  </w:t>
      </w:r>
      <w:proofErr w:type="gramStart"/>
      <w:r w:rsidRPr="007D29EE">
        <w:t>52 Pa. Code §69.401.</w:t>
      </w:r>
      <w:proofErr w:type="gramEnd"/>
      <w:r w:rsidRPr="007D29EE">
        <w:t xml:space="preserve">  Many proceedings are expensive to litigate, and the cost of such litigation at a reasonable level is an operating expense recovered in the rates approved by the Commission.  This means that a settlement, which allows the parties in a case such as this to avoid the substantial costs of the preparation and service of briefs, reply briefs, exceptions and reply exceptions, together with the briefs and reply briefs necessitated by any appeal of the Commission’s decision, yields significant expense savings for all parties and the utility’s customers.  That is one reason why settlements are encouraged by long-standing Commission policy.</w:t>
      </w:r>
    </w:p>
    <w:p w:rsidR="00296288" w:rsidRPr="007D29EE" w:rsidRDefault="00296288" w:rsidP="00296288">
      <w:pPr>
        <w:spacing w:line="360" w:lineRule="auto"/>
        <w:ind w:firstLine="1440"/>
      </w:pPr>
    </w:p>
    <w:p w:rsidR="00296288" w:rsidRPr="007D29EE" w:rsidRDefault="00296288" w:rsidP="00296288">
      <w:pPr>
        <w:spacing w:line="360" w:lineRule="auto"/>
      </w:pPr>
      <w:r w:rsidRPr="007D29EE">
        <w:tab/>
      </w:r>
      <w:r w:rsidRPr="007D29EE">
        <w:tab/>
        <w:t>However, in order to accept a settlement, the Commission must determine that the proposed terms and conditions are in the public interest and whether the Settlement Agreement is consistent with the Commission’s Policy Statement</w:t>
      </w:r>
      <w:r w:rsidRPr="007D29EE">
        <w:rPr>
          <w:i/>
        </w:rPr>
        <w:t xml:space="preserve"> </w:t>
      </w:r>
      <w:r w:rsidRPr="007D29EE">
        <w:t xml:space="preserve">regarding factors and standards for evaluating litigated and settled proceedings.  </w:t>
      </w:r>
      <w:r w:rsidRPr="007D29EE">
        <w:rPr>
          <w:i/>
        </w:rPr>
        <w:t xml:space="preserve">Pa. Pub. </w:t>
      </w:r>
      <w:proofErr w:type="gramStart"/>
      <w:r w:rsidRPr="007D29EE">
        <w:rPr>
          <w:i/>
        </w:rPr>
        <w:t xml:space="preserve">Util. </w:t>
      </w:r>
      <w:proofErr w:type="spellStart"/>
      <w:r w:rsidRPr="007D29EE">
        <w:rPr>
          <w:i/>
        </w:rPr>
        <w:t>Comm’n</w:t>
      </w:r>
      <w:proofErr w:type="spellEnd"/>
      <w:r w:rsidRPr="007D29EE">
        <w:rPr>
          <w:i/>
        </w:rPr>
        <w:t xml:space="preserve"> v. C S Water and Sewer Assoc.</w:t>
      </w:r>
      <w:r w:rsidRPr="007D29EE">
        <w:t xml:space="preserve">, 74 Pa. PUC 767 (1991); </w:t>
      </w:r>
      <w:r w:rsidRPr="007D29EE">
        <w:rPr>
          <w:i/>
        </w:rPr>
        <w:t>Pa. Pub.</w:t>
      </w:r>
      <w:proofErr w:type="gramEnd"/>
      <w:r w:rsidRPr="007D29EE">
        <w:rPr>
          <w:i/>
        </w:rPr>
        <w:t xml:space="preserve"> Util. </w:t>
      </w:r>
      <w:proofErr w:type="spellStart"/>
      <w:r w:rsidRPr="007D29EE">
        <w:rPr>
          <w:i/>
        </w:rPr>
        <w:t>Comm’n</w:t>
      </w:r>
      <w:proofErr w:type="spellEnd"/>
      <w:r w:rsidRPr="007D29EE">
        <w:rPr>
          <w:i/>
        </w:rPr>
        <w:t xml:space="preserve"> v. Philadelphia Electric Co.</w:t>
      </w:r>
      <w:r w:rsidRPr="007D29EE">
        <w:t xml:space="preserve">, 60 Pa. </w:t>
      </w:r>
      <w:r>
        <w:t>PUC </w:t>
      </w:r>
      <w:r w:rsidRPr="007D29EE">
        <w:t>1 (1985); 52 Pa. Code § 69.1201</w:t>
      </w: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 xml:space="preserve">Applying the foregoing principles, and for reasons which will be set forth more fully, below, the Settlement Agreement should not be approved by the Commission but should be modified to increase the civil penalty to $5,000.  </w:t>
      </w:r>
    </w:p>
    <w:p w:rsidR="00296288" w:rsidRPr="007D29EE" w:rsidRDefault="00296288" w:rsidP="00296288">
      <w:r w:rsidRPr="007D29EE">
        <w:br w:type="page"/>
      </w:r>
    </w:p>
    <w:p w:rsidR="00296288" w:rsidRPr="007D29EE" w:rsidRDefault="00296288" w:rsidP="00296288">
      <w:pPr>
        <w:spacing w:line="360" w:lineRule="auto"/>
      </w:pPr>
      <w:r w:rsidRPr="007D29EE">
        <w:lastRenderedPageBreak/>
        <w:t>A.</w:t>
      </w:r>
      <w:r w:rsidRPr="007D29EE">
        <w:tab/>
      </w:r>
      <w:r w:rsidRPr="007D29EE">
        <w:rPr>
          <w:u w:val="single"/>
        </w:rPr>
        <w:t>SETTLEMENT TERMS</w:t>
      </w: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The specific terms of the Settlement Agreement begin at numbered paragraph 8 of the joint Settlement Agreement.  The substantive terms of the Settlement are set forth, below:</w:t>
      </w:r>
    </w:p>
    <w:p w:rsidR="00296288" w:rsidRPr="007D29EE" w:rsidRDefault="00296288" w:rsidP="00296288">
      <w:pPr>
        <w:spacing w:line="360" w:lineRule="auto"/>
      </w:pPr>
    </w:p>
    <w:p w:rsidR="00296288" w:rsidRPr="007D29EE" w:rsidRDefault="00296288" w:rsidP="00296288">
      <w:pPr>
        <w:pStyle w:val="Pleading2L1"/>
        <w:numPr>
          <w:ilvl w:val="0"/>
          <w:numId w:val="1"/>
        </w:numPr>
        <w:spacing w:after="0"/>
        <w:ind w:left="0"/>
        <w:rPr>
          <w:b w:val="0"/>
          <w:szCs w:val="24"/>
        </w:rPr>
      </w:pPr>
      <w:r w:rsidRPr="007D29EE">
        <w:rPr>
          <w:b w:val="0"/>
          <w:szCs w:val="24"/>
          <w:u w:val="none"/>
        </w:rPr>
        <w:tab/>
      </w:r>
      <w:r w:rsidRPr="007D29EE">
        <w:rPr>
          <w:b w:val="0"/>
          <w:szCs w:val="24"/>
        </w:rPr>
        <w:t>SETTLEMENT</w:t>
      </w:r>
    </w:p>
    <w:p w:rsidR="00296288" w:rsidRPr="007D29EE" w:rsidRDefault="00296288" w:rsidP="00296288">
      <w:pPr>
        <w:pStyle w:val="BodyText"/>
        <w:spacing w:after="0" w:line="360" w:lineRule="auto"/>
        <w:rPr>
          <w:szCs w:val="24"/>
        </w:rPr>
      </w:pPr>
    </w:p>
    <w:p w:rsidR="00296288" w:rsidRPr="007D29EE" w:rsidRDefault="00296288" w:rsidP="00296288">
      <w:r w:rsidRPr="007D29EE">
        <w:tab/>
        <w:t>The terms of the Settlement are as follows:</w:t>
      </w:r>
    </w:p>
    <w:p w:rsidR="00296288" w:rsidRPr="007D29EE" w:rsidRDefault="00296288" w:rsidP="00296288"/>
    <w:p w:rsidR="00296288" w:rsidRPr="007D29EE" w:rsidRDefault="00296288" w:rsidP="00296288">
      <w:pPr>
        <w:ind w:left="1440" w:right="1440"/>
      </w:pPr>
      <w:r w:rsidRPr="007D29EE">
        <w:t>8.</w:t>
      </w:r>
      <w:r w:rsidRPr="007D29EE">
        <w:tab/>
        <w:t>The Law Bureau, representing BTS, and Respondent, intending to be legally bound and for consideration given, desire to conclude this litigation and agree to stipulate as to the following terms:</w:t>
      </w:r>
    </w:p>
    <w:p w:rsidR="00296288" w:rsidRPr="007D29EE" w:rsidRDefault="00296288" w:rsidP="00296288">
      <w:pPr>
        <w:ind w:left="1440" w:right="1440"/>
      </w:pPr>
    </w:p>
    <w:p w:rsidR="00296288" w:rsidRPr="007D29EE" w:rsidRDefault="00296288" w:rsidP="00296288">
      <w:pPr>
        <w:ind w:left="1440" w:right="1440"/>
      </w:pPr>
      <w:r w:rsidRPr="007D29EE">
        <w:tab/>
        <w:t>A.</w:t>
      </w:r>
      <w:r w:rsidRPr="007D29EE">
        <w:tab/>
        <w:t>In recognition of the cost of further litigation, the time and expense of holding a hearing, and the merits of the parties’ respective positions, the parties have entered into negotiations and have agreed to settle the Complaint according to the terms and conditions set forth herein.</w:t>
      </w:r>
    </w:p>
    <w:p w:rsidR="00296288" w:rsidRPr="007D29EE" w:rsidRDefault="00296288" w:rsidP="00296288">
      <w:pPr>
        <w:ind w:left="1440" w:right="1440"/>
      </w:pPr>
    </w:p>
    <w:p w:rsidR="00296288" w:rsidRPr="007D29EE" w:rsidRDefault="00296288" w:rsidP="00296288">
      <w:pPr>
        <w:ind w:left="1440" w:right="1440"/>
      </w:pPr>
      <w:r w:rsidRPr="007D29EE">
        <w:tab/>
        <w:t>B.</w:t>
      </w:r>
      <w:r w:rsidRPr="007D29EE">
        <w:tab/>
        <w:t>Respondent agrees that he offered to transport household goods in use between points in the Commonwealth of Pennsylvania, for compensation.  Respondent, therefore, agrees to pay a civil penalty of five hundred dollars ($500.00) within twenty (20) days of entry of a final Commission Order in this matter.</w:t>
      </w:r>
    </w:p>
    <w:p w:rsidR="00296288" w:rsidRPr="007D29EE" w:rsidRDefault="00296288" w:rsidP="00296288">
      <w:pPr>
        <w:ind w:left="1440" w:right="1440"/>
      </w:pPr>
    </w:p>
    <w:p w:rsidR="00296288" w:rsidRPr="007D29EE" w:rsidRDefault="00296288" w:rsidP="00296288">
      <w:pPr>
        <w:ind w:left="1440" w:right="1440"/>
      </w:pPr>
      <w:r w:rsidRPr="007D29EE">
        <w:tab/>
        <w:t>C.</w:t>
      </w:r>
      <w:r w:rsidRPr="007D29EE">
        <w:tab/>
        <w:t xml:space="preserve">Respondent agrees that he will cease and desist from committing future violations of the Public Utility Code, and the Commission’s regulations and Orders.  Respondent is aware that further violations of holding himself out to provide unauthorized transportation of household goods in use for compensation may result in criminal proceedings.    </w:t>
      </w:r>
    </w:p>
    <w:p w:rsidR="00296288" w:rsidRPr="007D29EE" w:rsidRDefault="00296288" w:rsidP="00296288">
      <w:pPr>
        <w:spacing w:line="360" w:lineRule="auto"/>
      </w:pPr>
    </w:p>
    <w:p w:rsidR="00296288" w:rsidRPr="007D29EE" w:rsidRDefault="00296288" w:rsidP="00296288">
      <w:pPr>
        <w:rPr>
          <w:u w:val="single"/>
        </w:rPr>
      </w:pPr>
      <w:r w:rsidRPr="007D29EE">
        <w:t>B.</w:t>
      </w:r>
      <w:r w:rsidRPr="007D29EE">
        <w:tab/>
      </w:r>
      <w:r w:rsidRPr="007D29EE">
        <w:rPr>
          <w:u w:val="single"/>
        </w:rPr>
        <w:t>ANALYSIS</w:t>
      </w: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 xml:space="preserve">A detailed recitation of the facts in this case is unnecessary as the Respondent admitted to the allegation of </w:t>
      </w:r>
      <w:proofErr w:type="spellStart"/>
      <w:r w:rsidRPr="007D29EE">
        <w:t>uncertificated</w:t>
      </w:r>
      <w:proofErr w:type="spellEnd"/>
      <w:r w:rsidRPr="007D29EE">
        <w:t xml:space="preserve"> service set forth in the original BTS Complaint.  </w:t>
      </w:r>
    </w:p>
    <w:p w:rsidR="00296288" w:rsidRPr="007D29EE" w:rsidRDefault="00296288" w:rsidP="00296288">
      <w:pPr>
        <w:spacing w:line="360" w:lineRule="auto"/>
      </w:pPr>
    </w:p>
    <w:p w:rsidR="00296288" w:rsidRPr="007D29EE" w:rsidRDefault="00296288" w:rsidP="00296288">
      <w:pPr>
        <w:spacing w:line="360" w:lineRule="auto"/>
      </w:pPr>
      <w:r w:rsidRPr="007D29EE">
        <w:lastRenderedPageBreak/>
        <w:tab/>
      </w:r>
      <w:r w:rsidRPr="007D29EE">
        <w:tab/>
        <w:t>The Parties assert that approval of the Settlement Agreement is consistent with the Commission’s Policy Statement</w:t>
      </w:r>
      <w:r w:rsidRPr="007D29EE">
        <w:rPr>
          <w:i/>
        </w:rPr>
        <w:t xml:space="preserve"> </w:t>
      </w:r>
      <w:r w:rsidRPr="007D29EE">
        <w:t>regarding factors and standards for evaluating litigated and settled proceedings at 52 Pa. Code § 69.1201.</w:t>
      </w:r>
      <w:r w:rsidRPr="007D29EE">
        <w:rPr>
          <w:vertAlign w:val="superscript"/>
        </w:rPr>
        <w:t xml:space="preserve"> </w:t>
      </w:r>
      <w:r w:rsidRPr="007D29EE">
        <w:t xml:space="preserve"> That regulation states:</w:t>
      </w:r>
    </w:p>
    <w:p w:rsidR="00296288" w:rsidRPr="007D29EE" w:rsidRDefault="00296288" w:rsidP="00296288">
      <w:pPr>
        <w:spacing w:line="360" w:lineRule="auto"/>
      </w:pPr>
    </w:p>
    <w:p w:rsidR="00296288" w:rsidRPr="007D29EE" w:rsidRDefault="00296288" w:rsidP="00296288">
      <w:pPr>
        <w:ind w:left="1440" w:right="1440"/>
        <w:rPr>
          <w:b/>
          <w:bCs/>
        </w:rPr>
      </w:pPr>
      <w:bookmarkStart w:id="1" w:name="69.1201."/>
      <w:r w:rsidRPr="007D29EE">
        <w:rPr>
          <w:b/>
          <w:bCs/>
        </w:rPr>
        <w:t>§ 69.1201. Factors and standards for evaluating litigated and settled proceedings involving violations of the Public Utility Code and Commission regulations—statement of policy.</w:t>
      </w:r>
    </w:p>
    <w:p w:rsidR="00296288" w:rsidRPr="007D29EE" w:rsidRDefault="00296288" w:rsidP="00296288">
      <w:pPr>
        <w:ind w:left="1440" w:right="1440"/>
      </w:pPr>
    </w:p>
    <w:p w:rsidR="00296288" w:rsidRPr="007D29EE" w:rsidRDefault="00296288" w:rsidP="00296288">
      <w:pPr>
        <w:ind w:left="1440" w:right="1440"/>
      </w:pPr>
      <w:r w:rsidRPr="007D29EE">
        <w:t xml:space="preserve"> (a)  The Commission will consider specific factors and standards in evaluating litigated and settled cases involving violations of 66 </w:t>
      </w:r>
      <w:proofErr w:type="spellStart"/>
      <w:r w:rsidRPr="007D29EE">
        <w:t>Pa.C.S</w:t>
      </w:r>
      <w:proofErr w:type="spellEnd"/>
      <w:r w:rsidRPr="007D29EE">
        <w:t>. (</w:t>
      </w:r>
      <w:proofErr w:type="gramStart"/>
      <w:r w:rsidRPr="007D29EE">
        <w:t>relating</w:t>
      </w:r>
      <w:proofErr w:type="gramEnd"/>
      <w:r w:rsidRPr="007D29EE">
        <w:t xml:space="preserve"> to Public Utility Code) and this title. 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 </w:t>
      </w:r>
    </w:p>
    <w:p w:rsidR="00296288" w:rsidRPr="007D29EE" w:rsidRDefault="00296288" w:rsidP="00296288">
      <w:pPr>
        <w:ind w:left="1440" w:right="1440"/>
      </w:pPr>
    </w:p>
    <w:p w:rsidR="00296288" w:rsidRPr="007D29EE" w:rsidRDefault="00296288" w:rsidP="00296288">
      <w:pPr>
        <w:ind w:left="1440" w:right="1440"/>
      </w:pPr>
      <w:r w:rsidRPr="007D29EE">
        <w:t xml:space="preserve"> (b)  Many of the same factors and standards may be considered in the evaluation of both litigated and settled cases. When applied in settled cases, these factors and standards will not be applied in as strict a fashion as in a litigated proceeding. The parties in settled cases will be afforded flexibility in reaching amicable resolutions to complaints and other matters so long as the settlement is in the public interest. The parties to a settlement should include in the settlement agreement a statement in support of settlement explaining how and why the settlement is in the public interest. The statement may be filed jointly by the parties or separately by each individual party. </w:t>
      </w:r>
    </w:p>
    <w:p w:rsidR="00296288" w:rsidRPr="007D29EE" w:rsidRDefault="00296288" w:rsidP="00296288">
      <w:pPr>
        <w:ind w:left="1440" w:right="1440"/>
      </w:pPr>
    </w:p>
    <w:p w:rsidR="00296288" w:rsidRPr="007D29EE" w:rsidRDefault="00296288" w:rsidP="00296288">
      <w:pPr>
        <w:ind w:left="1440" w:right="1440"/>
      </w:pPr>
      <w:r w:rsidRPr="007D29EE">
        <w:t xml:space="preserve"> (c)  The factors and standards that will be considered by the Commission include the following: </w:t>
      </w:r>
    </w:p>
    <w:p w:rsidR="00296288" w:rsidRPr="007D29EE" w:rsidRDefault="00296288" w:rsidP="00296288">
      <w:pPr>
        <w:ind w:left="1440" w:right="1440"/>
      </w:pPr>
    </w:p>
    <w:p w:rsidR="00296288" w:rsidRPr="007D29EE" w:rsidRDefault="00296288" w:rsidP="00296288">
      <w:pPr>
        <w:ind w:left="1440" w:right="1440"/>
      </w:pPr>
      <w:r w:rsidRPr="007D29EE">
        <w:t>   </w:t>
      </w:r>
      <w:r w:rsidRPr="007D29EE">
        <w:tab/>
        <w:t xml:space="preserve">(1)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296288" w:rsidRPr="007D29EE" w:rsidRDefault="00296288" w:rsidP="00296288">
      <w:pPr>
        <w:ind w:left="1440" w:right="1440"/>
      </w:pPr>
    </w:p>
    <w:p w:rsidR="00296288" w:rsidRPr="007D29EE" w:rsidRDefault="00296288" w:rsidP="00296288">
      <w:pPr>
        <w:ind w:left="1440" w:right="1440"/>
      </w:pPr>
      <w:r w:rsidRPr="007D29EE">
        <w:t>   </w:t>
      </w:r>
      <w:r w:rsidRPr="007D29EE">
        <w:tab/>
        <w:t xml:space="preserve">(2)  Whether the resulting consequences of the conduct at issue were of a serious nature. When consequences of a serious nature are involved, such as personal injury or property damage, the consequences may warrant a higher penalty. </w:t>
      </w:r>
    </w:p>
    <w:p w:rsidR="00296288" w:rsidRPr="007D29EE" w:rsidRDefault="00296288" w:rsidP="00296288">
      <w:pPr>
        <w:ind w:left="1440" w:right="1440"/>
      </w:pPr>
    </w:p>
    <w:p w:rsidR="00296288" w:rsidRPr="007D29EE" w:rsidRDefault="00296288" w:rsidP="00296288">
      <w:pPr>
        <w:ind w:left="1440" w:right="1440"/>
      </w:pPr>
      <w:r w:rsidRPr="007D29EE">
        <w:lastRenderedPageBreak/>
        <w:t>   </w:t>
      </w:r>
      <w:r w:rsidRPr="007D29EE">
        <w:tab/>
        <w:t xml:space="preserve">(3)  Whether the conduct at issue was deemed intentional or negligent. This factor may only be considered in evaluating litigated cases. When conduct has been deemed intentional, the conduct may result in a higher penalty. </w:t>
      </w:r>
    </w:p>
    <w:p w:rsidR="00296288" w:rsidRPr="007D29EE" w:rsidRDefault="00296288" w:rsidP="00296288">
      <w:pPr>
        <w:ind w:left="1440" w:right="1440"/>
      </w:pPr>
    </w:p>
    <w:p w:rsidR="00296288" w:rsidRPr="007D29EE" w:rsidRDefault="00296288" w:rsidP="00296288">
      <w:pPr>
        <w:ind w:left="1440" w:right="1440"/>
      </w:pPr>
      <w:r w:rsidRPr="007D29EE">
        <w:t>   </w:t>
      </w:r>
      <w:r w:rsidRPr="007D29EE">
        <w:tab/>
        <w:t xml:space="preserve">(4)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296288" w:rsidRPr="007D29EE" w:rsidRDefault="00296288" w:rsidP="00296288">
      <w:pPr>
        <w:ind w:left="1440" w:right="1440"/>
      </w:pPr>
      <w:r w:rsidRPr="007D29EE">
        <w:t> </w:t>
      </w:r>
    </w:p>
    <w:p w:rsidR="00296288" w:rsidRPr="007D29EE" w:rsidRDefault="00296288" w:rsidP="00296288">
      <w:pPr>
        <w:ind w:left="1440" w:right="1440"/>
      </w:pPr>
      <w:r w:rsidRPr="007D29EE">
        <w:t>  </w:t>
      </w:r>
      <w:r w:rsidRPr="007D29EE">
        <w:tab/>
        <w:t xml:space="preserve">(5)  The number of customers affected and the duration of the violation. </w:t>
      </w:r>
    </w:p>
    <w:p w:rsidR="00296288" w:rsidRPr="007D29EE" w:rsidRDefault="00296288" w:rsidP="00296288">
      <w:pPr>
        <w:ind w:left="1440" w:right="1440"/>
      </w:pPr>
    </w:p>
    <w:p w:rsidR="00296288" w:rsidRPr="007D29EE" w:rsidRDefault="00296288" w:rsidP="00296288">
      <w:pPr>
        <w:ind w:left="1440" w:right="1440"/>
      </w:pPr>
      <w:r w:rsidRPr="007D29EE">
        <w:t>   </w:t>
      </w:r>
      <w:r w:rsidRPr="007D29EE">
        <w:tab/>
        <w:t xml:space="preserve">(6)  The compliance history of the regulated entity which committed the violation. An isolated incident from an otherwise compliant utility may result in a lower penalty, whereas frequent, recurrent violations by a utility may result in a higher penalty. </w:t>
      </w:r>
    </w:p>
    <w:p w:rsidR="00296288" w:rsidRPr="007D29EE" w:rsidRDefault="00296288" w:rsidP="00296288">
      <w:pPr>
        <w:ind w:left="1440" w:right="1440"/>
      </w:pPr>
    </w:p>
    <w:p w:rsidR="00296288" w:rsidRPr="007D29EE" w:rsidRDefault="00296288" w:rsidP="00296288">
      <w:pPr>
        <w:ind w:left="1440" w:right="1440"/>
      </w:pPr>
      <w:r w:rsidRPr="007D29EE">
        <w:t>   </w:t>
      </w:r>
      <w:r w:rsidRPr="007D29EE">
        <w:tab/>
        <w:t xml:space="preserve">(7)  Whether the regulated entity cooperated with the Commission’s investigation. Facts establishing bad faith, active concealment of violations, or attempts to interfere with Commission investigations may result in a higher penalty. </w:t>
      </w:r>
    </w:p>
    <w:p w:rsidR="00296288" w:rsidRPr="007D29EE" w:rsidRDefault="00296288" w:rsidP="00296288">
      <w:pPr>
        <w:ind w:left="1440" w:right="1440"/>
      </w:pPr>
    </w:p>
    <w:p w:rsidR="00296288" w:rsidRPr="007D29EE" w:rsidRDefault="00296288" w:rsidP="00296288">
      <w:pPr>
        <w:ind w:left="1440" w:right="1440"/>
      </w:pPr>
      <w:r w:rsidRPr="007D29EE">
        <w:t>   </w:t>
      </w:r>
      <w:r w:rsidRPr="007D29EE">
        <w:tab/>
        <w:t xml:space="preserve">(8)  The amount of the civil penalty or fine necessary to deter future violations. The size of the utility may be considered to determine an appropriate penalty amount. </w:t>
      </w:r>
    </w:p>
    <w:p w:rsidR="00296288" w:rsidRPr="007D29EE" w:rsidRDefault="00296288" w:rsidP="00296288">
      <w:pPr>
        <w:ind w:left="1440" w:right="1440"/>
      </w:pPr>
    </w:p>
    <w:p w:rsidR="00296288" w:rsidRPr="007D29EE" w:rsidRDefault="00296288" w:rsidP="00296288">
      <w:pPr>
        <w:ind w:left="1440" w:right="1440"/>
      </w:pPr>
      <w:r w:rsidRPr="007D29EE">
        <w:t>   </w:t>
      </w:r>
      <w:r w:rsidRPr="007D29EE">
        <w:tab/>
        <w:t xml:space="preserve">(9)  Past Commission decisions in similar situations. </w:t>
      </w:r>
    </w:p>
    <w:p w:rsidR="00296288" w:rsidRPr="007D29EE" w:rsidRDefault="00296288" w:rsidP="00296288">
      <w:pPr>
        <w:ind w:left="1440" w:right="1440"/>
      </w:pPr>
    </w:p>
    <w:p w:rsidR="00296288" w:rsidRPr="007D29EE" w:rsidRDefault="00296288" w:rsidP="00296288">
      <w:pPr>
        <w:ind w:left="1440" w:right="1440"/>
      </w:pPr>
      <w:r w:rsidRPr="007D29EE">
        <w:t>   </w:t>
      </w:r>
      <w:r w:rsidRPr="007D29EE">
        <w:tab/>
        <w:t>(10)  Other relevant factors.</w:t>
      </w:r>
    </w:p>
    <w:bookmarkEnd w:id="1"/>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 xml:space="preserve"> In reviewing their Settlement in light of the foregoing, the Parties contend that </w:t>
      </w:r>
    </w:p>
    <w:p w:rsidR="00296288" w:rsidRPr="007D29EE" w:rsidRDefault="00296288" w:rsidP="00296288">
      <w:pPr>
        <w:spacing w:line="360" w:lineRule="auto"/>
      </w:pPr>
      <w:proofErr w:type="gramStart"/>
      <w:r w:rsidRPr="007D29EE">
        <w:rPr>
          <w:color w:val="000000"/>
        </w:rPr>
        <w:t>while</w:t>
      </w:r>
      <w:proofErr w:type="gramEnd"/>
      <w:r w:rsidRPr="007D29EE">
        <w:rPr>
          <w:color w:val="000000"/>
        </w:rPr>
        <w:t xml:space="preserve"> Respondent’s actions were likely “willful,” Respondent did not actually perform the unauthorized transportation.  </w:t>
      </w:r>
      <w:r w:rsidRPr="007D29EE">
        <w:t>Settlement at 5, ¶ 12; 52 Pa. Code § 69.1201(c</w:t>
      </w:r>
      <w:proofErr w:type="gramStart"/>
      <w:r w:rsidRPr="007D29EE">
        <w:t>)(</w:t>
      </w:r>
      <w:proofErr w:type="gramEnd"/>
      <w:r w:rsidRPr="007D29EE">
        <w:t xml:space="preserve">1).   The parties agree that while the Respondent held himself out to provide transportation, no actual transportation took place; Respondent’s violation did not have lasting consequences, and no one was physically harmed, and no property was damaged.  Settlement at 5, ¶ 13; </w:t>
      </w:r>
      <w:r>
        <w:t>52 Pa. Code § </w:t>
      </w:r>
      <w:r w:rsidRPr="007D29EE">
        <w:t>69.1201(c</w:t>
      </w:r>
      <w:proofErr w:type="gramStart"/>
      <w:r w:rsidRPr="007D29EE">
        <w:t>)(</w:t>
      </w:r>
      <w:proofErr w:type="gramEnd"/>
      <w:r w:rsidRPr="007D29EE">
        <w:t xml:space="preserve">2).  The parties agree that the Respondent’s conduct was intentional.  Settlement at </w:t>
      </w:r>
      <w:r w:rsidRPr="007D29EE">
        <w:lastRenderedPageBreak/>
        <w:t>6, ¶ 14; 52 Pa. Code § 69.1201(c</w:t>
      </w:r>
      <w:proofErr w:type="gramStart"/>
      <w:r w:rsidRPr="007D29EE">
        <w:t>)(</w:t>
      </w:r>
      <w:proofErr w:type="gramEnd"/>
      <w:r w:rsidRPr="007D29EE">
        <w:t>3).  The Respondent has agreed to cease and desist from offering transportation of household goods in use between points in the Commonwealth for compensation.  Settlement at 6, ¶ 15; 52 Pa. Code § 69.1201(c</w:t>
      </w:r>
      <w:proofErr w:type="gramStart"/>
      <w:r w:rsidRPr="007D29EE">
        <w:t>)(</w:t>
      </w:r>
      <w:proofErr w:type="gramEnd"/>
      <w:r w:rsidRPr="007D29EE">
        <w:t>4).  The provable duration of Respondent’s violation was brief.  He held himself out to provide transportation of household goods in use for compensation during the first week of September 2008, and the move took place on September 27, 2008.  Further, the shipper, Mr. Bradley Stiles, and his family were the only customers affected by Respondent’s actions.  Settlement at 6, ¶ 16; 52 Pa. Code § 69.1201(c</w:t>
      </w:r>
      <w:proofErr w:type="gramStart"/>
      <w:r w:rsidRPr="007D29EE">
        <w:t>)(</w:t>
      </w:r>
      <w:proofErr w:type="gramEnd"/>
      <w:r w:rsidRPr="007D29EE">
        <w:t xml:space="preserve">5).  Respondent has two prior violations of 66 Pa. C.S. § 1101 for holding himself out to transport household goods in use for compensation.  The first violation occurred on July 29, 1991 and Respondent paid a two-hundred dollar ($200.00) civil penalty for this violation.  </w:t>
      </w:r>
      <w:r w:rsidRPr="007D29EE">
        <w:rPr>
          <w:i/>
        </w:rPr>
        <w:t xml:space="preserve">Pennsylvania Public Utility Commission v. Robert </w:t>
      </w:r>
      <w:proofErr w:type="spellStart"/>
      <w:r w:rsidRPr="007D29EE">
        <w:rPr>
          <w:i/>
        </w:rPr>
        <w:t>Levan</w:t>
      </w:r>
      <w:proofErr w:type="spellEnd"/>
      <w:r w:rsidRPr="007D29EE">
        <w:t xml:space="preserve"> </w:t>
      </w:r>
      <w:r w:rsidRPr="007D29EE">
        <w:rPr>
          <w:i/>
        </w:rPr>
        <w:t>t/a Night Moves</w:t>
      </w:r>
      <w:r w:rsidRPr="007D29EE">
        <w:t>, C</w:t>
      </w:r>
      <w:r>
        <w:t>-923814 (Order entered July 22, </w:t>
      </w:r>
      <w:r w:rsidRPr="007D29EE">
        <w:t>1992).  The second violation occurred on December 30, 1994, and Respondent paid a five</w:t>
      </w:r>
      <w:r w:rsidRPr="007D29EE">
        <w:noBreakHyphen/>
        <w:t xml:space="preserve">hundred dollar ($500.00) civil penalty for that violation.  </w:t>
      </w:r>
      <w:r w:rsidRPr="007D29EE">
        <w:rPr>
          <w:i/>
        </w:rPr>
        <w:t xml:space="preserve">Pennsylvania Public Utility Commission, Bureau of Transportation and Safety v. Robert A. </w:t>
      </w:r>
      <w:proofErr w:type="spellStart"/>
      <w:r w:rsidRPr="007D29EE">
        <w:rPr>
          <w:i/>
        </w:rPr>
        <w:t>Levan</w:t>
      </w:r>
      <w:proofErr w:type="spellEnd"/>
      <w:r w:rsidRPr="007D29EE">
        <w:rPr>
          <w:i/>
        </w:rPr>
        <w:t xml:space="preserve"> t/a Night Moves</w:t>
      </w:r>
      <w:r w:rsidRPr="007D29EE">
        <w:t>, C</w:t>
      </w:r>
      <w:r w:rsidRPr="007D29EE">
        <w:noBreakHyphen/>
        <w:t>00956740 (Order entered October 25, 1995</w:t>
      </w:r>
      <w:r>
        <w:rPr>
          <w:rStyle w:val="FootnoteReference"/>
        </w:rPr>
        <w:footnoteReference w:id="3"/>
      </w:r>
      <w:r w:rsidRPr="007D29EE">
        <w:t>).  The parties contend that while the Respondent violated 66 Pa. C.S. § 1101 twice prior to the issuance of the present Complaint, his prior violations occurred over a decade ago.  Because Respondent did not violate 66 Pa. C.S. § 1101 between 1994 and 2008, the parties assert that five-hundred dollars ($500.00) constitutes a reasonable amount to settle the instant matter.  Settlement at 6-7, ¶ 17; 52 Pa. Code § 69.1201(c</w:t>
      </w:r>
      <w:proofErr w:type="gramStart"/>
      <w:r w:rsidRPr="007D29EE">
        <w:t>)(</w:t>
      </w:r>
      <w:proofErr w:type="gramEnd"/>
      <w:r w:rsidRPr="007D29EE">
        <w:t>6).  The Respondent fully cooperated with the Commission’s staff in this proceeding.  Settlement at 7, ¶ 18; 52 Pa. Code § 69.1201(c</w:t>
      </w:r>
      <w:proofErr w:type="gramStart"/>
      <w:r w:rsidRPr="007D29EE">
        <w:t>)(</w:t>
      </w:r>
      <w:proofErr w:type="gramEnd"/>
      <w:r w:rsidRPr="007D29EE">
        <w:t>7).  The parties contend that the amount of the proposed civil penalty is appropriate.  Settlement at 7-8, ¶ 19; 52 Pa. Code § 69.1201(c</w:t>
      </w:r>
      <w:proofErr w:type="gramStart"/>
      <w:r w:rsidRPr="007D29EE">
        <w:t>)(</w:t>
      </w:r>
      <w:proofErr w:type="gramEnd"/>
      <w:r w:rsidRPr="007D29EE">
        <w:t xml:space="preserve">8).  The parties contend that the Agreement is consistent with prior Commission decisions and is appropriate based upon the circumstances of this case.  Settlement at 8, ¶ 20; </w:t>
      </w:r>
      <w:r>
        <w:t>52 Pa. Code § </w:t>
      </w:r>
      <w:r w:rsidRPr="007D29EE">
        <w:t>69.1201(c</w:t>
      </w:r>
      <w:proofErr w:type="gramStart"/>
      <w:r w:rsidRPr="007D29EE">
        <w:t>)(</w:t>
      </w:r>
      <w:proofErr w:type="gramEnd"/>
      <w:r w:rsidRPr="007D29EE">
        <w:t xml:space="preserve">9).  The parties conclude by stating that in this case, ratification of the proposed Settlement will save the time and expense of holding a hearing.  </w:t>
      </w:r>
    </w:p>
    <w:p w:rsidR="00296288" w:rsidRPr="007D29EE" w:rsidRDefault="00296288" w:rsidP="00296288">
      <w:pPr>
        <w:spacing w:line="360" w:lineRule="auto"/>
      </w:pPr>
    </w:p>
    <w:p w:rsidR="00296288" w:rsidRDefault="00296288" w:rsidP="00296288">
      <w:pPr>
        <w:spacing w:line="360" w:lineRule="auto"/>
      </w:pPr>
      <w:r w:rsidRPr="007D29EE">
        <w:tab/>
      </w:r>
      <w:r w:rsidRPr="007D29EE">
        <w:tab/>
        <w:t xml:space="preserve">Having reviewed the Settlement Agreement and the record in this matter, I do </w:t>
      </w:r>
      <w:r w:rsidRPr="007D29EE">
        <w:rPr>
          <w:u w:val="single"/>
        </w:rPr>
        <w:t>not</w:t>
      </w:r>
      <w:r w:rsidRPr="007D29EE">
        <w:t xml:space="preserve"> agree with the Parties that the proposed Settlement Agreement is in the public interest or is the </w:t>
      </w:r>
      <w:r w:rsidRPr="007D29EE">
        <w:lastRenderedPageBreak/>
        <w:t xml:space="preserve">appropriate way in which to resolve this case.  Clearly, the conduct was willful and intentional.  The Respondent held himself out to render public utility service without a certificate of public convenience and necessity, and he did this knowingly.  The lapse of time between prior known and punished offenses notwithstanding, this Respondent has clearly continued a course of conduct that he knows to be illegal.  In fact, the Respondent has carried out this activity under substantially the same trade name and, it would appear, in the same manner for the third time.  It would appear that the imposition of a civil penalty of $500 in 1994 was not sufficient to induce this Respondent to cease and desist, and a $500 civil penalty in this case is wholly inadequate.  The Respondent’s action flies in the face of the Code and is a disservice both to the public and to the many certificated carriers that conduct their business in this Commonwealth in a lawful manner.  </w:t>
      </w:r>
      <w:r>
        <w:t>Given the willful and ongoing conduct on the part of the Respondent, t</w:t>
      </w:r>
      <w:r w:rsidRPr="007D29EE">
        <w:t xml:space="preserve">he civil penalty in this case </w:t>
      </w:r>
      <w:r>
        <w:t xml:space="preserve">should </w:t>
      </w:r>
      <w:r w:rsidRPr="007D29EE">
        <w:t>be</w:t>
      </w:r>
      <w:r>
        <w:t xml:space="preserve"> ten times the proposed settlement amount, or</w:t>
      </w:r>
      <w:r w:rsidRPr="007D29EE">
        <w:t xml:space="preserve"> $5,000.  Let me stress that $5,000 is the figure in the event of </w:t>
      </w:r>
      <w:r>
        <w:t>s</w:t>
      </w:r>
      <w:r w:rsidRPr="007D29EE">
        <w:t xml:space="preserve">ettlement.  If that is not acceptable to the Respondent, then this case should be set for hearing.  </w:t>
      </w:r>
    </w:p>
    <w:p w:rsidR="00296288" w:rsidRPr="007D29EE" w:rsidRDefault="00296288" w:rsidP="00296288">
      <w:pPr>
        <w:spacing w:line="360" w:lineRule="auto"/>
      </w:pPr>
      <w:r w:rsidRPr="007D29EE">
        <w:t xml:space="preserve">  </w:t>
      </w:r>
    </w:p>
    <w:p w:rsidR="00296288" w:rsidRPr="007D29EE" w:rsidRDefault="00296288" w:rsidP="00296288">
      <w:pPr>
        <w:spacing w:line="360" w:lineRule="auto"/>
        <w:jc w:val="center"/>
      </w:pPr>
      <w:r w:rsidRPr="007D29EE">
        <w:t xml:space="preserve">III. </w:t>
      </w:r>
      <w:r w:rsidRPr="007D29EE">
        <w:tab/>
      </w:r>
      <w:r w:rsidRPr="007D29EE">
        <w:rPr>
          <w:u w:val="single"/>
        </w:rPr>
        <w:t>CONCLUSIONS OF LAW</w:t>
      </w:r>
    </w:p>
    <w:p w:rsidR="00296288" w:rsidRPr="007D29EE" w:rsidRDefault="00296288" w:rsidP="00296288">
      <w:pPr>
        <w:suppressAutoHyphens/>
        <w:spacing w:line="360" w:lineRule="auto"/>
        <w:ind w:firstLine="1440"/>
        <w:rPr>
          <w:spacing w:val="-3"/>
        </w:rPr>
      </w:pPr>
    </w:p>
    <w:p w:rsidR="00296288" w:rsidRPr="007D29EE" w:rsidRDefault="00296288" w:rsidP="00296288">
      <w:pPr>
        <w:suppressAutoHyphens/>
        <w:spacing w:line="360" w:lineRule="auto"/>
        <w:ind w:firstLine="1440"/>
        <w:rPr>
          <w:spacing w:val="-3"/>
        </w:rPr>
      </w:pPr>
      <w:r w:rsidRPr="007D29EE">
        <w:rPr>
          <w:spacing w:val="-3"/>
        </w:rPr>
        <w:t>1.</w:t>
      </w:r>
      <w:r w:rsidRPr="007D29EE">
        <w:rPr>
          <w:spacing w:val="-3"/>
        </w:rPr>
        <w:tab/>
        <w:t xml:space="preserve">The Commission has jurisdiction over the subject matter and the parties to this proceeding.  </w:t>
      </w:r>
      <w:proofErr w:type="gramStart"/>
      <w:r w:rsidRPr="007D29EE">
        <w:rPr>
          <w:spacing w:val="-3"/>
        </w:rPr>
        <w:t>66 Pa. C.S. § 701.</w:t>
      </w:r>
      <w:proofErr w:type="gramEnd"/>
    </w:p>
    <w:p w:rsidR="00296288" w:rsidRPr="007D29EE" w:rsidRDefault="00296288" w:rsidP="00296288">
      <w:pPr>
        <w:suppressAutoHyphens/>
        <w:spacing w:line="360" w:lineRule="auto"/>
        <w:ind w:firstLine="1440"/>
        <w:rPr>
          <w:spacing w:val="-3"/>
        </w:rPr>
      </w:pPr>
    </w:p>
    <w:p w:rsidR="00296288" w:rsidRPr="007D29EE" w:rsidRDefault="00296288" w:rsidP="00296288">
      <w:pPr>
        <w:suppressAutoHyphens/>
        <w:spacing w:line="360" w:lineRule="auto"/>
        <w:ind w:firstLine="1440"/>
      </w:pPr>
      <w:r w:rsidRPr="007D29EE">
        <w:t>2.</w:t>
      </w:r>
      <w:r w:rsidRPr="007D29EE">
        <w:tab/>
        <w:t xml:space="preserve">To determine whether the Settlement should be approved, the Commission must decide whether the Settlement promotes the public interest.  </w:t>
      </w:r>
      <w:proofErr w:type="gramStart"/>
      <w:r w:rsidRPr="007D29EE">
        <w:rPr>
          <w:i/>
        </w:rPr>
        <w:t xml:space="preserve">Pennsylvania Public Utility </w:t>
      </w:r>
      <w:proofErr w:type="spellStart"/>
      <w:r w:rsidRPr="007D29EE">
        <w:rPr>
          <w:i/>
        </w:rPr>
        <w:t>Comm’n</w:t>
      </w:r>
      <w:proofErr w:type="spellEnd"/>
      <w:r w:rsidRPr="007D29EE">
        <w:rPr>
          <w:i/>
        </w:rPr>
        <w:t xml:space="preserve"> v. C.S. Water and Sewer Associates</w:t>
      </w:r>
      <w:r w:rsidRPr="007D29EE">
        <w:t xml:space="preserve">, 74 Pa. PUC 767 (1991); </w:t>
      </w:r>
      <w:r w:rsidRPr="007D29EE">
        <w:rPr>
          <w:i/>
        </w:rPr>
        <w:t xml:space="preserve">Pennsylvania Public Utility </w:t>
      </w:r>
      <w:proofErr w:type="spellStart"/>
      <w:r w:rsidRPr="007D29EE">
        <w:rPr>
          <w:i/>
        </w:rPr>
        <w:t>Comm’n</w:t>
      </w:r>
      <w:proofErr w:type="spellEnd"/>
      <w:r w:rsidRPr="007D29EE">
        <w:rPr>
          <w:i/>
        </w:rPr>
        <w:t xml:space="preserve"> v. Philadelphia Electric Company,</w:t>
      </w:r>
      <w:r w:rsidRPr="007D29EE">
        <w:t xml:space="preserve"> 60 Pa. PUC 1 (1985); 52 Pa. Code § 69.1201.</w:t>
      </w:r>
      <w:proofErr w:type="gramEnd"/>
    </w:p>
    <w:p w:rsidR="00296288" w:rsidRPr="007D29EE" w:rsidRDefault="00296288" w:rsidP="00296288">
      <w:pPr>
        <w:suppressAutoHyphens/>
        <w:spacing w:line="360" w:lineRule="auto"/>
        <w:ind w:firstLine="1440"/>
      </w:pPr>
    </w:p>
    <w:p w:rsidR="00296288" w:rsidRPr="007D29EE" w:rsidRDefault="00296288" w:rsidP="00296288">
      <w:pPr>
        <w:suppressAutoHyphens/>
        <w:spacing w:line="360" w:lineRule="auto"/>
        <w:ind w:firstLine="1440"/>
        <w:rPr>
          <w:spacing w:val="-3"/>
        </w:rPr>
      </w:pPr>
      <w:r w:rsidRPr="007D29EE">
        <w:rPr>
          <w:spacing w:val="-3"/>
        </w:rPr>
        <w:t>3.</w:t>
      </w:r>
      <w:r w:rsidRPr="007D29EE">
        <w:rPr>
          <w:spacing w:val="-3"/>
        </w:rPr>
        <w:tab/>
        <w:t xml:space="preserve">The Settlement terms and conditions contained in the joint Settlement Agreement at Docket No. </w:t>
      </w:r>
      <w:r w:rsidRPr="007D29EE">
        <w:t>C-2009-2070216 as</w:t>
      </w:r>
      <w:r w:rsidRPr="007D29EE">
        <w:rPr>
          <w:spacing w:val="-3"/>
        </w:rPr>
        <w:t xml:space="preserve"> submitted by the Bureau of Transportation and Safety and </w:t>
      </w:r>
      <w:r w:rsidRPr="007D29EE">
        <w:t xml:space="preserve">Robert </w:t>
      </w:r>
      <w:proofErr w:type="spellStart"/>
      <w:r w:rsidRPr="007D29EE">
        <w:t>Levan</w:t>
      </w:r>
      <w:proofErr w:type="spellEnd"/>
      <w:r w:rsidRPr="007D29EE">
        <w:t xml:space="preserve"> t/a </w:t>
      </w:r>
      <w:proofErr w:type="spellStart"/>
      <w:r w:rsidRPr="007D29EE">
        <w:t>Nite</w:t>
      </w:r>
      <w:proofErr w:type="spellEnd"/>
      <w:r w:rsidRPr="007D29EE">
        <w:t xml:space="preserve"> Moves, specifically the proposed civil penalty of $500, </w:t>
      </w:r>
      <w:r w:rsidRPr="007D29EE">
        <w:rPr>
          <w:spacing w:val="-3"/>
        </w:rPr>
        <w:t>are not just, reasonable or in the public interest.</w:t>
      </w:r>
    </w:p>
    <w:p w:rsidR="00296288" w:rsidRPr="007D29EE" w:rsidRDefault="00296288" w:rsidP="00296288">
      <w:pPr>
        <w:spacing w:line="360" w:lineRule="auto"/>
        <w:sectPr w:rsidR="00296288" w:rsidRPr="007D29EE" w:rsidSect="002937FB">
          <w:footerReference w:type="default" r:id="rId9"/>
          <w:pgSz w:w="12240" w:h="15840"/>
          <w:pgMar w:top="1440" w:right="1440" w:bottom="1440" w:left="1440" w:header="720" w:footer="720" w:gutter="0"/>
          <w:pgNumType w:start="1"/>
          <w:cols w:space="720"/>
          <w:titlePg/>
          <w:docGrid w:linePitch="360"/>
        </w:sectPr>
      </w:pPr>
    </w:p>
    <w:p w:rsidR="00296288" w:rsidRPr="007D29EE" w:rsidRDefault="00296288" w:rsidP="00296288">
      <w:pPr>
        <w:spacing w:line="360" w:lineRule="auto"/>
        <w:jc w:val="center"/>
      </w:pPr>
      <w:r w:rsidRPr="007D29EE">
        <w:lastRenderedPageBreak/>
        <w:t>IV.</w:t>
      </w:r>
      <w:r w:rsidRPr="007D29EE">
        <w:tab/>
      </w:r>
      <w:r w:rsidRPr="007D29EE">
        <w:rPr>
          <w:u w:val="single"/>
        </w:rPr>
        <w:t>ORDER</w:t>
      </w:r>
    </w:p>
    <w:p w:rsidR="00296288" w:rsidRPr="007D29EE" w:rsidRDefault="00296288" w:rsidP="00296288">
      <w:pPr>
        <w:spacing w:line="360" w:lineRule="auto"/>
      </w:pP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 xml:space="preserve">THEREFORE, </w:t>
      </w: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 xml:space="preserve">IT IS </w:t>
      </w:r>
      <w:r>
        <w:t>ORDERED</w:t>
      </w:r>
      <w:r w:rsidRPr="007D29EE">
        <w:t>:</w:t>
      </w:r>
    </w:p>
    <w:p w:rsidR="00296288" w:rsidRPr="007D29EE" w:rsidRDefault="00296288" w:rsidP="00296288">
      <w:pPr>
        <w:spacing w:line="360" w:lineRule="auto"/>
      </w:pPr>
    </w:p>
    <w:p w:rsidR="00296288" w:rsidRPr="007D29EE" w:rsidRDefault="00296288" w:rsidP="00296288">
      <w:pPr>
        <w:spacing w:line="360" w:lineRule="auto"/>
      </w:pPr>
      <w:r w:rsidRPr="007D29EE">
        <w:tab/>
      </w:r>
      <w:r w:rsidRPr="007D29EE">
        <w:tab/>
        <w:t>1.</w:t>
      </w:r>
      <w:r w:rsidRPr="007D29EE">
        <w:tab/>
        <w:t xml:space="preserve">That the Settlement Agreement at </w:t>
      </w:r>
      <w:r w:rsidRPr="007D29EE">
        <w:rPr>
          <w:spacing w:val="-3"/>
        </w:rPr>
        <w:t xml:space="preserve">Docket No. </w:t>
      </w:r>
      <w:r w:rsidRPr="007D29EE">
        <w:t>C-2009-2070216,</w:t>
      </w:r>
      <w:r w:rsidRPr="007D29EE">
        <w:rPr>
          <w:spacing w:val="-3"/>
        </w:rPr>
        <w:t xml:space="preserve"> submitted by the Bureau of Transportation and </w:t>
      </w:r>
      <w:r w:rsidRPr="007D29EE">
        <w:t xml:space="preserve">Robert </w:t>
      </w:r>
      <w:proofErr w:type="spellStart"/>
      <w:r w:rsidRPr="007D29EE">
        <w:t>Levan</w:t>
      </w:r>
      <w:proofErr w:type="spellEnd"/>
      <w:r w:rsidRPr="007D29EE">
        <w:t xml:space="preserve"> t/a </w:t>
      </w:r>
      <w:proofErr w:type="spellStart"/>
      <w:r w:rsidRPr="007D29EE">
        <w:t>Nite</w:t>
      </w:r>
      <w:proofErr w:type="spellEnd"/>
      <w:r w:rsidRPr="007D29EE">
        <w:t xml:space="preserve"> Moves</w:t>
      </w:r>
      <w:r w:rsidRPr="007D29EE">
        <w:rPr>
          <w:spacing w:val="-3"/>
        </w:rPr>
        <w:t xml:space="preserve"> </w:t>
      </w:r>
      <w:proofErr w:type="gramStart"/>
      <w:r>
        <w:rPr>
          <w:spacing w:val="-3"/>
        </w:rPr>
        <w:t>be</w:t>
      </w:r>
      <w:proofErr w:type="gramEnd"/>
      <w:r w:rsidRPr="007D29EE">
        <w:t xml:space="preserve"> modified to increase the civil penalty to $5,000.</w:t>
      </w:r>
    </w:p>
    <w:p w:rsidR="00296288" w:rsidRPr="007D29EE" w:rsidRDefault="00296288" w:rsidP="00296288">
      <w:pPr>
        <w:spacing w:line="360" w:lineRule="auto"/>
      </w:pPr>
    </w:p>
    <w:p w:rsidR="00296288" w:rsidRPr="007D29EE" w:rsidRDefault="00296288" w:rsidP="00296288">
      <w:pPr>
        <w:spacing w:line="360" w:lineRule="auto"/>
        <w:ind w:firstLine="1440"/>
      </w:pPr>
      <w:r w:rsidRPr="007D29EE">
        <w:t>2.</w:t>
      </w:r>
      <w:r w:rsidRPr="007D29EE">
        <w:tab/>
        <w:t xml:space="preserve">That upon receipt of the Commission’s Order approving the modified Settlement Agreement, Robert </w:t>
      </w:r>
      <w:proofErr w:type="spellStart"/>
      <w:r w:rsidRPr="007D29EE">
        <w:t>Levan</w:t>
      </w:r>
      <w:proofErr w:type="spellEnd"/>
      <w:r w:rsidRPr="007D29EE">
        <w:t xml:space="preserve"> t/a </w:t>
      </w:r>
      <w:proofErr w:type="spellStart"/>
      <w:r w:rsidRPr="007D29EE">
        <w:t>Nite</w:t>
      </w:r>
      <w:proofErr w:type="spellEnd"/>
      <w:r w:rsidRPr="007D29EE">
        <w:t xml:space="preserve"> Moves shall pay a civil penalty of $5,000, in accordance with the modified Settlement terms.  </w:t>
      </w:r>
    </w:p>
    <w:p w:rsidR="00296288" w:rsidRPr="007D29EE" w:rsidRDefault="00296288" w:rsidP="00296288">
      <w:pPr>
        <w:spacing w:line="360" w:lineRule="auto"/>
      </w:pPr>
    </w:p>
    <w:p w:rsidR="00296288" w:rsidRPr="007D29EE" w:rsidRDefault="00296288" w:rsidP="00296288">
      <w:pPr>
        <w:spacing w:line="360" w:lineRule="auto"/>
        <w:ind w:firstLine="1440"/>
        <w:rPr>
          <w:bCs/>
        </w:rPr>
      </w:pPr>
      <w:r w:rsidRPr="007D29EE">
        <w:t>3.</w:t>
      </w:r>
      <w:r w:rsidRPr="007D29EE">
        <w:tab/>
      </w:r>
      <w:r w:rsidRPr="007D29EE">
        <w:rPr>
          <w:bCs/>
        </w:rPr>
        <w:t>That Commission approval of the modified Settlement Agreement shall not be construed to represent approval of any party’s position on any issue herein.</w:t>
      </w:r>
    </w:p>
    <w:p w:rsidR="00296288" w:rsidRPr="007D29EE" w:rsidRDefault="00296288" w:rsidP="00296288">
      <w:pPr>
        <w:spacing w:line="360" w:lineRule="auto"/>
        <w:rPr>
          <w:bCs/>
        </w:rPr>
      </w:pPr>
    </w:p>
    <w:p w:rsidR="00296288" w:rsidRPr="007D29EE" w:rsidRDefault="00296288" w:rsidP="00296288">
      <w:pPr>
        <w:spacing w:line="360" w:lineRule="auto"/>
        <w:ind w:firstLine="1440"/>
        <w:rPr>
          <w:bCs/>
        </w:rPr>
      </w:pPr>
      <w:r w:rsidRPr="007D29EE">
        <w:rPr>
          <w:bCs/>
        </w:rPr>
        <w:t>4.</w:t>
      </w:r>
      <w:r w:rsidRPr="007D29EE">
        <w:rPr>
          <w:bCs/>
        </w:rPr>
        <w:tab/>
        <w:t xml:space="preserve">That, upon Commission approval of the modified Settlement Agreement and the payment of a civil penalty of $5,000 by </w:t>
      </w:r>
      <w:r w:rsidRPr="007D29EE">
        <w:t xml:space="preserve">Robert </w:t>
      </w:r>
      <w:proofErr w:type="spellStart"/>
      <w:r w:rsidRPr="007D29EE">
        <w:t>Levan</w:t>
      </w:r>
      <w:proofErr w:type="spellEnd"/>
      <w:r w:rsidRPr="007D29EE">
        <w:t xml:space="preserve"> t/a </w:t>
      </w:r>
      <w:proofErr w:type="spellStart"/>
      <w:r w:rsidRPr="007D29EE">
        <w:t>Nite</w:t>
      </w:r>
      <w:proofErr w:type="spellEnd"/>
      <w:r w:rsidRPr="007D29EE">
        <w:t xml:space="preserve"> Moves</w:t>
      </w:r>
      <w:r w:rsidRPr="007D29EE">
        <w:rPr>
          <w:bCs/>
        </w:rPr>
        <w:t xml:space="preserve">, this proceeding shall be terminated, and the record at Docket No. </w:t>
      </w:r>
      <w:r w:rsidRPr="007D29EE">
        <w:t>C-2009-2070216</w:t>
      </w:r>
      <w:r w:rsidRPr="007D29EE">
        <w:rPr>
          <w:bCs/>
        </w:rPr>
        <w:t xml:space="preserve"> shall be marked closed.</w:t>
      </w:r>
    </w:p>
    <w:p w:rsidR="00296288" w:rsidRPr="007D29EE" w:rsidRDefault="00296288" w:rsidP="00296288">
      <w:pPr>
        <w:spacing w:line="360" w:lineRule="auto"/>
        <w:ind w:firstLine="1440"/>
        <w:rPr>
          <w:bCs/>
        </w:rPr>
      </w:pPr>
    </w:p>
    <w:p w:rsidR="00296288" w:rsidRPr="007D29EE" w:rsidRDefault="00296288" w:rsidP="00296288">
      <w:pPr>
        <w:spacing w:line="360" w:lineRule="auto"/>
        <w:ind w:firstLine="1440"/>
        <w:rPr>
          <w:bCs/>
        </w:rPr>
      </w:pPr>
      <w:r w:rsidRPr="007D29EE">
        <w:rPr>
          <w:bCs/>
        </w:rPr>
        <w:t>5.</w:t>
      </w:r>
      <w:r w:rsidRPr="007D29EE">
        <w:rPr>
          <w:bCs/>
        </w:rPr>
        <w:tab/>
        <w:t xml:space="preserve">That in the event that either party to this proceeding declines to accept the modified Settlement, that this matter be remanded to the Office of Administrative Law Judge for hearing. </w:t>
      </w:r>
    </w:p>
    <w:p w:rsidR="00296288" w:rsidRDefault="00296288" w:rsidP="00296288">
      <w:pPr>
        <w:spacing w:line="360" w:lineRule="auto"/>
        <w:ind w:firstLine="1440"/>
        <w:rPr>
          <w:bCs/>
        </w:rPr>
      </w:pPr>
    </w:p>
    <w:p w:rsidR="00296288" w:rsidRPr="007D29EE" w:rsidRDefault="00296288" w:rsidP="00296288">
      <w:pPr>
        <w:spacing w:line="360" w:lineRule="auto"/>
        <w:ind w:firstLine="1440"/>
        <w:rPr>
          <w:bCs/>
        </w:rPr>
      </w:pPr>
    </w:p>
    <w:p w:rsidR="00296288" w:rsidRPr="007D29EE" w:rsidRDefault="00296288" w:rsidP="00296288">
      <w:pPr>
        <w:ind w:firstLine="1440"/>
      </w:pPr>
    </w:p>
    <w:p w:rsidR="00296288" w:rsidRPr="007D29EE" w:rsidRDefault="00296288" w:rsidP="00296288">
      <w:r w:rsidRPr="007D29EE">
        <w:t>DATED:</w:t>
      </w:r>
      <w:r w:rsidRPr="007D29EE">
        <w:tab/>
      </w:r>
      <w:r w:rsidRPr="007D29EE">
        <w:rPr>
          <w:u w:val="single"/>
        </w:rPr>
        <w:t>September 30, 2011</w:t>
      </w:r>
      <w:r w:rsidRPr="007D29EE">
        <w:tab/>
      </w:r>
      <w:r w:rsidRPr="007D29EE">
        <w:tab/>
      </w:r>
      <w:r w:rsidRPr="007D29EE">
        <w:tab/>
      </w:r>
      <w:r w:rsidRPr="007D29EE">
        <w:tab/>
      </w:r>
      <w:r w:rsidRPr="007D29EE">
        <w:rPr>
          <w:u w:val="single"/>
        </w:rPr>
        <w:tab/>
      </w:r>
      <w:r w:rsidRPr="007D29EE">
        <w:rPr>
          <w:u w:val="single"/>
        </w:rPr>
        <w:tab/>
      </w:r>
      <w:r w:rsidRPr="007D29EE">
        <w:rPr>
          <w:u w:val="single"/>
        </w:rPr>
        <w:tab/>
        <w:t>__________</w:t>
      </w:r>
    </w:p>
    <w:p w:rsidR="00296288" w:rsidRPr="007D29EE" w:rsidRDefault="00296288" w:rsidP="00296288">
      <w:r w:rsidRPr="007D29EE">
        <w:tab/>
      </w:r>
      <w:r w:rsidRPr="007D29EE">
        <w:tab/>
      </w:r>
      <w:r w:rsidRPr="007D29EE">
        <w:tab/>
      </w:r>
      <w:r w:rsidRPr="007D29EE">
        <w:tab/>
      </w:r>
      <w:r w:rsidRPr="007D29EE">
        <w:tab/>
      </w:r>
      <w:r w:rsidRPr="007D29EE">
        <w:tab/>
      </w:r>
      <w:r w:rsidRPr="007D29EE">
        <w:tab/>
      </w:r>
      <w:r w:rsidRPr="007D29EE">
        <w:tab/>
        <w:t>Dennis J. Buckley</w:t>
      </w:r>
    </w:p>
    <w:p w:rsidR="00296288" w:rsidRPr="007D29EE" w:rsidRDefault="00296288" w:rsidP="00296288">
      <w:r w:rsidRPr="007D29EE">
        <w:tab/>
      </w:r>
      <w:r w:rsidRPr="007D29EE">
        <w:tab/>
      </w:r>
      <w:r w:rsidRPr="007D29EE">
        <w:tab/>
      </w:r>
      <w:r w:rsidRPr="007D29EE">
        <w:tab/>
      </w:r>
      <w:r w:rsidRPr="007D29EE">
        <w:tab/>
      </w:r>
      <w:r w:rsidRPr="007D29EE">
        <w:tab/>
      </w:r>
      <w:r w:rsidRPr="007D29EE">
        <w:tab/>
      </w:r>
      <w:r w:rsidRPr="007D29EE">
        <w:tab/>
        <w:t>Administrative Law Judge</w:t>
      </w:r>
    </w:p>
    <w:p w:rsidR="00A75145" w:rsidRPr="00296288" w:rsidRDefault="00A75145" w:rsidP="00296288"/>
    <w:sectPr w:rsidR="00A75145" w:rsidRPr="00296288" w:rsidSect="002937FB">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20F" w:rsidRDefault="00F4320F">
      <w:r>
        <w:separator/>
      </w:r>
    </w:p>
  </w:endnote>
  <w:endnote w:type="continuationSeparator" w:id="0">
    <w:p w:rsidR="00F4320F" w:rsidRDefault="00F4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104032"/>
      <w:docPartObj>
        <w:docPartGallery w:val="Page Numbers (Bottom of Page)"/>
        <w:docPartUnique/>
      </w:docPartObj>
    </w:sdtPr>
    <w:sdtContent>
      <w:p w:rsidR="00296288" w:rsidRDefault="00296288">
        <w:pPr>
          <w:pStyle w:val="Footer"/>
          <w:jc w:val="center"/>
        </w:pPr>
        <w:r w:rsidRPr="002937FB">
          <w:rPr>
            <w:sz w:val="20"/>
            <w:szCs w:val="20"/>
          </w:rPr>
          <w:fldChar w:fldCharType="begin"/>
        </w:r>
        <w:r w:rsidRPr="002937FB">
          <w:rPr>
            <w:sz w:val="20"/>
            <w:szCs w:val="20"/>
          </w:rPr>
          <w:instrText xml:space="preserve"> PAGE   \* MERGEFORMAT </w:instrText>
        </w:r>
        <w:r w:rsidRPr="002937FB">
          <w:rPr>
            <w:sz w:val="20"/>
            <w:szCs w:val="20"/>
          </w:rPr>
          <w:fldChar w:fldCharType="separate"/>
        </w:r>
        <w:r>
          <w:rPr>
            <w:noProof/>
            <w:sz w:val="20"/>
            <w:szCs w:val="20"/>
          </w:rPr>
          <w:t>2</w:t>
        </w:r>
        <w:r w:rsidRPr="002937FB">
          <w:rPr>
            <w:sz w:val="20"/>
            <w:szCs w:val="20"/>
          </w:rPr>
          <w:fldChar w:fldCharType="end"/>
        </w:r>
      </w:p>
    </w:sdtContent>
  </w:sdt>
  <w:p w:rsidR="00296288" w:rsidRDefault="00296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705481"/>
      <w:docPartObj>
        <w:docPartGallery w:val="Page Numbers (Bottom of Page)"/>
        <w:docPartUnique/>
      </w:docPartObj>
    </w:sdtPr>
    <w:sdtEndPr/>
    <w:sdtContent>
      <w:p w:rsidR="00305BEC" w:rsidRDefault="000B5AB5">
        <w:pPr>
          <w:pStyle w:val="Footer"/>
          <w:jc w:val="center"/>
        </w:pPr>
        <w:r w:rsidRPr="002937FB">
          <w:rPr>
            <w:sz w:val="20"/>
            <w:szCs w:val="20"/>
          </w:rPr>
          <w:fldChar w:fldCharType="begin"/>
        </w:r>
        <w:r w:rsidR="00A161CD" w:rsidRPr="002937FB">
          <w:rPr>
            <w:sz w:val="20"/>
            <w:szCs w:val="20"/>
          </w:rPr>
          <w:instrText xml:space="preserve"> PAGE   \* MERGEFORMAT </w:instrText>
        </w:r>
        <w:r w:rsidRPr="002937FB">
          <w:rPr>
            <w:sz w:val="20"/>
            <w:szCs w:val="20"/>
          </w:rPr>
          <w:fldChar w:fldCharType="separate"/>
        </w:r>
        <w:r w:rsidR="00296288">
          <w:rPr>
            <w:noProof/>
            <w:sz w:val="20"/>
            <w:szCs w:val="20"/>
          </w:rPr>
          <w:t>8</w:t>
        </w:r>
        <w:r w:rsidRPr="002937FB">
          <w:rPr>
            <w:sz w:val="20"/>
            <w:szCs w:val="20"/>
          </w:rPr>
          <w:fldChar w:fldCharType="end"/>
        </w:r>
      </w:p>
    </w:sdtContent>
  </w:sdt>
  <w:p w:rsidR="00305BEC" w:rsidRDefault="00305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20F" w:rsidRDefault="00F4320F">
      <w:r>
        <w:separator/>
      </w:r>
    </w:p>
  </w:footnote>
  <w:footnote w:type="continuationSeparator" w:id="0">
    <w:p w:rsidR="00F4320F" w:rsidRDefault="00F4320F">
      <w:r>
        <w:continuationSeparator/>
      </w:r>
    </w:p>
  </w:footnote>
  <w:footnote w:id="1">
    <w:p w:rsidR="00296288" w:rsidRPr="002937FB" w:rsidRDefault="00296288" w:rsidP="00296288">
      <w:pPr>
        <w:pStyle w:val="FootnoteText"/>
      </w:pPr>
      <w:r w:rsidRPr="002937FB">
        <w:rPr>
          <w:rStyle w:val="FootnoteReference"/>
        </w:rPr>
        <w:footnoteRef/>
      </w:r>
      <w:r w:rsidRPr="002937FB">
        <w:t xml:space="preserve"> </w:t>
      </w:r>
      <w:r w:rsidRPr="002937FB">
        <w:tab/>
        <w:t xml:space="preserve">I note that the Answer is not available in the Commission’s </w:t>
      </w:r>
      <w:proofErr w:type="spellStart"/>
      <w:r w:rsidRPr="002937FB">
        <w:t>InfoMAP</w:t>
      </w:r>
      <w:proofErr w:type="spellEnd"/>
      <w:r w:rsidRPr="002937FB">
        <w:t xml:space="preserve"> document tracking system.</w:t>
      </w:r>
    </w:p>
    <w:p w:rsidR="00296288" w:rsidRPr="002937FB" w:rsidRDefault="00296288" w:rsidP="00296288">
      <w:pPr>
        <w:pStyle w:val="FootnoteText"/>
      </w:pPr>
    </w:p>
  </w:footnote>
  <w:footnote w:id="2">
    <w:p w:rsidR="00296288" w:rsidRPr="002937FB" w:rsidRDefault="00296288" w:rsidP="00296288">
      <w:pPr>
        <w:pStyle w:val="FootnoteText"/>
      </w:pPr>
      <w:r w:rsidRPr="002937FB">
        <w:rPr>
          <w:rStyle w:val="FootnoteReference"/>
        </w:rPr>
        <w:footnoteRef/>
      </w:r>
      <w:r w:rsidRPr="002937FB">
        <w:t xml:space="preserve"> </w:t>
      </w:r>
      <w:r w:rsidRPr="002937FB">
        <w:tab/>
        <w:t xml:space="preserve">Effective August 11, 2011, the Bureau of Investigation and Enforcement became the successor to BTS’ motor carrier enforcement division.  </w:t>
      </w:r>
      <w:r w:rsidRPr="002937FB">
        <w:rPr>
          <w:i/>
        </w:rPr>
        <w:t>See Implementation of Act 129 of 2008 Organization of Bureaus and Offices</w:t>
      </w:r>
      <w:r w:rsidRPr="002937FB">
        <w:t>, Docket No. M-2008-2071852 (Order entered August 11, 2011).</w:t>
      </w:r>
    </w:p>
    <w:p w:rsidR="00296288" w:rsidRPr="002937FB" w:rsidRDefault="00296288" w:rsidP="00296288">
      <w:pPr>
        <w:pStyle w:val="FootnoteText"/>
      </w:pPr>
    </w:p>
  </w:footnote>
  <w:footnote w:id="3">
    <w:p w:rsidR="00296288" w:rsidRDefault="00296288" w:rsidP="00296288">
      <w:pPr>
        <w:pStyle w:val="FootnoteText"/>
      </w:pPr>
      <w:r>
        <w:rPr>
          <w:rStyle w:val="FootnoteReference"/>
        </w:rPr>
        <w:footnoteRef/>
      </w:r>
      <w:r>
        <w:t xml:space="preserve"> </w:t>
      </w:r>
      <w:r>
        <w:tab/>
        <w:t xml:space="preserve">It seems that the Respondent has altered the spelling of his firm’s name since his prior cases before the Commission in 1992 and 1995.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EE1"/>
    <w:multiLevelType w:val="hybridMultilevel"/>
    <w:tmpl w:val="A3103A7C"/>
    <w:lvl w:ilvl="0" w:tplc="C2060C5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873B76"/>
    <w:multiLevelType w:val="hybridMultilevel"/>
    <w:tmpl w:val="9C3C4FAC"/>
    <w:lvl w:ilvl="0" w:tplc="8A2AFF1A">
      <w:start w:val="26"/>
      <w:numFmt w:val="decimal"/>
      <w:lvlText w:val="%1."/>
      <w:lvlJc w:val="left"/>
      <w:pPr>
        <w:tabs>
          <w:tab w:val="num" w:pos="720"/>
        </w:tabs>
        <w:ind w:left="0" w:firstLine="144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892FC0"/>
    <w:multiLevelType w:val="hybridMultilevel"/>
    <w:tmpl w:val="746CB72E"/>
    <w:lvl w:ilvl="0" w:tplc="D7D22D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446242"/>
    <w:multiLevelType w:val="hybridMultilevel"/>
    <w:tmpl w:val="F8DA5DEE"/>
    <w:lvl w:ilvl="0" w:tplc="D7D22D80">
      <w:start w:val="9"/>
      <w:numFmt w:val="decimal"/>
      <w:lvlText w:val="%1."/>
      <w:lvlJc w:val="left"/>
      <w:pPr>
        <w:tabs>
          <w:tab w:val="num" w:pos="1440"/>
        </w:tabs>
        <w:ind w:left="1440" w:hanging="720"/>
      </w:pPr>
      <w:rPr>
        <w:rFonts w:hint="default"/>
      </w:rPr>
    </w:lvl>
    <w:lvl w:ilvl="1" w:tplc="0409000F">
      <w:start w:val="1"/>
      <w:numFmt w:val="decimal"/>
      <w:lvlText w:val="%2."/>
      <w:lvlJc w:val="left"/>
      <w:pPr>
        <w:tabs>
          <w:tab w:val="num" w:pos="1440"/>
        </w:tabs>
        <w:ind w:left="1440" w:hanging="360"/>
      </w:pPr>
      <w:rPr>
        <w:rFonts w:hint="default"/>
      </w:rPr>
    </w:lvl>
    <w:lvl w:ilvl="2" w:tplc="050AADD4">
      <w:start w:val="1"/>
      <w:numFmt w:val="upperLetter"/>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B11097"/>
    <w:multiLevelType w:val="hybridMultilevel"/>
    <w:tmpl w:val="13782548"/>
    <w:lvl w:ilvl="0" w:tplc="F5B491A2">
      <w:start w:val="14"/>
      <w:numFmt w:val="decimal"/>
      <w:lvlText w:val="%1."/>
      <w:lvlJc w:val="left"/>
      <w:pPr>
        <w:tabs>
          <w:tab w:val="num" w:pos="720"/>
        </w:tabs>
        <w:ind w:left="0" w:firstLine="1440"/>
      </w:pPr>
      <w:rPr>
        <w:rFonts w:ascii="Times New Roman" w:hAnsi="Times New Roman" w:hint="default"/>
        <w:sz w:val="24"/>
        <w:szCs w:val="24"/>
      </w:rPr>
    </w:lvl>
    <w:lvl w:ilvl="1" w:tplc="92181F74">
      <w:start w:val="4"/>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1666AD"/>
    <w:multiLevelType w:val="hybridMultilevel"/>
    <w:tmpl w:val="A5AAECBA"/>
    <w:lvl w:ilvl="0" w:tplc="04090019">
      <w:start w:val="1"/>
      <w:numFmt w:val="lowerLetter"/>
      <w:lvlText w:val="%1."/>
      <w:lvlJc w:val="left"/>
      <w:pPr>
        <w:tabs>
          <w:tab w:val="num" w:pos="2520"/>
        </w:tabs>
        <w:ind w:left="2520" w:hanging="360"/>
      </w:pPr>
    </w:lvl>
    <w:lvl w:ilvl="1" w:tplc="61626504">
      <w:start w:val="4"/>
      <w:numFmt w:val="decimal"/>
      <w:lvlText w:val="%2."/>
      <w:lvlJc w:val="left"/>
      <w:pPr>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CA22F076">
      <w:start w:val="1"/>
      <w:numFmt w:val="lowerLetter"/>
      <w:lvlText w:val="%5."/>
      <w:lvlJc w:val="left"/>
      <w:pPr>
        <w:tabs>
          <w:tab w:val="num" w:pos="1800"/>
        </w:tabs>
        <w:ind w:left="1800" w:hanging="360"/>
      </w:pPr>
      <w:rPr>
        <w:rFonts w:hint="default"/>
      </w:r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456B629B"/>
    <w:multiLevelType w:val="multilevel"/>
    <w:tmpl w:val="71AEA7B8"/>
    <w:name w:val="zzmpPleading2||Pleading2|2|1|1|1|0|45||1|0|32||1|0|32||1|0|32||1|0|32||1|0|32||1|0|32||1|0|32||1|0|32||"/>
    <w:lvl w:ilvl="0">
      <w:start w:val="3"/>
      <w:numFmt w:val="upperRoman"/>
      <w:lvlText w:val="%1."/>
      <w:lvlJc w:val="center"/>
      <w:pPr>
        <w:tabs>
          <w:tab w:val="num" w:pos="360"/>
        </w:tabs>
        <w:ind w:left="180" w:hanging="180"/>
      </w:pPr>
      <w:rPr>
        <w:rFonts w:hint="default"/>
        <w:b w:val="0"/>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160"/>
        </w:tabs>
        <w:ind w:left="14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7">
    <w:nsid w:val="52FC5CF3"/>
    <w:multiLevelType w:val="hybridMultilevel"/>
    <w:tmpl w:val="5920B930"/>
    <w:lvl w:ilvl="0" w:tplc="2E4A2638">
      <w:start w:val="1"/>
      <w:numFmt w:val="decimal"/>
      <w:lvlText w:val="%1."/>
      <w:lvlJc w:val="left"/>
      <w:pPr>
        <w:tabs>
          <w:tab w:val="num" w:pos="1080"/>
        </w:tabs>
        <w:ind w:left="0" w:firstLine="720"/>
      </w:pPr>
      <w:rPr>
        <w:rFonts w:ascii="Times New Roman" w:hAnsi="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7"/>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0A69"/>
    <w:rsid w:val="000007D8"/>
    <w:rsid w:val="0000235B"/>
    <w:rsid w:val="00002894"/>
    <w:rsid w:val="00002A15"/>
    <w:rsid w:val="0000308A"/>
    <w:rsid w:val="00005A87"/>
    <w:rsid w:val="00010E8E"/>
    <w:rsid w:val="000133BF"/>
    <w:rsid w:val="00013DB9"/>
    <w:rsid w:val="000164AE"/>
    <w:rsid w:val="00021009"/>
    <w:rsid w:val="00021ACA"/>
    <w:rsid w:val="00022F41"/>
    <w:rsid w:val="0002403B"/>
    <w:rsid w:val="00031517"/>
    <w:rsid w:val="00031AB1"/>
    <w:rsid w:val="0003703E"/>
    <w:rsid w:val="000506CC"/>
    <w:rsid w:val="00052E00"/>
    <w:rsid w:val="00053876"/>
    <w:rsid w:val="00056C15"/>
    <w:rsid w:val="00060C62"/>
    <w:rsid w:val="00061C90"/>
    <w:rsid w:val="00062745"/>
    <w:rsid w:val="000644C8"/>
    <w:rsid w:val="00066BD9"/>
    <w:rsid w:val="0007068B"/>
    <w:rsid w:val="000721A7"/>
    <w:rsid w:val="00076498"/>
    <w:rsid w:val="00080770"/>
    <w:rsid w:val="00082AE5"/>
    <w:rsid w:val="00084DC8"/>
    <w:rsid w:val="00086381"/>
    <w:rsid w:val="00086D28"/>
    <w:rsid w:val="000911D0"/>
    <w:rsid w:val="00091425"/>
    <w:rsid w:val="0009326C"/>
    <w:rsid w:val="000941FA"/>
    <w:rsid w:val="00096002"/>
    <w:rsid w:val="000A2AB8"/>
    <w:rsid w:val="000B41FF"/>
    <w:rsid w:val="000B5AB5"/>
    <w:rsid w:val="000C3FC8"/>
    <w:rsid w:val="000D1895"/>
    <w:rsid w:val="000D4BF7"/>
    <w:rsid w:val="000D5396"/>
    <w:rsid w:val="000D5D9B"/>
    <w:rsid w:val="000E3E11"/>
    <w:rsid w:val="000E55FA"/>
    <w:rsid w:val="000E726D"/>
    <w:rsid w:val="000F127E"/>
    <w:rsid w:val="000F19D8"/>
    <w:rsid w:val="000F6C3A"/>
    <w:rsid w:val="00103D43"/>
    <w:rsid w:val="001042CF"/>
    <w:rsid w:val="001078A7"/>
    <w:rsid w:val="001112A4"/>
    <w:rsid w:val="001168D3"/>
    <w:rsid w:val="00120B3D"/>
    <w:rsid w:val="00140C8F"/>
    <w:rsid w:val="0014205C"/>
    <w:rsid w:val="00143209"/>
    <w:rsid w:val="00146CF5"/>
    <w:rsid w:val="001519A2"/>
    <w:rsid w:val="00153032"/>
    <w:rsid w:val="00155810"/>
    <w:rsid w:val="001603AA"/>
    <w:rsid w:val="00160459"/>
    <w:rsid w:val="00164C05"/>
    <w:rsid w:val="00165F09"/>
    <w:rsid w:val="00167C84"/>
    <w:rsid w:val="001753F0"/>
    <w:rsid w:val="00181657"/>
    <w:rsid w:val="001860C5"/>
    <w:rsid w:val="001902B4"/>
    <w:rsid w:val="0019169D"/>
    <w:rsid w:val="001A0F6B"/>
    <w:rsid w:val="001A57BB"/>
    <w:rsid w:val="001B38EC"/>
    <w:rsid w:val="001B4624"/>
    <w:rsid w:val="001B464F"/>
    <w:rsid w:val="001B54EB"/>
    <w:rsid w:val="001C3F56"/>
    <w:rsid w:val="001C43DF"/>
    <w:rsid w:val="001C47C9"/>
    <w:rsid w:val="001C532C"/>
    <w:rsid w:val="001D21B3"/>
    <w:rsid w:val="001D24AE"/>
    <w:rsid w:val="001D27B5"/>
    <w:rsid w:val="001E2338"/>
    <w:rsid w:val="001E6BE6"/>
    <w:rsid w:val="001E7FB2"/>
    <w:rsid w:val="001F212D"/>
    <w:rsid w:val="00204D0E"/>
    <w:rsid w:val="00206919"/>
    <w:rsid w:val="00207B94"/>
    <w:rsid w:val="00210EA2"/>
    <w:rsid w:val="0021296A"/>
    <w:rsid w:val="00225F9F"/>
    <w:rsid w:val="00226048"/>
    <w:rsid w:val="00230F8E"/>
    <w:rsid w:val="00237568"/>
    <w:rsid w:val="0024433B"/>
    <w:rsid w:val="002450C9"/>
    <w:rsid w:val="002512CF"/>
    <w:rsid w:val="00253A48"/>
    <w:rsid w:val="0026412B"/>
    <w:rsid w:val="00272A64"/>
    <w:rsid w:val="00273FEB"/>
    <w:rsid w:val="0027541F"/>
    <w:rsid w:val="0028156E"/>
    <w:rsid w:val="00282E4F"/>
    <w:rsid w:val="00286805"/>
    <w:rsid w:val="002937FB"/>
    <w:rsid w:val="00296288"/>
    <w:rsid w:val="002A1E10"/>
    <w:rsid w:val="002A1FE1"/>
    <w:rsid w:val="002A7E88"/>
    <w:rsid w:val="002B1224"/>
    <w:rsid w:val="002B21C2"/>
    <w:rsid w:val="002B2655"/>
    <w:rsid w:val="002B3F52"/>
    <w:rsid w:val="002C1325"/>
    <w:rsid w:val="002C2009"/>
    <w:rsid w:val="002C237E"/>
    <w:rsid w:val="002C2E35"/>
    <w:rsid w:val="002C2FE7"/>
    <w:rsid w:val="002C5E53"/>
    <w:rsid w:val="002D1264"/>
    <w:rsid w:val="002D51DF"/>
    <w:rsid w:val="002D75FB"/>
    <w:rsid w:val="002E1FCE"/>
    <w:rsid w:val="002E4C19"/>
    <w:rsid w:val="002E575A"/>
    <w:rsid w:val="002F28A8"/>
    <w:rsid w:val="002F3212"/>
    <w:rsid w:val="002F327E"/>
    <w:rsid w:val="002F48FC"/>
    <w:rsid w:val="002F543E"/>
    <w:rsid w:val="002F5C8D"/>
    <w:rsid w:val="002F6885"/>
    <w:rsid w:val="002F70C7"/>
    <w:rsid w:val="0030142A"/>
    <w:rsid w:val="003039A9"/>
    <w:rsid w:val="003049E5"/>
    <w:rsid w:val="00304FB0"/>
    <w:rsid w:val="00305BEC"/>
    <w:rsid w:val="003067F3"/>
    <w:rsid w:val="003074D5"/>
    <w:rsid w:val="00307B4C"/>
    <w:rsid w:val="003105B1"/>
    <w:rsid w:val="00313383"/>
    <w:rsid w:val="003163D9"/>
    <w:rsid w:val="00326B12"/>
    <w:rsid w:val="00331A15"/>
    <w:rsid w:val="0033257B"/>
    <w:rsid w:val="0033391A"/>
    <w:rsid w:val="003343CF"/>
    <w:rsid w:val="003355B1"/>
    <w:rsid w:val="00341287"/>
    <w:rsid w:val="00343CA9"/>
    <w:rsid w:val="0035364D"/>
    <w:rsid w:val="00355BF1"/>
    <w:rsid w:val="00357E43"/>
    <w:rsid w:val="00371351"/>
    <w:rsid w:val="003750FB"/>
    <w:rsid w:val="00375C32"/>
    <w:rsid w:val="003764A2"/>
    <w:rsid w:val="00376C83"/>
    <w:rsid w:val="003834CA"/>
    <w:rsid w:val="0038467C"/>
    <w:rsid w:val="00385876"/>
    <w:rsid w:val="00393199"/>
    <w:rsid w:val="003A07DE"/>
    <w:rsid w:val="003A0B93"/>
    <w:rsid w:val="003A4014"/>
    <w:rsid w:val="003B2C95"/>
    <w:rsid w:val="003B3B28"/>
    <w:rsid w:val="003B6D64"/>
    <w:rsid w:val="003B7642"/>
    <w:rsid w:val="003C2B32"/>
    <w:rsid w:val="003C5824"/>
    <w:rsid w:val="003C726A"/>
    <w:rsid w:val="003D0209"/>
    <w:rsid w:val="003D1E21"/>
    <w:rsid w:val="003D54D9"/>
    <w:rsid w:val="003D7391"/>
    <w:rsid w:val="003E0556"/>
    <w:rsid w:val="003E228E"/>
    <w:rsid w:val="003F3BF1"/>
    <w:rsid w:val="003F58EC"/>
    <w:rsid w:val="003F6AA0"/>
    <w:rsid w:val="003F7F3B"/>
    <w:rsid w:val="00402A59"/>
    <w:rsid w:val="0040413E"/>
    <w:rsid w:val="004120B4"/>
    <w:rsid w:val="004126B4"/>
    <w:rsid w:val="00413047"/>
    <w:rsid w:val="00413C7B"/>
    <w:rsid w:val="004144D8"/>
    <w:rsid w:val="00415143"/>
    <w:rsid w:val="004206A8"/>
    <w:rsid w:val="0042440E"/>
    <w:rsid w:val="00430900"/>
    <w:rsid w:val="00432143"/>
    <w:rsid w:val="00434A0E"/>
    <w:rsid w:val="00444CD4"/>
    <w:rsid w:val="00444FC6"/>
    <w:rsid w:val="00445444"/>
    <w:rsid w:val="00445DEF"/>
    <w:rsid w:val="00446824"/>
    <w:rsid w:val="00455056"/>
    <w:rsid w:val="00460CAE"/>
    <w:rsid w:val="004646B2"/>
    <w:rsid w:val="00466E96"/>
    <w:rsid w:val="00467538"/>
    <w:rsid w:val="00467918"/>
    <w:rsid w:val="00472851"/>
    <w:rsid w:val="00477293"/>
    <w:rsid w:val="0048173E"/>
    <w:rsid w:val="00481BAB"/>
    <w:rsid w:val="0048216C"/>
    <w:rsid w:val="00485A2D"/>
    <w:rsid w:val="004943AE"/>
    <w:rsid w:val="0049459F"/>
    <w:rsid w:val="00494E59"/>
    <w:rsid w:val="0049553A"/>
    <w:rsid w:val="00497287"/>
    <w:rsid w:val="004A3EB6"/>
    <w:rsid w:val="004B4893"/>
    <w:rsid w:val="004C1464"/>
    <w:rsid w:val="004C329C"/>
    <w:rsid w:val="004C6E56"/>
    <w:rsid w:val="004D1B72"/>
    <w:rsid w:val="004E74A8"/>
    <w:rsid w:val="004E77CE"/>
    <w:rsid w:val="004E7C71"/>
    <w:rsid w:val="004F0156"/>
    <w:rsid w:val="004F5CBF"/>
    <w:rsid w:val="00504BF8"/>
    <w:rsid w:val="005129F6"/>
    <w:rsid w:val="00515ED8"/>
    <w:rsid w:val="005175A0"/>
    <w:rsid w:val="00517DC3"/>
    <w:rsid w:val="00520548"/>
    <w:rsid w:val="00520E3F"/>
    <w:rsid w:val="005217C0"/>
    <w:rsid w:val="005217E9"/>
    <w:rsid w:val="00523AF6"/>
    <w:rsid w:val="00532420"/>
    <w:rsid w:val="00534572"/>
    <w:rsid w:val="00535C0F"/>
    <w:rsid w:val="00541393"/>
    <w:rsid w:val="00542A68"/>
    <w:rsid w:val="00544424"/>
    <w:rsid w:val="005450FB"/>
    <w:rsid w:val="00547E7B"/>
    <w:rsid w:val="00550EBD"/>
    <w:rsid w:val="00555080"/>
    <w:rsid w:val="00556F82"/>
    <w:rsid w:val="0055724C"/>
    <w:rsid w:val="005605A3"/>
    <w:rsid w:val="005617D6"/>
    <w:rsid w:val="005633CC"/>
    <w:rsid w:val="005654A9"/>
    <w:rsid w:val="00565C9D"/>
    <w:rsid w:val="00567869"/>
    <w:rsid w:val="00567E05"/>
    <w:rsid w:val="00575D69"/>
    <w:rsid w:val="00576762"/>
    <w:rsid w:val="005779BF"/>
    <w:rsid w:val="00581B55"/>
    <w:rsid w:val="0058375D"/>
    <w:rsid w:val="00583955"/>
    <w:rsid w:val="005857CA"/>
    <w:rsid w:val="0058623F"/>
    <w:rsid w:val="00590EFE"/>
    <w:rsid w:val="00591AC4"/>
    <w:rsid w:val="00594CAE"/>
    <w:rsid w:val="00595241"/>
    <w:rsid w:val="005974E2"/>
    <w:rsid w:val="005979AA"/>
    <w:rsid w:val="005A40F3"/>
    <w:rsid w:val="005B099E"/>
    <w:rsid w:val="005B473C"/>
    <w:rsid w:val="005B6426"/>
    <w:rsid w:val="005C11AF"/>
    <w:rsid w:val="005C5EF8"/>
    <w:rsid w:val="005C73FB"/>
    <w:rsid w:val="005C7454"/>
    <w:rsid w:val="005D4DD7"/>
    <w:rsid w:val="005D5D9F"/>
    <w:rsid w:val="005E7E24"/>
    <w:rsid w:val="005F653D"/>
    <w:rsid w:val="006014E0"/>
    <w:rsid w:val="006058D9"/>
    <w:rsid w:val="00607178"/>
    <w:rsid w:val="00615FD7"/>
    <w:rsid w:val="00623FB1"/>
    <w:rsid w:val="00635FBF"/>
    <w:rsid w:val="00652035"/>
    <w:rsid w:val="0065438C"/>
    <w:rsid w:val="00655B7E"/>
    <w:rsid w:val="00660DD1"/>
    <w:rsid w:val="0066183C"/>
    <w:rsid w:val="0066493C"/>
    <w:rsid w:val="00673B73"/>
    <w:rsid w:val="00673F87"/>
    <w:rsid w:val="00675387"/>
    <w:rsid w:val="0068078E"/>
    <w:rsid w:val="006817FB"/>
    <w:rsid w:val="0068604F"/>
    <w:rsid w:val="006860B1"/>
    <w:rsid w:val="006872BB"/>
    <w:rsid w:val="0069582F"/>
    <w:rsid w:val="006A1437"/>
    <w:rsid w:val="006A1ED2"/>
    <w:rsid w:val="006A2AD4"/>
    <w:rsid w:val="006A2FD3"/>
    <w:rsid w:val="006A5E15"/>
    <w:rsid w:val="006B03AB"/>
    <w:rsid w:val="006B10F8"/>
    <w:rsid w:val="006C00D6"/>
    <w:rsid w:val="006C202B"/>
    <w:rsid w:val="006C43B6"/>
    <w:rsid w:val="006C6AA9"/>
    <w:rsid w:val="006E2C03"/>
    <w:rsid w:val="006F0D47"/>
    <w:rsid w:val="006F47FA"/>
    <w:rsid w:val="006F4DF0"/>
    <w:rsid w:val="006F7E19"/>
    <w:rsid w:val="00701DD4"/>
    <w:rsid w:val="00706EF5"/>
    <w:rsid w:val="00710D67"/>
    <w:rsid w:val="007201DF"/>
    <w:rsid w:val="007229EC"/>
    <w:rsid w:val="0072527E"/>
    <w:rsid w:val="0072529C"/>
    <w:rsid w:val="007263B9"/>
    <w:rsid w:val="007335DD"/>
    <w:rsid w:val="00735ED6"/>
    <w:rsid w:val="00736503"/>
    <w:rsid w:val="007423A9"/>
    <w:rsid w:val="00743D70"/>
    <w:rsid w:val="007461AC"/>
    <w:rsid w:val="00752524"/>
    <w:rsid w:val="0075260C"/>
    <w:rsid w:val="0075673A"/>
    <w:rsid w:val="007567D3"/>
    <w:rsid w:val="00760C92"/>
    <w:rsid w:val="00764343"/>
    <w:rsid w:val="00767539"/>
    <w:rsid w:val="00772B17"/>
    <w:rsid w:val="00782D74"/>
    <w:rsid w:val="00783087"/>
    <w:rsid w:val="007856C4"/>
    <w:rsid w:val="00790184"/>
    <w:rsid w:val="00791D0E"/>
    <w:rsid w:val="007A0A69"/>
    <w:rsid w:val="007A16F6"/>
    <w:rsid w:val="007A3F27"/>
    <w:rsid w:val="007A6373"/>
    <w:rsid w:val="007A644F"/>
    <w:rsid w:val="007B0092"/>
    <w:rsid w:val="007B1572"/>
    <w:rsid w:val="007B165B"/>
    <w:rsid w:val="007B194F"/>
    <w:rsid w:val="007B1A75"/>
    <w:rsid w:val="007B282A"/>
    <w:rsid w:val="007B32EE"/>
    <w:rsid w:val="007C00F5"/>
    <w:rsid w:val="007C0461"/>
    <w:rsid w:val="007D257A"/>
    <w:rsid w:val="007D29EE"/>
    <w:rsid w:val="007D430C"/>
    <w:rsid w:val="007E470E"/>
    <w:rsid w:val="007F25D8"/>
    <w:rsid w:val="007F312D"/>
    <w:rsid w:val="007F553A"/>
    <w:rsid w:val="007F710C"/>
    <w:rsid w:val="007F73A6"/>
    <w:rsid w:val="007F78EC"/>
    <w:rsid w:val="00800028"/>
    <w:rsid w:val="00811A7A"/>
    <w:rsid w:val="008139D7"/>
    <w:rsid w:val="00813D9D"/>
    <w:rsid w:val="0081696C"/>
    <w:rsid w:val="00820C38"/>
    <w:rsid w:val="008217B5"/>
    <w:rsid w:val="008229F6"/>
    <w:rsid w:val="008277C8"/>
    <w:rsid w:val="0083146F"/>
    <w:rsid w:val="00832570"/>
    <w:rsid w:val="00834B56"/>
    <w:rsid w:val="00841B4C"/>
    <w:rsid w:val="008427DB"/>
    <w:rsid w:val="00843573"/>
    <w:rsid w:val="0084456E"/>
    <w:rsid w:val="00845CDB"/>
    <w:rsid w:val="008478A4"/>
    <w:rsid w:val="008519BB"/>
    <w:rsid w:val="00853602"/>
    <w:rsid w:val="00857FD5"/>
    <w:rsid w:val="0086518F"/>
    <w:rsid w:val="008721B3"/>
    <w:rsid w:val="00872578"/>
    <w:rsid w:val="00876E00"/>
    <w:rsid w:val="008778FA"/>
    <w:rsid w:val="00880988"/>
    <w:rsid w:val="00881843"/>
    <w:rsid w:val="0088541D"/>
    <w:rsid w:val="00890589"/>
    <w:rsid w:val="00891ECA"/>
    <w:rsid w:val="00893605"/>
    <w:rsid w:val="0089405E"/>
    <w:rsid w:val="008A10CD"/>
    <w:rsid w:val="008A2272"/>
    <w:rsid w:val="008A7917"/>
    <w:rsid w:val="008A7DB4"/>
    <w:rsid w:val="008B0EA5"/>
    <w:rsid w:val="008B632E"/>
    <w:rsid w:val="008C524A"/>
    <w:rsid w:val="008D6AB0"/>
    <w:rsid w:val="008E0980"/>
    <w:rsid w:val="008E15B5"/>
    <w:rsid w:val="008E2CE0"/>
    <w:rsid w:val="008E5989"/>
    <w:rsid w:val="008E5F06"/>
    <w:rsid w:val="008F06FF"/>
    <w:rsid w:val="0090265A"/>
    <w:rsid w:val="00902FDF"/>
    <w:rsid w:val="009068D4"/>
    <w:rsid w:val="009078B7"/>
    <w:rsid w:val="00910695"/>
    <w:rsid w:val="0091162B"/>
    <w:rsid w:val="00912FF4"/>
    <w:rsid w:val="00916885"/>
    <w:rsid w:val="00917EFD"/>
    <w:rsid w:val="00920AA3"/>
    <w:rsid w:val="0092185B"/>
    <w:rsid w:val="0092212A"/>
    <w:rsid w:val="00923A3F"/>
    <w:rsid w:val="00926CCB"/>
    <w:rsid w:val="00937EE4"/>
    <w:rsid w:val="00940BF1"/>
    <w:rsid w:val="0094141C"/>
    <w:rsid w:val="00941A97"/>
    <w:rsid w:val="00950999"/>
    <w:rsid w:val="00954C64"/>
    <w:rsid w:val="00956FCB"/>
    <w:rsid w:val="00963B0C"/>
    <w:rsid w:val="0096565E"/>
    <w:rsid w:val="00965869"/>
    <w:rsid w:val="009659A8"/>
    <w:rsid w:val="00967588"/>
    <w:rsid w:val="00967FB6"/>
    <w:rsid w:val="009700A1"/>
    <w:rsid w:val="009732E5"/>
    <w:rsid w:val="00977213"/>
    <w:rsid w:val="00984610"/>
    <w:rsid w:val="00990EE0"/>
    <w:rsid w:val="0099252E"/>
    <w:rsid w:val="009B2075"/>
    <w:rsid w:val="009B62A9"/>
    <w:rsid w:val="009C1258"/>
    <w:rsid w:val="009C74EE"/>
    <w:rsid w:val="009D06D5"/>
    <w:rsid w:val="009D0F58"/>
    <w:rsid w:val="009D1322"/>
    <w:rsid w:val="009D1682"/>
    <w:rsid w:val="009D5AB2"/>
    <w:rsid w:val="009F17E9"/>
    <w:rsid w:val="009F262B"/>
    <w:rsid w:val="009F44D4"/>
    <w:rsid w:val="009F6261"/>
    <w:rsid w:val="00A02975"/>
    <w:rsid w:val="00A045EF"/>
    <w:rsid w:val="00A07FC3"/>
    <w:rsid w:val="00A12C03"/>
    <w:rsid w:val="00A161CD"/>
    <w:rsid w:val="00A20114"/>
    <w:rsid w:val="00A201FB"/>
    <w:rsid w:val="00A27F36"/>
    <w:rsid w:val="00A3337D"/>
    <w:rsid w:val="00A35B13"/>
    <w:rsid w:val="00A36A14"/>
    <w:rsid w:val="00A40095"/>
    <w:rsid w:val="00A41905"/>
    <w:rsid w:val="00A45646"/>
    <w:rsid w:val="00A459E0"/>
    <w:rsid w:val="00A518F7"/>
    <w:rsid w:val="00A52F94"/>
    <w:rsid w:val="00A563D7"/>
    <w:rsid w:val="00A67CF5"/>
    <w:rsid w:val="00A70B82"/>
    <w:rsid w:val="00A75145"/>
    <w:rsid w:val="00A75719"/>
    <w:rsid w:val="00A82F39"/>
    <w:rsid w:val="00A83BAE"/>
    <w:rsid w:val="00A90108"/>
    <w:rsid w:val="00A91733"/>
    <w:rsid w:val="00A91BD4"/>
    <w:rsid w:val="00A92215"/>
    <w:rsid w:val="00A92E9A"/>
    <w:rsid w:val="00A95153"/>
    <w:rsid w:val="00AA1661"/>
    <w:rsid w:val="00AA5E3B"/>
    <w:rsid w:val="00AA6206"/>
    <w:rsid w:val="00AA6C1A"/>
    <w:rsid w:val="00AB0DB8"/>
    <w:rsid w:val="00AB5A8A"/>
    <w:rsid w:val="00AC4A71"/>
    <w:rsid w:val="00AD24F9"/>
    <w:rsid w:val="00AE3992"/>
    <w:rsid w:val="00AF014A"/>
    <w:rsid w:val="00AF02A6"/>
    <w:rsid w:val="00AF4730"/>
    <w:rsid w:val="00AF6F95"/>
    <w:rsid w:val="00AF78F3"/>
    <w:rsid w:val="00B00A38"/>
    <w:rsid w:val="00B01464"/>
    <w:rsid w:val="00B026D0"/>
    <w:rsid w:val="00B041AB"/>
    <w:rsid w:val="00B04998"/>
    <w:rsid w:val="00B05AC7"/>
    <w:rsid w:val="00B11605"/>
    <w:rsid w:val="00B140EC"/>
    <w:rsid w:val="00B14124"/>
    <w:rsid w:val="00B14C4A"/>
    <w:rsid w:val="00B17E5D"/>
    <w:rsid w:val="00B21659"/>
    <w:rsid w:val="00B22CC6"/>
    <w:rsid w:val="00B2705D"/>
    <w:rsid w:val="00B31A87"/>
    <w:rsid w:val="00B328D9"/>
    <w:rsid w:val="00B36174"/>
    <w:rsid w:val="00B37938"/>
    <w:rsid w:val="00B40964"/>
    <w:rsid w:val="00B4379B"/>
    <w:rsid w:val="00B44B21"/>
    <w:rsid w:val="00B47364"/>
    <w:rsid w:val="00B4761C"/>
    <w:rsid w:val="00B5362F"/>
    <w:rsid w:val="00B536AA"/>
    <w:rsid w:val="00B53FC4"/>
    <w:rsid w:val="00B6558B"/>
    <w:rsid w:val="00B778D4"/>
    <w:rsid w:val="00B82854"/>
    <w:rsid w:val="00B83B4C"/>
    <w:rsid w:val="00B8481F"/>
    <w:rsid w:val="00B8596E"/>
    <w:rsid w:val="00B932A3"/>
    <w:rsid w:val="00BA336D"/>
    <w:rsid w:val="00BA60E2"/>
    <w:rsid w:val="00BB2292"/>
    <w:rsid w:val="00BB2C94"/>
    <w:rsid w:val="00BB3122"/>
    <w:rsid w:val="00BC364B"/>
    <w:rsid w:val="00BC3F88"/>
    <w:rsid w:val="00BC411D"/>
    <w:rsid w:val="00BC4B48"/>
    <w:rsid w:val="00BC637B"/>
    <w:rsid w:val="00BD0301"/>
    <w:rsid w:val="00BD4834"/>
    <w:rsid w:val="00BD6AC5"/>
    <w:rsid w:val="00BE38E1"/>
    <w:rsid w:val="00BE4940"/>
    <w:rsid w:val="00BE4D8A"/>
    <w:rsid w:val="00BE4E4D"/>
    <w:rsid w:val="00BE7164"/>
    <w:rsid w:val="00BF105E"/>
    <w:rsid w:val="00BF272B"/>
    <w:rsid w:val="00BF31BF"/>
    <w:rsid w:val="00BF4585"/>
    <w:rsid w:val="00BF49DE"/>
    <w:rsid w:val="00BF4EB8"/>
    <w:rsid w:val="00BF5637"/>
    <w:rsid w:val="00C045F4"/>
    <w:rsid w:val="00C13AE0"/>
    <w:rsid w:val="00C14B05"/>
    <w:rsid w:val="00C15D4D"/>
    <w:rsid w:val="00C16C6D"/>
    <w:rsid w:val="00C25477"/>
    <w:rsid w:val="00C33822"/>
    <w:rsid w:val="00C3412F"/>
    <w:rsid w:val="00C3438F"/>
    <w:rsid w:val="00C34A77"/>
    <w:rsid w:val="00C34C88"/>
    <w:rsid w:val="00C35484"/>
    <w:rsid w:val="00C36BF6"/>
    <w:rsid w:val="00C43742"/>
    <w:rsid w:val="00C45547"/>
    <w:rsid w:val="00C51B3D"/>
    <w:rsid w:val="00C5218E"/>
    <w:rsid w:val="00C523BE"/>
    <w:rsid w:val="00C64267"/>
    <w:rsid w:val="00C80378"/>
    <w:rsid w:val="00C84495"/>
    <w:rsid w:val="00C85212"/>
    <w:rsid w:val="00C85EDF"/>
    <w:rsid w:val="00C860E6"/>
    <w:rsid w:val="00C863B8"/>
    <w:rsid w:val="00C947A2"/>
    <w:rsid w:val="00CA32F8"/>
    <w:rsid w:val="00CA4E0A"/>
    <w:rsid w:val="00CA5E04"/>
    <w:rsid w:val="00CA7E2A"/>
    <w:rsid w:val="00CB1766"/>
    <w:rsid w:val="00CB1B44"/>
    <w:rsid w:val="00CB34C5"/>
    <w:rsid w:val="00CB4699"/>
    <w:rsid w:val="00CC083C"/>
    <w:rsid w:val="00CC0E9C"/>
    <w:rsid w:val="00CC6DD6"/>
    <w:rsid w:val="00CE2ABC"/>
    <w:rsid w:val="00CE4908"/>
    <w:rsid w:val="00CE767B"/>
    <w:rsid w:val="00CE7A3C"/>
    <w:rsid w:val="00CF1E7D"/>
    <w:rsid w:val="00CF2C06"/>
    <w:rsid w:val="00D04611"/>
    <w:rsid w:val="00D05CBD"/>
    <w:rsid w:val="00D12A31"/>
    <w:rsid w:val="00D139C8"/>
    <w:rsid w:val="00D14F2F"/>
    <w:rsid w:val="00D157DD"/>
    <w:rsid w:val="00D23F6D"/>
    <w:rsid w:val="00D24F81"/>
    <w:rsid w:val="00D31261"/>
    <w:rsid w:val="00D40BC8"/>
    <w:rsid w:val="00D45C10"/>
    <w:rsid w:val="00D56F36"/>
    <w:rsid w:val="00D57299"/>
    <w:rsid w:val="00D5739A"/>
    <w:rsid w:val="00D617B8"/>
    <w:rsid w:val="00D6203F"/>
    <w:rsid w:val="00D6591C"/>
    <w:rsid w:val="00D65C49"/>
    <w:rsid w:val="00D67B68"/>
    <w:rsid w:val="00D71BA5"/>
    <w:rsid w:val="00D76E76"/>
    <w:rsid w:val="00D80DC1"/>
    <w:rsid w:val="00D81047"/>
    <w:rsid w:val="00D9077A"/>
    <w:rsid w:val="00D95341"/>
    <w:rsid w:val="00DA2B91"/>
    <w:rsid w:val="00DA555C"/>
    <w:rsid w:val="00DA637C"/>
    <w:rsid w:val="00DB2F7E"/>
    <w:rsid w:val="00DC1098"/>
    <w:rsid w:val="00DC1298"/>
    <w:rsid w:val="00DC1694"/>
    <w:rsid w:val="00DC56A8"/>
    <w:rsid w:val="00DF5886"/>
    <w:rsid w:val="00DF69C7"/>
    <w:rsid w:val="00E12EA0"/>
    <w:rsid w:val="00E16BE1"/>
    <w:rsid w:val="00E16DBE"/>
    <w:rsid w:val="00E21287"/>
    <w:rsid w:val="00E254A3"/>
    <w:rsid w:val="00E267CD"/>
    <w:rsid w:val="00E310CB"/>
    <w:rsid w:val="00E3530D"/>
    <w:rsid w:val="00E36601"/>
    <w:rsid w:val="00E376A1"/>
    <w:rsid w:val="00E411BC"/>
    <w:rsid w:val="00E5011C"/>
    <w:rsid w:val="00E5265F"/>
    <w:rsid w:val="00E55125"/>
    <w:rsid w:val="00E55F95"/>
    <w:rsid w:val="00E602D8"/>
    <w:rsid w:val="00E60D8A"/>
    <w:rsid w:val="00E7008C"/>
    <w:rsid w:val="00E714CA"/>
    <w:rsid w:val="00E77FC8"/>
    <w:rsid w:val="00E81521"/>
    <w:rsid w:val="00E85259"/>
    <w:rsid w:val="00E946BD"/>
    <w:rsid w:val="00EA0250"/>
    <w:rsid w:val="00EA3748"/>
    <w:rsid w:val="00EA3A37"/>
    <w:rsid w:val="00EA599F"/>
    <w:rsid w:val="00EA5F83"/>
    <w:rsid w:val="00EA7856"/>
    <w:rsid w:val="00EB4DFC"/>
    <w:rsid w:val="00EB640F"/>
    <w:rsid w:val="00EC0E6A"/>
    <w:rsid w:val="00ED1E60"/>
    <w:rsid w:val="00ED2D81"/>
    <w:rsid w:val="00ED4675"/>
    <w:rsid w:val="00EE27B3"/>
    <w:rsid w:val="00EE6048"/>
    <w:rsid w:val="00EF01B1"/>
    <w:rsid w:val="00EF1FA6"/>
    <w:rsid w:val="00EF3278"/>
    <w:rsid w:val="00EF3944"/>
    <w:rsid w:val="00EF44BD"/>
    <w:rsid w:val="00EF4C04"/>
    <w:rsid w:val="00EF523D"/>
    <w:rsid w:val="00EF5E4B"/>
    <w:rsid w:val="00F026AF"/>
    <w:rsid w:val="00F05973"/>
    <w:rsid w:val="00F05F9A"/>
    <w:rsid w:val="00F10F08"/>
    <w:rsid w:val="00F15164"/>
    <w:rsid w:val="00F17D0D"/>
    <w:rsid w:val="00F21A75"/>
    <w:rsid w:val="00F22408"/>
    <w:rsid w:val="00F22B79"/>
    <w:rsid w:val="00F23B90"/>
    <w:rsid w:val="00F26DE9"/>
    <w:rsid w:val="00F30794"/>
    <w:rsid w:val="00F326CC"/>
    <w:rsid w:val="00F34DAF"/>
    <w:rsid w:val="00F40B77"/>
    <w:rsid w:val="00F426A0"/>
    <w:rsid w:val="00F4320F"/>
    <w:rsid w:val="00F46D8D"/>
    <w:rsid w:val="00F52175"/>
    <w:rsid w:val="00F60272"/>
    <w:rsid w:val="00F624B5"/>
    <w:rsid w:val="00F640C1"/>
    <w:rsid w:val="00F67FA5"/>
    <w:rsid w:val="00F70698"/>
    <w:rsid w:val="00F71F9F"/>
    <w:rsid w:val="00F74393"/>
    <w:rsid w:val="00F80AFC"/>
    <w:rsid w:val="00F81510"/>
    <w:rsid w:val="00F81A18"/>
    <w:rsid w:val="00F846A4"/>
    <w:rsid w:val="00F84DAC"/>
    <w:rsid w:val="00F85A60"/>
    <w:rsid w:val="00F91B7E"/>
    <w:rsid w:val="00F95B59"/>
    <w:rsid w:val="00F97E9F"/>
    <w:rsid w:val="00FA348B"/>
    <w:rsid w:val="00FA44F4"/>
    <w:rsid w:val="00FB059D"/>
    <w:rsid w:val="00FC329C"/>
    <w:rsid w:val="00FD4A1B"/>
    <w:rsid w:val="00FE0074"/>
    <w:rsid w:val="00FE212F"/>
    <w:rsid w:val="00FE2E4D"/>
    <w:rsid w:val="00FE450E"/>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A69"/>
    <w:rPr>
      <w:sz w:val="24"/>
      <w:szCs w:val="24"/>
    </w:rPr>
  </w:style>
  <w:style w:type="paragraph" w:styleId="Heading1">
    <w:name w:val="heading 1"/>
    <w:basedOn w:val="Normal"/>
    <w:next w:val="Normal"/>
    <w:link w:val="Heading1Char"/>
    <w:qFormat/>
    <w:rsid w:val="00204D0E"/>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A0A69"/>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semiHidden/>
    <w:rsid w:val="007A0A69"/>
    <w:rPr>
      <w:sz w:val="20"/>
      <w:szCs w:val="20"/>
    </w:rPr>
  </w:style>
  <w:style w:type="character" w:styleId="FootnoteReference">
    <w:name w:val="footnote reference"/>
    <w:basedOn w:val="DefaultParagraphFont"/>
    <w:semiHidden/>
    <w:rsid w:val="007A0A69"/>
    <w:rPr>
      <w:vertAlign w:val="superscript"/>
    </w:rPr>
  </w:style>
  <w:style w:type="paragraph" w:styleId="Footer">
    <w:name w:val="footer"/>
    <w:basedOn w:val="Normal"/>
    <w:link w:val="FooterChar"/>
    <w:uiPriority w:val="99"/>
    <w:rsid w:val="007A0A69"/>
    <w:pPr>
      <w:tabs>
        <w:tab w:val="center" w:pos="4320"/>
        <w:tab w:val="right" w:pos="8640"/>
      </w:tabs>
    </w:pPr>
  </w:style>
  <w:style w:type="character" w:styleId="PageNumber">
    <w:name w:val="page number"/>
    <w:basedOn w:val="DefaultParagraphFont"/>
    <w:rsid w:val="007A0A69"/>
  </w:style>
  <w:style w:type="paragraph" w:styleId="BodyText">
    <w:name w:val="Body Text"/>
    <w:basedOn w:val="Normal"/>
    <w:rsid w:val="007A0A69"/>
    <w:pPr>
      <w:widowControl w:val="0"/>
      <w:spacing w:after="120"/>
    </w:pPr>
    <w:rPr>
      <w:snapToGrid w:val="0"/>
      <w:szCs w:val="20"/>
    </w:rPr>
  </w:style>
  <w:style w:type="paragraph" w:customStyle="1" w:styleId="Pleading2L1">
    <w:name w:val="Pleading2_L1"/>
    <w:basedOn w:val="Normal"/>
    <w:next w:val="BodyText"/>
    <w:rsid w:val="007A0A69"/>
    <w:pPr>
      <w:spacing w:after="240"/>
      <w:jc w:val="center"/>
      <w:outlineLvl w:val="0"/>
    </w:pPr>
    <w:rPr>
      <w:b/>
      <w:caps/>
      <w:szCs w:val="20"/>
      <w:u w:val="single"/>
    </w:rPr>
  </w:style>
  <w:style w:type="paragraph" w:customStyle="1" w:styleId="Pleading2L2">
    <w:name w:val="Pleading2_L2"/>
    <w:basedOn w:val="Pleading2L1"/>
    <w:rsid w:val="007A0A69"/>
    <w:pPr>
      <w:numPr>
        <w:ilvl w:val="1"/>
        <w:numId w:val="1"/>
      </w:numPr>
      <w:spacing w:after="0" w:line="480" w:lineRule="auto"/>
      <w:jc w:val="left"/>
      <w:outlineLvl w:val="1"/>
    </w:pPr>
    <w:rPr>
      <w:b w:val="0"/>
      <w:caps w:val="0"/>
      <w:u w:val="none"/>
    </w:rPr>
  </w:style>
  <w:style w:type="paragraph" w:customStyle="1" w:styleId="Pleading2L3">
    <w:name w:val="Pleading2_L3"/>
    <w:basedOn w:val="Pleading2L2"/>
    <w:rsid w:val="007A0A69"/>
    <w:pPr>
      <w:numPr>
        <w:ilvl w:val="2"/>
      </w:numPr>
      <w:outlineLvl w:val="2"/>
    </w:pPr>
  </w:style>
  <w:style w:type="paragraph" w:customStyle="1" w:styleId="Pleading2L4">
    <w:name w:val="Pleading2_L4"/>
    <w:basedOn w:val="Pleading2L3"/>
    <w:rsid w:val="007A0A69"/>
    <w:pPr>
      <w:numPr>
        <w:ilvl w:val="3"/>
      </w:numPr>
      <w:outlineLvl w:val="3"/>
    </w:pPr>
  </w:style>
  <w:style w:type="paragraph" w:customStyle="1" w:styleId="Pleading2L5">
    <w:name w:val="Pleading2_L5"/>
    <w:basedOn w:val="Pleading2L4"/>
    <w:rsid w:val="007A0A69"/>
    <w:pPr>
      <w:keepNext/>
      <w:keepLines/>
      <w:widowControl w:val="0"/>
      <w:numPr>
        <w:ilvl w:val="4"/>
      </w:numPr>
      <w:spacing w:after="240" w:line="240" w:lineRule="auto"/>
      <w:outlineLvl w:val="4"/>
    </w:pPr>
  </w:style>
  <w:style w:type="paragraph" w:customStyle="1" w:styleId="Pleading2L6">
    <w:name w:val="Pleading2_L6"/>
    <w:basedOn w:val="Pleading2L5"/>
    <w:rsid w:val="007A0A69"/>
    <w:pPr>
      <w:numPr>
        <w:ilvl w:val="5"/>
      </w:numPr>
      <w:outlineLvl w:val="5"/>
    </w:pPr>
  </w:style>
  <w:style w:type="paragraph" w:customStyle="1" w:styleId="Pleading2L7">
    <w:name w:val="Pleading2_L7"/>
    <w:basedOn w:val="Pleading2L6"/>
    <w:rsid w:val="007A0A69"/>
    <w:pPr>
      <w:numPr>
        <w:ilvl w:val="6"/>
      </w:numPr>
      <w:outlineLvl w:val="6"/>
    </w:pPr>
  </w:style>
  <w:style w:type="paragraph" w:customStyle="1" w:styleId="Pleading2L8">
    <w:name w:val="Pleading2_L8"/>
    <w:basedOn w:val="Pleading2L7"/>
    <w:rsid w:val="007A0A69"/>
    <w:pPr>
      <w:numPr>
        <w:ilvl w:val="7"/>
      </w:numPr>
      <w:outlineLvl w:val="7"/>
    </w:pPr>
  </w:style>
  <w:style w:type="paragraph" w:customStyle="1" w:styleId="Pleading2L9">
    <w:name w:val="Pleading2_L9"/>
    <w:basedOn w:val="Pleading2L8"/>
    <w:rsid w:val="007A0A69"/>
    <w:pPr>
      <w:numPr>
        <w:ilvl w:val="8"/>
      </w:numPr>
      <w:outlineLvl w:val="8"/>
    </w:pPr>
  </w:style>
  <w:style w:type="paragraph" w:styleId="CommentText">
    <w:name w:val="annotation text"/>
    <w:basedOn w:val="Normal"/>
    <w:semiHidden/>
    <w:rsid w:val="007A0A69"/>
    <w:rPr>
      <w:spacing w:val="-3"/>
      <w:sz w:val="20"/>
      <w:szCs w:val="20"/>
    </w:rPr>
  </w:style>
  <w:style w:type="paragraph" w:customStyle="1" w:styleId="TxBrp3">
    <w:name w:val="TxBr_p3"/>
    <w:basedOn w:val="Normal"/>
    <w:rsid w:val="007A0A69"/>
    <w:pPr>
      <w:widowControl w:val="0"/>
      <w:tabs>
        <w:tab w:val="left" w:pos="1474"/>
      </w:tabs>
      <w:autoSpaceDE w:val="0"/>
      <w:autoSpaceDN w:val="0"/>
      <w:adjustRightInd w:val="0"/>
      <w:spacing w:line="425" w:lineRule="atLeast"/>
      <w:ind w:firstLine="1474"/>
    </w:pPr>
  </w:style>
  <w:style w:type="paragraph" w:styleId="Header">
    <w:name w:val="header"/>
    <w:basedOn w:val="Normal"/>
    <w:rsid w:val="007A0A69"/>
    <w:pPr>
      <w:tabs>
        <w:tab w:val="center" w:pos="4320"/>
        <w:tab w:val="right" w:pos="8640"/>
      </w:tabs>
    </w:pPr>
  </w:style>
  <w:style w:type="paragraph" w:styleId="BodyTextIndent3">
    <w:name w:val="Body Text Indent 3"/>
    <w:basedOn w:val="Normal"/>
    <w:link w:val="BodyTextIndent3Char"/>
    <w:uiPriority w:val="99"/>
    <w:unhideWhenUsed/>
    <w:rsid w:val="00307B4C"/>
    <w:pPr>
      <w:spacing w:after="120"/>
      <w:ind w:left="360"/>
    </w:pPr>
    <w:rPr>
      <w:sz w:val="16"/>
      <w:szCs w:val="16"/>
    </w:rPr>
  </w:style>
  <w:style w:type="character" w:customStyle="1" w:styleId="BodyTextIndent3Char">
    <w:name w:val="Body Text Indent 3 Char"/>
    <w:basedOn w:val="DefaultParagraphFont"/>
    <w:link w:val="BodyTextIndent3"/>
    <w:uiPriority w:val="99"/>
    <w:rsid w:val="00307B4C"/>
    <w:rPr>
      <w:sz w:val="16"/>
      <w:szCs w:val="16"/>
    </w:rPr>
  </w:style>
  <w:style w:type="paragraph" w:styleId="TOAHeading">
    <w:name w:val="toa heading"/>
    <w:basedOn w:val="Normal"/>
    <w:next w:val="Normal"/>
    <w:rsid w:val="007567D3"/>
    <w:pPr>
      <w:spacing w:before="120"/>
    </w:pPr>
    <w:rPr>
      <w:rFonts w:asciiTheme="majorHAnsi" w:eastAsiaTheme="majorEastAsia" w:hAnsiTheme="majorHAnsi" w:cstheme="majorBidi"/>
      <w:b/>
      <w:bCs/>
    </w:rPr>
  </w:style>
  <w:style w:type="paragraph" w:styleId="NoSpacing">
    <w:name w:val="No Spacing"/>
    <w:uiPriority w:val="1"/>
    <w:qFormat/>
    <w:rsid w:val="0007068B"/>
    <w:rPr>
      <w:sz w:val="24"/>
      <w:szCs w:val="24"/>
    </w:rPr>
  </w:style>
  <w:style w:type="character" w:customStyle="1" w:styleId="Heading1Char">
    <w:name w:val="Heading 1 Char"/>
    <w:basedOn w:val="DefaultParagraphFont"/>
    <w:link w:val="Heading1"/>
    <w:rsid w:val="00204D0E"/>
    <w:rPr>
      <w:rFonts w:asciiTheme="majorHAnsi" w:eastAsiaTheme="majorEastAsia" w:hAnsiTheme="majorHAnsi" w:cstheme="majorBidi"/>
      <w:b/>
      <w:bCs/>
      <w:kern w:val="32"/>
      <w:sz w:val="32"/>
      <w:szCs w:val="32"/>
    </w:rPr>
  </w:style>
  <w:style w:type="character" w:customStyle="1" w:styleId="FooterChar">
    <w:name w:val="Footer Char"/>
    <w:basedOn w:val="DefaultParagraphFont"/>
    <w:link w:val="Footer"/>
    <w:uiPriority w:val="99"/>
    <w:rsid w:val="003B7642"/>
    <w:rPr>
      <w:sz w:val="24"/>
      <w:szCs w:val="24"/>
    </w:rPr>
  </w:style>
  <w:style w:type="paragraph" w:styleId="DocumentMap">
    <w:name w:val="Document Map"/>
    <w:basedOn w:val="Normal"/>
    <w:link w:val="DocumentMapChar"/>
    <w:rsid w:val="009F262B"/>
    <w:rPr>
      <w:rFonts w:ascii="Tahoma" w:hAnsi="Tahoma" w:cs="Tahoma"/>
      <w:sz w:val="16"/>
      <w:szCs w:val="16"/>
    </w:rPr>
  </w:style>
  <w:style w:type="character" w:customStyle="1" w:styleId="DocumentMapChar">
    <w:name w:val="Document Map Char"/>
    <w:basedOn w:val="DefaultParagraphFont"/>
    <w:link w:val="DocumentMap"/>
    <w:rsid w:val="009F2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644">
      <w:bodyDiv w:val="1"/>
      <w:marLeft w:val="0"/>
      <w:marRight w:val="0"/>
      <w:marTop w:val="0"/>
      <w:marBottom w:val="0"/>
      <w:divBdr>
        <w:top w:val="none" w:sz="0" w:space="0" w:color="auto"/>
        <w:left w:val="none" w:sz="0" w:space="0" w:color="auto"/>
        <w:bottom w:val="none" w:sz="0" w:space="0" w:color="auto"/>
        <w:right w:val="none" w:sz="0" w:space="0" w:color="auto"/>
      </w:divBdr>
      <w:divsChild>
        <w:div w:id="1142885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71164">
      <w:bodyDiv w:val="1"/>
      <w:marLeft w:val="0"/>
      <w:marRight w:val="0"/>
      <w:marTop w:val="0"/>
      <w:marBottom w:val="0"/>
      <w:divBdr>
        <w:top w:val="none" w:sz="0" w:space="0" w:color="auto"/>
        <w:left w:val="none" w:sz="0" w:space="0" w:color="auto"/>
        <w:bottom w:val="none" w:sz="0" w:space="0" w:color="auto"/>
        <w:right w:val="none" w:sz="0" w:space="0" w:color="auto"/>
      </w:divBdr>
      <w:divsChild>
        <w:div w:id="1752465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BBBA3-61A8-41C6-9E04-BAC201F8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shoffner</dc:creator>
  <cp:keywords/>
  <dc:description/>
  <cp:lastModifiedBy>astout</cp:lastModifiedBy>
  <cp:revision>5</cp:revision>
  <dcterms:created xsi:type="dcterms:W3CDTF">2011-10-12T15:04:00Z</dcterms:created>
  <dcterms:modified xsi:type="dcterms:W3CDTF">2011-11-03T13:24:00Z</dcterms:modified>
</cp:coreProperties>
</file>