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5441" w:rsidRPr="00715441" w:rsidRDefault="00715441" w:rsidP="00715441">
      <w:pPr>
        <w:tabs>
          <w:tab w:val="center" w:pos="4680"/>
        </w:tabs>
        <w:suppressAutoHyphens/>
        <w:autoSpaceDE w:val="0"/>
        <w:autoSpaceDN w:val="0"/>
        <w:spacing w:line="240" w:lineRule="auto"/>
        <w:jc w:val="center"/>
        <w:rPr>
          <w:b/>
          <w:bCs/>
          <w:spacing w:val="-3"/>
          <w:sz w:val="24"/>
          <w:szCs w:val="24"/>
        </w:rPr>
      </w:pPr>
      <w:r w:rsidRPr="00715441">
        <w:rPr>
          <w:b/>
          <w:bCs/>
          <w:spacing w:val="-3"/>
          <w:sz w:val="24"/>
          <w:szCs w:val="24"/>
        </w:rPr>
        <w:t>BEFORE THE</w:t>
      </w:r>
    </w:p>
    <w:p w:rsidR="00715441" w:rsidRPr="00715441" w:rsidRDefault="00715441" w:rsidP="00715441">
      <w:pPr>
        <w:tabs>
          <w:tab w:val="center" w:pos="4680"/>
        </w:tabs>
        <w:suppressAutoHyphens/>
        <w:autoSpaceDE w:val="0"/>
        <w:autoSpaceDN w:val="0"/>
        <w:spacing w:line="240" w:lineRule="auto"/>
        <w:jc w:val="center"/>
        <w:rPr>
          <w:b/>
          <w:bCs/>
          <w:spacing w:val="-3"/>
          <w:sz w:val="24"/>
          <w:szCs w:val="24"/>
        </w:rPr>
      </w:pPr>
      <w:r w:rsidRPr="00715441">
        <w:rPr>
          <w:b/>
          <w:bCs/>
          <w:spacing w:val="-3"/>
          <w:sz w:val="24"/>
          <w:szCs w:val="24"/>
        </w:rPr>
        <w:t>PENNSYLVANIA PUBLIC UTILITY COMMISSION</w:t>
      </w:r>
    </w:p>
    <w:p w:rsidR="00715441" w:rsidRPr="00715441" w:rsidRDefault="00715441" w:rsidP="00715441">
      <w:pPr>
        <w:tabs>
          <w:tab w:val="center" w:pos="4680"/>
        </w:tabs>
        <w:suppressAutoHyphens/>
        <w:autoSpaceDE w:val="0"/>
        <w:autoSpaceDN w:val="0"/>
        <w:spacing w:line="240" w:lineRule="auto"/>
        <w:rPr>
          <w:bCs/>
          <w:spacing w:val="-3"/>
          <w:sz w:val="24"/>
          <w:szCs w:val="24"/>
        </w:rPr>
      </w:pPr>
    </w:p>
    <w:p w:rsidR="00715441" w:rsidRPr="00715441" w:rsidRDefault="00715441" w:rsidP="00715441">
      <w:pPr>
        <w:tabs>
          <w:tab w:val="center" w:pos="4680"/>
        </w:tabs>
        <w:suppressAutoHyphens/>
        <w:autoSpaceDE w:val="0"/>
        <w:autoSpaceDN w:val="0"/>
        <w:spacing w:line="240" w:lineRule="auto"/>
        <w:rPr>
          <w:bCs/>
          <w:spacing w:val="-3"/>
          <w:sz w:val="24"/>
          <w:szCs w:val="24"/>
        </w:rPr>
      </w:pPr>
    </w:p>
    <w:p w:rsidR="00715441" w:rsidRPr="00715441" w:rsidRDefault="00715441" w:rsidP="00715441">
      <w:pPr>
        <w:tabs>
          <w:tab w:val="center" w:pos="4680"/>
        </w:tabs>
        <w:suppressAutoHyphens/>
        <w:autoSpaceDE w:val="0"/>
        <w:autoSpaceDN w:val="0"/>
        <w:spacing w:line="240" w:lineRule="auto"/>
        <w:rPr>
          <w:bCs/>
          <w:spacing w:val="-3"/>
          <w:sz w:val="24"/>
          <w:szCs w:val="24"/>
        </w:rPr>
      </w:pPr>
    </w:p>
    <w:p w:rsidR="00715441" w:rsidRPr="00715441" w:rsidRDefault="00715441" w:rsidP="00715441">
      <w:pPr>
        <w:tabs>
          <w:tab w:val="center" w:pos="4680"/>
        </w:tabs>
        <w:suppressAutoHyphens/>
        <w:autoSpaceDE w:val="0"/>
        <w:autoSpaceDN w:val="0"/>
        <w:spacing w:line="240" w:lineRule="auto"/>
        <w:rPr>
          <w:b/>
          <w:bCs/>
          <w:spacing w:val="-3"/>
          <w:sz w:val="24"/>
          <w:szCs w:val="24"/>
        </w:rPr>
      </w:pPr>
      <w:r w:rsidRPr="00715441">
        <w:rPr>
          <w:bCs/>
          <w:spacing w:val="-3"/>
          <w:sz w:val="24"/>
          <w:szCs w:val="24"/>
        </w:rPr>
        <w:t>Thaddeus D’Ambrosia</w:t>
      </w:r>
      <w:r w:rsidRPr="00715441">
        <w:rPr>
          <w:bCs/>
          <w:spacing w:val="-3"/>
          <w:sz w:val="24"/>
          <w:szCs w:val="24"/>
        </w:rPr>
        <w:tab/>
      </w:r>
      <w:r w:rsidRPr="00715441">
        <w:rPr>
          <w:bCs/>
          <w:spacing w:val="-3"/>
          <w:sz w:val="24"/>
          <w:szCs w:val="24"/>
        </w:rPr>
        <w:tab/>
        <w:t>:</w:t>
      </w:r>
    </w:p>
    <w:p w:rsidR="00715441" w:rsidRPr="00715441" w:rsidRDefault="00715441" w:rsidP="00715441">
      <w:pPr>
        <w:tabs>
          <w:tab w:val="center" w:pos="4680"/>
        </w:tabs>
        <w:suppressAutoHyphens/>
        <w:autoSpaceDE w:val="0"/>
        <w:autoSpaceDN w:val="0"/>
        <w:spacing w:line="240" w:lineRule="auto"/>
        <w:rPr>
          <w:bCs/>
          <w:spacing w:val="-3"/>
          <w:sz w:val="24"/>
          <w:szCs w:val="24"/>
        </w:rPr>
      </w:pPr>
      <w:r w:rsidRPr="00715441">
        <w:rPr>
          <w:b/>
          <w:bCs/>
          <w:spacing w:val="-3"/>
          <w:sz w:val="24"/>
          <w:szCs w:val="24"/>
        </w:rPr>
        <w:tab/>
      </w:r>
      <w:r w:rsidRPr="00715441">
        <w:rPr>
          <w:b/>
          <w:bCs/>
          <w:spacing w:val="-3"/>
          <w:sz w:val="24"/>
          <w:szCs w:val="24"/>
        </w:rPr>
        <w:tab/>
      </w:r>
      <w:r w:rsidRPr="00715441">
        <w:rPr>
          <w:bCs/>
          <w:spacing w:val="-3"/>
          <w:sz w:val="24"/>
          <w:szCs w:val="24"/>
        </w:rPr>
        <w:t>:</w:t>
      </w:r>
    </w:p>
    <w:p w:rsidR="00715441" w:rsidRPr="00715441" w:rsidRDefault="00715441" w:rsidP="00715441">
      <w:pPr>
        <w:suppressAutoHyphens/>
        <w:autoSpaceDE w:val="0"/>
        <w:autoSpaceDN w:val="0"/>
        <w:spacing w:line="240" w:lineRule="auto"/>
        <w:rPr>
          <w:bCs/>
          <w:spacing w:val="-3"/>
          <w:sz w:val="24"/>
          <w:szCs w:val="24"/>
        </w:rPr>
      </w:pPr>
      <w:r w:rsidRPr="00715441">
        <w:rPr>
          <w:bCs/>
          <w:spacing w:val="-3"/>
          <w:sz w:val="24"/>
          <w:szCs w:val="24"/>
        </w:rPr>
        <w:tab/>
        <w:t>v.</w:t>
      </w:r>
      <w:r w:rsidRPr="00715441">
        <w:rPr>
          <w:b/>
          <w:bCs/>
          <w:spacing w:val="-3"/>
          <w:sz w:val="24"/>
          <w:szCs w:val="24"/>
        </w:rPr>
        <w:tab/>
      </w:r>
      <w:r w:rsidRPr="00715441">
        <w:rPr>
          <w:b/>
          <w:bCs/>
          <w:spacing w:val="-3"/>
          <w:sz w:val="24"/>
          <w:szCs w:val="24"/>
        </w:rPr>
        <w:tab/>
      </w:r>
      <w:r w:rsidRPr="00715441">
        <w:rPr>
          <w:b/>
          <w:bCs/>
          <w:spacing w:val="-3"/>
          <w:sz w:val="24"/>
          <w:szCs w:val="24"/>
        </w:rPr>
        <w:tab/>
      </w:r>
      <w:r w:rsidRPr="00715441">
        <w:rPr>
          <w:b/>
          <w:bCs/>
          <w:spacing w:val="-3"/>
          <w:sz w:val="24"/>
          <w:szCs w:val="24"/>
        </w:rPr>
        <w:tab/>
      </w:r>
      <w:r w:rsidRPr="00715441">
        <w:rPr>
          <w:b/>
          <w:bCs/>
          <w:spacing w:val="-3"/>
          <w:sz w:val="24"/>
          <w:szCs w:val="24"/>
        </w:rPr>
        <w:tab/>
      </w:r>
      <w:r w:rsidRPr="00715441">
        <w:rPr>
          <w:b/>
          <w:bCs/>
          <w:spacing w:val="-3"/>
          <w:sz w:val="24"/>
          <w:szCs w:val="24"/>
        </w:rPr>
        <w:tab/>
      </w:r>
      <w:r w:rsidRPr="00715441">
        <w:rPr>
          <w:bCs/>
          <w:spacing w:val="-3"/>
          <w:sz w:val="24"/>
          <w:szCs w:val="24"/>
        </w:rPr>
        <w:t>:</w:t>
      </w:r>
      <w:r w:rsidRPr="00715441">
        <w:rPr>
          <w:b/>
          <w:bCs/>
          <w:spacing w:val="-3"/>
          <w:sz w:val="24"/>
          <w:szCs w:val="24"/>
        </w:rPr>
        <w:tab/>
      </w:r>
      <w:r w:rsidRPr="00715441">
        <w:rPr>
          <w:b/>
          <w:bCs/>
          <w:spacing w:val="-3"/>
          <w:sz w:val="24"/>
          <w:szCs w:val="24"/>
        </w:rPr>
        <w:tab/>
      </w:r>
      <w:r w:rsidR="00DB24F3">
        <w:rPr>
          <w:b/>
          <w:bCs/>
          <w:spacing w:val="-3"/>
          <w:sz w:val="24"/>
          <w:szCs w:val="24"/>
        </w:rPr>
        <w:tab/>
      </w:r>
      <w:r w:rsidRPr="00715441">
        <w:rPr>
          <w:bCs/>
          <w:spacing w:val="-3"/>
          <w:sz w:val="24"/>
          <w:szCs w:val="24"/>
        </w:rPr>
        <w:t>F-2010-2181822</w:t>
      </w:r>
    </w:p>
    <w:p w:rsidR="00715441" w:rsidRPr="00715441" w:rsidRDefault="00715441" w:rsidP="00715441">
      <w:pPr>
        <w:tabs>
          <w:tab w:val="center" w:pos="4680"/>
        </w:tabs>
        <w:suppressAutoHyphens/>
        <w:autoSpaceDE w:val="0"/>
        <w:autoSpaceDN w:val="0"/>
        <w:spacing w:line="240" w:lineRule="auto"/>
        <w:rPr>
          <w:bCs/>
          <w:spacing w:val="-3"/>
          <w:sz w:val="24"/>
          <w:szCs w:val="24"/>
        </w:rPr>
      </w:pPr>
      <w:r w:rsidRPr="00715441">
        <w:rPr>
          <w:bCs/>
          <w:spacing w:val="-3"/>
          <w:sz w:val="24"/>
          <w:szCs w:val="24"/>
        </w:rPr>
        <w:tab/>
      </w:r>
      <w:r w:rsidRPr="00715441">
        <w:rPr>
          <w:bCs/>
          <w:spacing w:val="-3"/>
          <w:sz w:val="24"/>
          <w:szCs w:val="24"/>
        </w:rPr>
        <w:tab/>
        <w:t>:</w:t>
      </w:r>
    </w:p>
    <w:p w:rsidR="00715441" w:rsidRPr="00715441" w:rsidRDefault="00715441" w:rsidP="00715441">
      <w:pPr>
        <w:tabs>
          <w:tab w:val="center" w:pos="4680"/>
        </w:tabs>
        <w:suppressAutoHyphens/>
        <w:autoSpaceDE w:val="0"/>
        <w:autoSpaceDN w:val="0"/>
        <w:spacing w:line="240" w:lineRule="auto"/>
        <w:rPr>
          <w:bCs/>
          <w:spacing w:val="-3"/>
          <w:sz w:val="24"/>
          <w:szCs w:val="24"/>
        </w:rPr>
      </w:pPr>
      <w:r w:rsidRPr="00715441">
        <w:rPr>
          <w:bCs/>
          <w:spacing w:val="-3"/>
          <w:sz w:val="24"/>
          <w:szCs w:val="24"/>
        </w:rPr>
        <w:t>PPL Electric Utilities Corporation</w:t>
      </w:r>
      <w:r w:rsidRPr="00715441">
        <w:rPr>
          <w:bCs/>
          <w:spacing w:val="-3"/>
          <w:sz w:val="24"/>
          <w:szCs w:val="24"/>
        </w:rPr>
        <w:tab/>
      </w:r>
      <w:r w:rsidRPr="00715441">
        <w:rPr>
          <w:bCs/>
          <w:spacing w:val="-3"/>
          <w:sz w:val="24"/>
          <w:szCs w:val="24"/>
        </w:rPr>
        <w:tab/>
        <w:t>:</w:t>
      </w:r>
    </w:p>
    <w:p w:rsidR="00E55642" w:rsidRPr="007659E6" w:rsidRDefault="00E55642">
      <w:pPr>
        <w:spacing w:line="240" w:lineRule="auto"/>
        <w:rPr>
          <w:sz w:val="24"/>
          <w:szCs w:val="24"/>
        </w:rPr>
      </w:pPr>
    </w:p>
    <w:p w:rsidR="00E55642" w:rsidRPr="007659E6" w:rsidRDefault="00E55642">
      <w:pPr>
        <w:spacing w:line="240" w:lineRule="auto"/>
        <w:rPr>
          <w:sz w:val="24"/>
          <w:szCs w:val="24"/>
        </w:rPr>
      </w:pPr>
    </w:p>
    <w:p w:rsidR="00B86457" w:rsidRDefault="00B86457" w:rsidP="00ED7E0D">
      <w:pPr>
        <w:spacing w:line="240" w:lineRule="auto"/>
        <w:jc w:val="center"/>
        <w:rPr>
          <w:b/>
          <w:u w:val="single"/>
        </w:rPr>
      </w:pPr>
    </w:p>
    <w:p w:rsidR="00A94180" w:rsidRPr="00ED7E0D" w:rsidRDefault="00715441" w:rsidP="00ED7E0D">
      <w:pPr>
        <w:spacing w:line="240" w:lineRule="auto"/>
        <w:jc w:val="center"/>
      </w:pPr>
      <w:r>
        <w:rPr>
          <w:b/>
          <w:u w:val="single"/>
        </w:rPr>
        <w:t xml:space="preserve">ORDER DENYING </w:t>
      </w:r>
      <w:r w:rsidR="00CF149D">
        <w:rPr>
          <w:b/>
          <w:u w:val="single"/>
        </w:rPr>
        <w:t xml:space="preserve">MOTION </w:t>
      </w:r>
      <w:r>
        <w:rPr>
          <w:b/>
          <w:u w:val="single"/>
        </w:rPr>
        <w:t>TO COMPEL AS MOOT</w:t>
      </w:r>
    </w:p>
    <w:p w:rsidR="00A84107" w:rsidRDefault="00A84107" w:rsidP="00F01A57">
      <w:pPr>
        <w:spacing w:line="240" w:lineRule="auto"/>
      </w:pPr>
    </w:p>
    <w:p w:rsidR="00B86457" w:rsidRPr="00466106" w:rsidRDefault="00B86457" w:rsidP="00F01A57">
      <w:pPr>
        <w:spacing w:line="240" w:lineRule="auto"/>
      </w:pPr>
    </w:p>
    <w:p w:rsidR="00F865FF" w:rsidRDefault="00F865FF" w:rsidP="00DB24F3">
      <w:pPr>
        <w:jc w:val="center"/>
        <w:rPr>
          <w:sz w:val="24"/>
          <w:szCs w:val="24"/>
          <w:u w:val="single"/>
        </w:rPr>
      </w:pPr>
      <w:r>
        <w:rPr>
          <w:sz w:val="24"/>
          <w:szCs w:val="24"/>
        </w:rPr>
        <w:t>I.</w:t>
      </w:r>
      <w:r w:rsidR="00F01A57">
        <w:rPr>
          <w:sz w:val="24"/>
          <w:szCs w:val="24"/>
        </w:rPr>
        <w:t xml:space="preserve">  </w:t>
      </w:r>
      <w:r w:rsidRPr="004D413E">
        <w:rPr>
          <w:sz w:val="24"/>
          <w:szCs w:val="24"/>
          <w:u w:val="single"/>
        </w:rPr>
        <w:t>BACKGROUND</w:t>
      </w:r>
    </w:p>
    <w:p w:rsidR="00F865FF" w:rsidRDefault="00F865FF" w:rsidP="00F01A57">
      <w:pPr>
        <w:spacing w:line="480" w:lineRule="auto"/>
        <w:rPr>
          <w:sz w:val="24"/>
          <w:szCs w:val="24"/>
          <w:u w:val="single"/>
        </w:rPr>
      </w:pPr>
    </w:p>
    <w:p w:rsidR="000F7CFB" w:rsidRPr="005F371D" w:rsidRDefault="00F865FF" w:rsidP="000F7CFB">
      <w:pPr>
        <w:rPr>
          <w:sz w:val="24"/>
          <w:szCs w:val="24"/>
        </w:rPr>
      </w:pPr>
      <w:r>
        <w:rPr>
          <w:sz w:val="24"/>
          <w:szCs w:val="24"/>
        </w:rPr>
        <w:tab/>
      </w:r>
      <w:r>
        <w:rPr>
          <w:sz w:val="24"/>
          <w:szCs w:val="24"/>
        </w:rPr>
        <w:tab/>
      </w:r>
      <w:r w:rsidR="00F3233B">
        <w:rPr>
          <w:sz w:val="24"/>
          <w:szCs w:val="24"/>
        </w:rPr>
        <w:t xml:space="preserve">On </w:t>
      </w:r>
      <w:r w:rsidR="00715441">
        <w:rPr>
          <w:sz w:val="24"/>
          <w:szCs w:val="24"/>
        </w:rPr>
        <w:t>November 3, 2011, Complainant Thaddeus</w:t>
      </w:r>
      <w:r w:rsidR="00DB24F3">
        <w:rPr>
          <w:sz w:val="24"/>
          <w:szCs w:val="24"/>
        </w:rPr>
        <w:t xml:space="preserve"> D’Ambrosia (Complainant or Mr. </w:t>
      </w:r>
      <w:r w:rsidR="00715441">
        <w:rPr>
          <w:sz w:val="24"/>
          <w:szCs w:val="24"/>
        </w:rPr>
        <w:t xml:space="preserve">D’Ambrosia) </w:t>
      </w:r>
      <w:r w:rsidR="005B250D">
        <w:rPr>
          <w:sz w:val="24"/>
          <w:szCs w:val="24"/>
        </w:rPr>
        <w:t xml:space="preserve">filed a </w:t>
      </w:r>
      <w:r w:rsidR="005B250D" w:rsidRPr="005B250D">
        <w:rPr>
          <w:sz w:val="24"/>
          <w:szCs w:val="24"/>
        </w:rPr>
        <w:t xml:space="preserve">Motion to </w:t>
      </w:r>
      <w:r w:rsidR="00715441">
        <w:rPr>
          <w:sz w:val="24"/>
          <w:szCs w:val="24"/>
        </w:rPr>
        <w:t>Compel Answers to Interrogatories and Requests for Production of Documents (Motion to Compel)</w:t>
      </w:r>
      <w:r w:rsidR="00C00536">
        <w:rPr>
          <w:sz w:val="24"/>
          <w:szCs w:val="24"/>
        </w:rPr>
        <w:t xml:space="preserve"> </w:t>
      </w:r>
      <w:r w:rsidR="005B250D">
        <w:rPr>
          <w:sz w:val="24"/>
          <w:szCs w:val="24"/>
        </w:rPr>
        <w:t xml:space="preserve">against </w:t>
      </w:r>
      <w:r w:rsidR="00715441">
        <w:rPr>
          <w:sz w:val="24"/>
          <w:szCs w:val="24"/>
        </w:rPr>
        <w:t>Respondent PPL Electric Utilities Corporation (PPL)</w:t>
      </w:r>
      <w:r w:rsidR="00A0021D">
        <w:rPr>
          <w:sz w:val="24"/>
          <w:szCs w:val="24"/>
        </w:rPr>
        <w:t xml:space="preserve">.  In his Motion to Compel, Mr. D’Ambrosia claimed that he had served interrogatories on PPL on October 10, 2011, and that there were no objections to the discovery.  </w:t>
      </w:r>
      <w:r w:rsidR="005842CA">
        <w:rPr>
          <w:sz w:val="24"/>
          <w:szCs w:val="24"/>
        </w:rPr>
        <w:t xml:space="preserve">He further indicated that </w:t>
      </w:r>
      <w:r w:rsidR="00A0021D">
        <w:rPr>
          <w:sz w:val="24"/>
          <w:szCs w:val="24"/>
        </w:rPr>
        <w:t xml:space="preserve">responses to </w:t>
      </w:r>
      <w:r w:rsidR="005842CA">
        <w:rPr>
          <w:sz w:val="24"/>
          <w:szCs w:val="24"/>
        </w:rPr>
        <w:t xml:space="preserve">these </w:t>
      </w:r>
      <w:r w:rsidR="00A0021D">
        <w:rPr>
          <w:sz w:val="24"/>
          <w:szCs w:val="24"/>
        </w:rPr>
        <w:t xml:space="preserve">interrogatories were due on or before October 30, 2011, but had not yet been provided.  </w:t>
      </w:r>
      <w:r w:rsidR="005842CA">
        <w:rPr>
          <w:sz w:val="24"/>
          <w:szCs w:val="24"/>
        </w:rPr>
        <w:t>Mr. D’Ambrosia requested as relief that the Motion to Compel be granted and that PPL be ordered to serve answers to Complainant’s interrogatories within three (3) days from the date of the order.</w:t>
      </w:r>
      <w:r w:rsidR="00FE55D3" w:rsidRPr="005F371D">
        <w:rPr>
          <w:sz w:val="24"/>
          <w:szCs w:val="24"/>
        </w:rPr>
        <w:t xml:space="preserve"> </w:t>
      </w:r>
    </w:p>
    <w:p w:rsidR="00BE2B9D" w:rsidRDefault="00BE2B9D" w:rsidP="000F7CFB">
      <w:pPr>
        <w:rPr>
          <w:sz w:val="24"/>
          <w:szCs w:val="24"/>
        </w:rPr>
      </w:pPr>
    </w:p>
    <w:p w:rsidR="005842CA" w:rsidRDefault="00BE2B9D" w:rsidP="00235633">
      <w:pPr>
        <w:rPr>
          <w:sz w:val="24"/>
          <w:szCs w:val="24"/>
        </w:rPr>
      </w:pPr>
      <w:r>
        <w:rPr>
          <w:sz w:val="24"/>
          <w:szCs w:val="24"/>
        </w:rPr>
        <w:tab/>
      </w:r>
      <w:r>
        <w:rPr>
          <w:sz w:val="24"/>
          <w:szCs w:val="24"/>
        </w:rPr>
        <w:tab/>
      </w:r>
      <w:r w:rsidR="005842CA">
        <w:rPr>
          <w:sz w:val="24"/>
          <w:szCs w:val="24"/>
        </w:rPr>
        <w:t xml:space="preserve">On November 7, 2011, PPL filed an Answer to the Motion to Compel and alleged that the discovery which was the subject of the Motion to Compel had been answered </w:t>
      </w:r>
      <w:r w:rsidR="009B4120">
        <w:rPr>
          <w:sz w:val="24"/>
          <w:szCs w:val="24"/>
        </w:rPr>
        <w:t xml:space="preserve">completely and </w:t>
      </w:r>
      <w:r w:rsidR="005842CA">
        <w:rPr>
          <w:sz w:val="24"/>
          <w:szCs w:val="24"/>
        </w:rPr>
        <w:t>in full as of November 3, 2011, the date that the Motion to Compel was filed.</w:t>
      </w:r>
      <w:r w:rsidR="009B4120">
        <w:rPr>
          <w:sz w:val="24"/>
          <w:szCs w:val="24"/>
        </w:rPr>
        <w:t xml:space="preserve">  In support of its contentions, PPL </w:t>
      </w:r>
      <w:r w:rsidR="008275A5">
        <w:rPr>
          <w:sz w:val="24"/>
          <w:szCs w:val="24"/>
        </w:rPr>
        <w:t xml:space="preserve">supplied </w:t>
      </w:r>
      <w:r w:rsidR="009B4120">
        <w:rPr>
          <w:sz w:val="24"/>
          <w:szCs w:val="24"/>
        </w:rPr>
        <w:t>copies of its responses in Exhibit “A.”</w:t>
      </w:r>
    </w:p>
    <w:p w:rsidR="005842CA" w:rsidRDefault="005842CA" w:rsidP="00235633">
      <w:pPr>
        <w:rPr>
          <w:sz w:val="24"/>
          <w:szCs w:val="24"/>
        </w:rPr>
      </w:pPr>
    </w:p>
    <w:p w:rsidR="000E1E4A" w:rsidRDefault="009219F3" w:rsidP="009B4120">
      <w:pPr>
        <w:ind w:left="720" w:firstLine="720"/>
        <w:rPr>
          <w:sz w:val="24"/>
          <w:szCs w:val="24"/>
        </w:rPr>
      </w:pPr>
      <w:r>
        <w:rPr>
          <w:sz w:val="24"/>
          <w:szCs w:val="24"/>
        </w:rPr>
        <w:t>This matter is now ready for a ruling.</w:t>
      </w:r>
    </w:p>
    <w:p w:rsidR="00940844" w:rsidRDefault="000E1E4A" w:rsidP="00DB24F3">
      <w:pPr>
        <w:jc w:val="center"/>
        <w:rPr>
          <w:sz w:val="24"/>
          <w:szCs w:val="24"/>
          <w:u w:val="single"/>
        </w:rPr>
      </w:pPr>
      <w:r>
        <w:rPr>
          <w:sz w:val="24"/>
          <w:szCs w:val="24"/>
        </w:rPr>
        <w:br w:type="page"/>
      </w:r>
      <w:r w:rsidR="00940844">
        <w:rPr>
          <w:sz w:val="24"/>
          <w:szCs w:val="24"/>
        </w:rPr>
        <w:lastRenderedPageBreak/>
        <w:t>II</w:t>
      </w:r>
      <w:r w:rsidR="00F01A57">
        <w:rPr>
          <w:sz w:val="24"/>
          <w:szCs w:val="24"/>
        </w:rPr>
        <w:t xml:space="preserve">. </w:t>
      </w:r>
      <w:r w:rsidR="00F01A57" w:rsidRPr="00CF2532">
        <w:rPr>
          <w:sz w:val="24"/>
          <w:szCs w:val="24"/>
          <w:u w:val="single"/>
        </w:rPr>
        <w:t>DISCUSSION</w:t>
      </w:r>
    </w:p>
    <w:p w:rsidR="00940844" w:rsidRDefault="00940844" w:rsidP="00793327">
      <w:pPr>
        <w:tabs>
          <w:tab w:val="left" w:pos="0"/>
        </w:tabs>
        <w:rPr>
          <w:sz w:val="24"/>
          <w:szCs w:val="24"/>
          <w:u w:val="single"/>
        </w:rPr>
      </w:pPr>
    </w:p>
    <w:p w:rsidR="009B4120" w:rsidRDefault="00CF08E2" w:rsidP="00793327">
      <w:pPr>
        <w:tabs>
          <w:tab w:val="left" w:pos="0"/>
        </w:tabs>
        <w:rPr>
          <w:sz w:val="24"/>
          <w:szCs w:val="24"/>
        </w:rPr>
      </w:pPr>
      <w:r>
        <w:rPr>
          <w:sz w:val="24"/>
          <w:szCs w:val="24"/>
        </w:rPr>
        <w:tab/>
      </w:r>
      <w:r>
        <w:rPr>
          <w:sz w:val="24"/>
          <w:szCs w:val="24"/>
        </w:rPr>
        <w:tab/>
        <w:t xml:space="preserve">The Commission’s procedural regulations </w:t>
      </w:r>
      <w:r w:rsidR="00E1348F">
        <w:rPr>
          <w:sz w:val="24"/>
          <w:szCs w:val="24"/>
        </w:rPr>
        <w:t xml:space="preserve">provide for </w:t>
      </w:r>
      <w:r w:rsidR="009B4120">
        <w:rPr>
          <w:sz w:val="24"/>
          <w:szCs w:val="24"/>
        </w:rPr>
        <w:t>motions to compel for failure to respond to discovery requests.  52 Pa. Code §5.342(g).  However, in this case, it appears that full and complete responses to the discovery whose answers were sought to be co</w:t>
      </w:r>
      <w:r w:rsidR="00501CB1">
        <w:rPr>
          <w:sz w:val="24"/>
          <w:szCs w:val="24"/>
        </w:rPr>
        <w:t>mpelled have been provided and therefore, the Motion to Compel will be denied as moot.</w:t>
      </w:r>
      <w:r w:rsidR="009B4120">
        <w:rPr>
          <w:sz w:val="24"/>
          <w:szCs w:val="24"/>
        </w:rPr>
        <w:t xml:space="preserve"> </w:t>
      </w:r>
    </w:p>
    <w:p w:rsidR="00951157" w:rsidRDefault="009B4120" w:rsidP="00793327">
      <w:pPr>
        <w:tabs>
          <w:tab w:val="left" w:pos="0"/>
        </w:tabs>
        <w:rPr>
          <w:sz w:val="24"/>
          <w:szCs w:val="24"/>
        </w:rPr>
      </w:pPr>
      <w:r>
        <w:rPr>
          <w:sz w:val="24"/>
          <w:szCs w:val="24"/>
        </w:rPr>
        <w:t xml:space="preserve"> </w:t>
      </w:r>
    </w:p>
    <w:p w:rsidR="00D67582" w:rsidRDefault="00DB43FC" w:rsidP="00DB24F3">
      <w:pPr>
        <w:tabs>
          <w:tab w:val="left" w:pos="0"/>
        </w:tabs>
        <w:jc w:val="center"/>
        <w:rPr>
          <w:sz w:val="24"/>
          <w:szCs w:val="24"/>
        </w:rPr>
      </w:pPr>
      <w:r>
        <w:rPr>
          <w:sz w:val="24"/>
          <w:szCs w:val="24"/>
        </w:rPr>
        <w:t>III.</w:t>
      </w:r>
      <w:r w:rsidR="00F01A57">
        <w:rPr>
          <w:sz w:val="24"/>
          <w:szCs w:val="24"/>
        </w:rPr>
        <w:t xml:space="preserve">  </w:t>
      </w:r>
      <w:r w:rsidRPr="00DB43FC">
        <w:rPr>
          <w:sz w:val="24"/>
          <w:szCs w:val="24"/>
          <w:u w:val="single"/>
        </w:rPr>
        <w:t>ORDER</w:t>
      </w:r>
    </w:p>
    <w:p w:rsidR="00974524" w:rsidRDefault="00974524" w:rsidP="007C46F3">
      <w:pPr>
        <w:ind w:left="720" w:firstLine="720"/>
        <w:rPr>
          <w:sz w:val="24"/>
          <w:szCs w:val="24"/>
          <w:u w:val="single"/>
        </w:rPr>
      </w:pPr>
    </w:p>
    <w:p w:rsidR="00501CB1" w:rsidRDefault="00974524" w:rsidP="00974524">
      <w:pPr>
        <w:ind w:firstLine="720"/>
        <w:rPr>
          <w:sz w:val="24"/>
          <w:szCs w:val="24"/>
        </w:rPr>
      </w:pPr>
      <w:r>
        <w:rPr>
          <w:sz w:val="24"/>
          <w:szCs w:val="24"/>
        </w:rPr>
        <w:tab/>
      </w:r>
    </w:p>
    <w:p w:rsidR="00331DE4" w:rsidRDefault="00E55642" w:rsidP="00501CB1">
      <w:pPr>
        <w:ind w:left="720" w:firstLine="720"/>
        <w:rPr>
          <w:sz w:val="24"/>
          <w:szCs w:val="24"/>
        </w:rPr>
      </w:pPr>
      <w:r w:rsidRPr="007659E6">
        <w:rPr>
          <w:sz w:val="24"/>
          <w:szCs w:val="24"/>
        </w:rPr>
        <w:t>THEREFORE,</w:t>
      </w:r>
    </w:p>
    <w:p w:rsidR="00CF2911" w:rsidRDefault="00CF2911">
      <w:pPr>
        <w:ind w:left="720"/>
        <w:rPr>
          <w:sz w:val="24"/>
          <w:szCs w:val="24"/>
        </w:rPr>
      </w:pPr>
    </w:p>
    <w:p w:rsidR="00E55642" w:rsidRDefault="00331DE4" w:rsidP="007C46F3">
      <w:pPr>
        <w:ind w:left="720" w:firstLine="720"/>
        <w:rPr>
          <w:sz w:val="24"/>
          <w:szCs w:val="24"/>
        </w:rPr>
      </w:pPr>
      <w:r>
        <w:rPr>
          <w:sz w:val="24"/>
          <w:szCs w:val="24"/>
        </w:rPr>
        <w:t>IT IS ORDERED</w:t>
      </w:r>
      <w:r w:rsidR="00E55642" w:rsidRPr="007659E6">
        <w:rPr>
          <w:sz w:val="24"/>
          <w:szCs w:val="24"/>
        </w:rPr>
        <w:t>:</w:t>
      </w:r>
    </w:p>
    <w:p w:rsidR="00DB43FC" w:rsidRDefault="00DB43FC" w:rsidP="007C46F3">
      <w:pPr>
        <w:ind w:left="720" w:firstLine="720"/>
        <w:rPr>
          <w:sz w:val="24"/>
          <w:szCs w:val="24"/>
        </w:rPr>
      </w:pPr>
    </w:p>
    <w:p w:rsidR="00431D07" w:rsidRDefault="00DB43FC" w:rsidP="00C02C28">
      <w:pPr>
        <w:rPr>
          <w:sz w:val="24"/>
          <w:szCs w:val="24"/>
        </w:rPr>
      </w:pPr>
      <w:r>
        <w:rPr>
          <w:sz w:val="24"/>
          <w:szCs w:val="24"/>
        </w:rPr>
        <w:tab/>
      </w:r>
      <w:r>
        <w:rPr>
          <w:sz w:val="24"/>
          <w:szCs w:val="24"/>
        </w:rPr>
        <w:tab/>
        <w:t>That the</w:t>
      </w:r>
      <w:r w:rsidR="00501CB1" w:rsidRPr="00501CB1">
        <w:rPr>
          <w:sz w:val="24"/>
          <w:szCs w:val="24"/>
        </w:rPr>
        <w:t xml:space="preserve"> </w:t>
      </w:r>
      <w:r w:rsidR="00501CB1" w:rsidRPr="005B250D">
        <w:rPr>
          <w:sz w:val="24"/>
          <w:szCs w:val="24"/>
        </w:rPr>
        <w:t xml:space="preserve">Motion to </w:t>
      </w:r>
      <w:r w:rsidR="00501CB1">
        <w:rPr>
          <w:sz w:val="24"/>
          <w:szCs w:val="24"/>
        </w:rPr>
        <w:t>Compel Answers to Interrogatories and Requests for Production of Documents</w:t>
      </w:r>
      <w:r w:rsidR="00974524">
        <w:rPr>
          <w:sz w:val="24"/>
          <w:szCs w:val="24"/>
        </w:rPr>
        <w:t xml:space="preserve">, at Docket No. </w:t>
      </w:r>
      <w:r w:rsidR="00501CB1">
        <w:rPr>
          <w:sz w:val="24"/>
          <w:szCs w:val="24"/>
        </w:rPr>
        <w:t>F-2010-2181822</w:t>
      </w:r>
      <w:r w:rsidR="00974524">
        <w:rPr>
          <w:sz w:val="24"/>
          <w:szCs w:val="24"/>
        </w:rPr>
        <w:t xml:space="preserve">, </w:t>
      </w:r>
      <w:r w:rsidR="00501CB1">
        <w:rPr>
          <w:sz w:val="24"/>
          <w:szCs w:val="24"/>
        </w:rPr>
        <w:t xml:space="preserve">filed by Thaddeus D’Ambrosia </w:t>
      </w:r>
      <w:r w:rsidR="00974524">
        <w:rPr>
          <w:sz w:val="24"/>
          <w:szCs w:val="24"/>
        </w:rPr>
        <w:t xml:space="preserve">on </w:t>
      </w:r>
      <w:r w:rsidR="00501CB1">
        <w:rPr>
          <w:sz w:val="24"/>
          <w:szCs w:val="24"/>
        </w:rPr>
        <w:t>November 3, 2011,</w:t>
      </w:r>
      <w:r w:rsidR="00974524">
        <w:rPr>
          <w:sz w:val="24"/>
          <w:szCs w:val="24"/>
        </w:rPr>
        <w:t xml:space="preserve"> against </w:t>
      </w:r>
      <w:r w:rsidR="00501CB1">
        <w:rPr>
          <w:sz w:val="24"/>
          <w:szCs w:val="24"/>
        </w:rPr>
        <w:t xml:space="preserve">Respondent PPL </w:t>
      </w:r>
      <w:r w:rsidR="00C02C28">
        <w:rPr>
          <w:sz w:val="24"/>
          <w:szCs w:val="24"/>
        </w:rPr>
        <w:t>Electric U</w:t>
      </w:r>
      <w:r w:rsidR="00501CB1">
        <w:rPr>
          <w:sz w:val="24"/>
          <w:szCs w:val="24"/>
        </w:rPr>
        <w:t xml:space="preserve">tilities </w:t>
      </w:r>
      <w:r w:rsidR="00C02C28">
        <w:rPr>
          <w:sz w:val="24"/>
          <w:szCs w:val="24"/>
        </w:rPr>
        <w:t>is denied as moot.</w:t>
      </w:r>
    </w:p>
    <w:p w:rsidR="00431D07" w:rsidRDefault="00431D07" w:rsidP="00A83337">
      <w:pPr>
        <w:pStyle w:val="BodyText"/>
        <w:ind w:firstLine="1440"/>
        <w:jc w:val="left"/>
        <w:rPr>
          <w:sz w:val="24"/>
          <w:szCs w:val="24"/>
        </w:rPr>
      </w:pPr>
    </w:p>
    <w:p w:rsidR="00CD56F4" w:rsidRDefault="00431D07" w:rsidP="00CD56F4">
      <w:pPr>
        <w:pStyle w:val="BodyText"/>
        <w:ind w:firstLine="1440"/>
        <w:jc w:val="left"/>
        <w:rPr>
          <w:sz w:val="24"/>
          <w:szCs w:val="24"/>
        </w:rPr>
      </w:pPr>
      <w:r>
        <w:rPr>
          <w:sz w:val="24"/>
          <w:szCs w:val="24"/>
        </w:rPr>
        <w:t xml:space="preserve"> </w:t>
      </w:r>
    </w:p>
    <w:p w:rsidR="00E55642" w:rsidRPr="00206AD6" w:rsidRDefault="00DB24F3" w:rsidP="00DB24F3">
      <w:pPr>
        <w:pStyle w:val="BodyText"/>
        <w:tabs>
          <w:tab w:val="left" w:pos="5760"/>
          <w:tab w:val="left" w:pos="9180"/>
        </w:tabs>
        <w:spacing w:line="240" w:lineRule="auto"/>
        <w:jc w:val="left"/>
        <w:rPr>
          <w:sz w:val="24"/>
          <w:szCs w:val="24"/>
        </w:rPr>
      </w:pPr>
      <w:r>
        <w:rPr>
          <w:sz w:val="24"/>
          <w:szCs w:val="24"/>
        </w:rPr>
        <w:t xml:space="preserve">Date:  </w:t>
      </w:r>
      <w:r w:rsidRPr="00DB24F3">
        <w:rPr>
          <w:sz w:val="24"/>
          <w:szCs w:val="24"/>
          <w:u w:val="single"/>
        </w:rPr>
        <w:t>N</w:t>
      </w:r>
      <w:r w:rsidR="00760D6C" w:rsidRPr="00DB24F3">
        <w:rPr>
          <w:sz w:val="24"/>
          <w:szCs w:val="24"/>
          <w:u w:val="single"/>
        </w:rPr>
        <w:t>ovember 7</w:t>
      </w:r>
      <w:r w:rsidR="003A58CA" w:rsidRPr="00DB24F3">
        <w:rPr>
          <w:sz w:val="24"/>
          <w:szCs w:val="24"/>
          <w:u w:val="single"/>
        </w:rPr>
        <w:t>, 2011</w:t>
      </w:r>
      <w:r w:rsidR="002F5CA0" w:rsidRPr="00206AD6">
        <w:rPr>
          <w:sz w:val="24"/>
          <w:szCs w:val="24"/>
        </w:rPr>
        <w:tab/>
      </w:r>
      <w:r w:rsidR="002F5CA0" w:rsidRPr="00206AD6">
        <w:rPr>
          <w:sz w:val="24"/>
          <w:szCs w:val="24"/>
          <w:u w:val="single"/>
        </w:rPr>
        <w:tab/>
      </w:r>
      <w:r>
        <w:rPr>
          <w:sz w:val="24"/>
          <w:szCs w:val="24"/>
          <w:u w:val="single"/>
        </w:rPr>
        <w:tab/>
      </w:r>
      <w:r>
        <w:rPr>
          <w:sz w:val="24"/>
          <w:szCs w:val="24"/>
        </w:rPr>
        <w:tab/>
      </w:r>
      <w:r w:rsidR="00206AD6">
        <w:rPr>
          <w:sz w:val="24"/>
          <w:szCs w:val="24"/>
        </w:rPr>
        <w:t>Kandace F. Melillo</w:t>
      </w:r>
    </w:p>
    <w:p w:rsidR="000207EE" w:rsidRDefault="00E55642" w:rsidP="003A58CA">
      <w:pPr>
        <w:spacing w:line="240" w:lineRule="auto"/>
        <w:rPr>
          <w:sz w:val="24"/>
          <w:szCs w:val="24"/>
        </w:rPr>
      </w:pPr>
      <w:r w:rsidRPr="00206AD6">
        <w:rPr>
          <w:sz w:val="24"/>
          <w:szCs w:val="24"/>
        </w:rPr>
        <w:tab/>
      </w:r>
      <w:r w:rsidRPr="00206AD6">
        <w:rPr>
          <w:sz w:val="24"/>
          <w:szCs w:val="24"/>
        </w:rPr>
        <w:tab/>
      </w:r>
      <w:r w:rsidRPr="00206AD6">
        <w:rPr>
          <w:sz w:val="24"/>
          <w:szCs w:val="24"/>
        </w:rPr>
        <w:tab/>
      </w:r>
      <w:r w:rsidRPr="00206AD6">
        <w:rPr>
          <w:sz w:val="24"/>
          <w:szCs w:val="24"/>
        </w:rPr>
        <w:tab/>
      </w:r>
      <w:r w:rsidRPr="00206AD6">
        <w:rPr>
          <w:sz w:val="24"/>
          <w:szCs w:val="24"/>
        </w:rPr>
        <w:tab/>
      </w:r>
      <w:r w:rsidRPr="00206AD6">
        <w:rPr>
          <w:sz w:val="24"/>
          <w:szCs w:val="24"/>
        </w:rPr>
        <w:tab/>
      </w:r>
      <w:r w:rsidR="00206AD6">
        <w:rPr>
          <w:sz w:val="24"/>
          <w:szCs w:val="24"/>
        </w:rPr>
        <w:tab/>
      </w:r>
      <w:r w:rsidR="004C3891">
        <w:rPr>
          <w:sz w:val="24"/>
          <w:szCs w:val="24"/>
        </w:rPr>
        <w:tab/>
      </w:r>
      <w:r w:rsidR="00355F0C">
        <w:rPr>
          <w:sz w:val="24"/>
          <w:szCs w:val="24"/>
        </w:rPr>
        <w:t>Administrative Law Judge</w:t>
      </w:r>
    </w:p>
    <w:p w:rsidR="00DB24F3" w:rsidRDefault="00DB24F3" w:rsidP="002F5CA0">
      <w:pPr>
        <w:spacing w:line="240" w:lineRule="auto"/>
        <w:rPr>
          <w:sz w:val="24"/>
          <w:szCs w:val="24"/>
        </w:rPr>
        <w:sectPr w:rsidR="00DB24F3" w:rsidSect="00126232">
          <w:footerReference w:type="even" r:id="rId9"/>
          <w:footerReference w:type="default" r:id="rId10"/>
          <w:pgSz w:w="12240" w:h="15840"/>
          <w:pgMar w:top="1440" w:right="1440" w:bottom="1440" w:left="1440" w:header="720" w:footer="720" w:gutter="0"/>
          <w:cols w:space="720"/>
          <w:titlePg/>
        </w:sectPr>
      </w:pPr>
    </w:p>
    <w:p w:rsidR="00CF2532" w:rsidRDefault="00CF2532" w:rsidP="00CF2532">
      <w:pPr>
        <w:spacing w:line="240" w:lineRule="auto"/>
        <w:rPr>
          <w:rFonts w:ascii="Microsoft Sans Serif"/>
          <w:b/>
          <w:sz w:val="24"/>
          <w:u w:val="single"/>
        </w:rPr>
      </w:pPr>
      <w:r>
        <w:rPr>
          <w:rFonts w:ascii="Microsoft Sans Serif"/>
          <w:b/>
          <w:sz w:val="24"/>
          <w:u w:val="single"/>
        </w:rPr>
        <w:lastRenderedPageBreak/>
        <w:t>F-2010-2181822 - THADDEUS D'AMBROSIA v. PPL ELECTRIC UTILITIES</w:t>
      </w:r>
      <w:r>
        <w:rPr>
          <w:rFonts w:ascii="Microsoft Sans Serif"/>
          <w:b/>
          <w:sz w:val="24"/>
          <w:u w:val="single"/>
        </w:rPr>
        <w:cr/>
      </w:r>
      <w:r>
        <w:rPr>
          <w:rFonts w:ascii="Microsoft Sans Serif"/>
          <w:b/>
          <w:sz w:val="24"/>
          <w:u w:val="single"/>
        </w:rPr>
        <w:cr/>
      </w:r>
    </w:p>
    <w:p w:rsidR="00CF2532" w:rsidRDefault="00CF2532" w:rsidP="00CF2532">
      <w:pPr>
        <w:spacing w:line="240" w:lineRule="auto"/>
        <w:rPr>
          <w:rFonts w:ascii="Microsoft Sans Serif"/>
          <w:sz w:val="24"/>
        </w:rPr>
      </w:pPr>
      <w:r>
        <w:rPr>
          <w:rFonts w:ascii="Microsoft Sans Serif"/>
          <w:sz w:val="24"/>
        </w:rPr>
        <w:t>THADDEUS D'AMBROSIA</w:t>
      </w:r>
      <w:r>
        <w:rPr>
          <w:rFonts w:ascii="Microsoft Sans Serif"/>
          <w:sz w:val="24"/>
        </w:rPr>
        <w:cr/>
        <w:t>2736 MASSACHUSETTS CT</w:t>
      </w:r>
      <w:r>
        <w:rPr>
          <w:rFonts w:ascii="Microsoft Sans Serif"/>
          <w:sz w:val="24"/>
        </w:rPr>
        <w:cr/>
        <w:t>HARRISBURG PA  17112</w:t>
      </w:r>
      <w:r>
        <w:rPr>
          <w:rFonts w:ascii="Microsoft Sans Serif"/>
          <w:sz w:val="24"/>
        </w:rPr>
        <w:cr/>
      </w:r>
      <w:r>
        <w:rPr>
          <w:rFonts w:ascii="Microsoft Sans Serif"/>
          <w:b/>
          <w:sz w:val="24"/>
        </w:rPr>
        <w:t>717.350.</w:t>
      </w:r>
      <w:r w:rsidRPr="00081EBA">
        <w:rPr>
          <w:rFonts w:ascii="Microsoft Sans Serif"/>
          <w:b/>
          <w:sz w:val="24"/>
        </w:rPr>
        <w:t>9227</w:t>
      </w:r>
      <w:r>
        <w:rPr>
          <w:rFonts w:ascii="Microsoft Sans Serif"/>
          <w:sz w:val="24"/>
        </w:rPr>
        <w:cr/>
      </w:r>
      <w:r>
        <w:rPr>
          <w:rFonts w:ascii="Microsoft Sans Serif"/>
          <w:sz w:val="24"/>
        </w:rPr>
        <w:cr/>
        <w:t>KIMBERLY G KRUPKA ESQUIRE</w:t>
      </w:r>
      <w:r>
        <w:rPr>
          <w:rFonts w:ascii="Microsoft Sans Serif"/>
          <w:sz w:val="24"/>
        </w:rPr>
        <w:cr/>
        <w:t>GROSS MCGINLEY LLP</w:t>
      </w:r>
      <w:r>
        <w:rPr>
          <w:rFonts w:ascii="Microsoft Sans Serif"/>
          <w:sz w:val="24"/>
        </w:rPr>
        <w:cr/>
        <w:t>33 SOUTH SEVENTH STREET</w:t>
      </w:r>
      <w:r>
        <w:rPr>
          <w:rFonts w:ascii="Microsoft Sans Serif"/>
          <w:sz w:val="24"/>
        </w:rPr>
        <w:cr/>
        <w:t>PO BOX 4060</w:t>
      </w:r>
      <w:r>
        <w:rPr>
          <w:rFonts w:ascii="Microsoft Sans Serif"/>
          <w:sz w:val="24"/>
        </w:rPr>
        <w:cr/>
        <w:t>ALLENTOWN PA  18105-4060</w:t>
      </w:r>
      <w:r>
        <w:rPr>
          <w:rFonts w:ascii="Microsoft Sans Serif"/>
          <w:sz w:val="24"/>
        </w:rPr>
        <w:cr/>
      </w:r>
      <w:r>
        <w:rPr>
          <w:rFonts w:ascii="Microsoft Sans Serif"/>
          <w:b/>
          <w:sz w:val="24"/>
        </w:rPr>
        <w:t>610.820.</w:t>
      </w:r>
      <w:r w:rsidRPr="00081EBA">
        <w:rPr>
          <w:rFonts w:ascii="Microsoft Sans Serif"/>
          <w:b/>
          <w:sz w:val="24"/>
        </w:rPr>
        <w:t>5450</w:t>
      </w:r>
      <w:r>
        <w:rPr>
          <w:rFonts w:ascii="Microsoft Sans Serif"/>
          <w:sz w:val="24"/>
        </w:rPr>
        <w:cr/>
      </w:r>
    </w:p>
    <w:p w:rsidR="000207EE" w:rsidRDefault="000207EE" w:rsidP="002F5CA0">
      <w:pPr>
        <w:spacing w:line="240" w:lineRule="auto"/>
        <w:rPr>
          <w:sz w:val="24"/>
          <w:szCs w:val="24"/>
        </w:rPr>
      </w:pPr>
      <w:bookmarkStart w:id="0" w:name="_GoBack"/>
      <w:bookmarkEnd w:id="0"/>
    </w:p>
    <w:sectPr w:rsidR="000207EE">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EA5" w:rsidRDefault="00745EA5">
      <w:r>
        <w:separator/>
      </w:r>
    </w:p>
  </w:endnote>
  <w:endnote w:type="continuationSeparator" w:id="0">
    <w:p w:rsidR="00745EA5" w:rsidRDefault="00745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969" w:rsidRDefault="00643969" w:rsidP="00DF5EC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43969" w:rsidRDefault="0064396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3969" w:rsidRPr="00DB24F3" w:rsidRDefault="00643969" w:rsidP="00DB24F3">
    <w:pPr>
      <w:pStyle w:val="Footer"/>
      <w:framePr w:wrap="around" w:vAnchor="text" w:hAnchor="margin" w:xAlign="center" w:y="1"/>
      <w:jc w:val="center"/>
      <w:rPr>
        <w:rStyle w:val="PageNumber"/>
        <w:sz w:val="20"/>
      </w:rPr>
    </w:pPr>
    <w:r w:rsidRPr="00DB24F3">
      <w:rPr>
        <w:rStyle w:val="PageNumber"/>
        <w:sz w:val="20"/>
      </w:rPr>
      <w:fldChar w:fldCharType="begin"/>
    </w:r>
    <w:r w:rsidRPr="00DB24F3">
      <w:rPr>
        <w:rStyle w:val="PageNumber"/>
        <w:sz w:val="20"/>
      </w:rPr>
      <w:instrText xml:space="preserve">PAGE  </w:instrText>
    </w:r>
    <w:r w:rsidRPr="00DB24F3">
      <w:rPr>
        <w:rStyle w:val="PageNumber"/>
        <w:sz w:val="20"/>
      </w:rPr>
      <w:fldChar w:fldCharType="separate"/>
    </w:r>
    <w:r w:rsidR="00CF2532">
      <w:rPr>
        <w:rStyle w:val="PageNumber"/>
        <w:noProof/>
        <w:sz w:val="20"/>
      </w:rPr>
      <w:t>2</w:t>
    </w:r>
    <w:r w:rsidRPr="00DB24F3">
      <w:rPr>
        <w:rStyle w:val="PageNumber"/>
        <w:sz w:val="20"/>
      </w:rPr>
      <w:fldChar w:fldCharType="end"/>
    </w:r>
  </w:p>
  <w:p w:rsidR="00643969" w:rsidRDefault="00643969" w:rsidP="00DB24F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2532" w:rsidRPr="00DB24F3" w:rsidRDefault="00CF2532" w:rsidP="00DB24F3">
    <w:pPr>
      <w:pStyle w:val="Footer"/>
      <w:framePr w:wrap="around" w:vAnchor="text" w:hAnchor="margin" w:xAlign="center" w:y="1"/>
      <w:jc w:val="center"/>
      <w:rPr>
        <w:rStyle w:val="PageNumber"/>
        <w:sz w:val="20"/>
      </w:rPr>
    </w:pPr>
  </w:p>
  <w:p w:rsidR="00CF2532" w:rsidRDefault="00CF2532" w:rsidP="00DB24F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EA5" w:rsidRDefault="00745EA5">
      <w:r>
        <w:separator/>
      </w:r>
    </w:p>
  </w:footnote>
  <w:footnote w:type="continuationSeparator" w:id="0">
    <w:p w:rsidR="00745EA5" w:rsidRDefault="00745E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B409C"/>
    <w:multiLevelType w:val="hybridMultilevel"/>
    <w:tmpl w:val="C37A9D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183581A"/>
    <w:multiLevelType w:val="singleLevel"/>
    <w:tmpl w:val="0409000F"/>
    <w:lvl w:ilvl="0">
      <w:start w:val="1"/>
      <w:numFmt w:val="decimal"/>
      <w:lvlText w:val="%1."/>
      <w:lvlJc w:val="left"/>
      <w:pPr>
        <w:tabs>
          <w:tab w:val="num" w:pos="1980"/>
        </w:tabs>
        <w:ind w:left="1980" w:hanging="360"/>
      </w:pPr>
    </w:lvl>
  </w:abstractNum>
  <w:abstractNum w:abstractNumId="2">
    <w:nsid w:val="28742F48"/>
    <w:multiLevelType w:val="singleLevel"/>
    <w:tmpl w:val="33B05692"/>
    <w:lvl w:ilvl="0">
      <w:start w:val="1"/>
      <w:numFmt w:val="decimal"/>
      <w:lvlText w:val="%1."/>
      <w:lvlJc w:val="left"/>
      <w:pPr>
        <w:tabs>
          <w:tab w:val="num" w:pos="2160"/>
        </w:tabs>
        <w:ind w:left="2160" w:hanging="720"/>
      </w:pPr>
      <w:rPr>
        <w:rFonts w:hint="default"/>
      </w:rPr>
    </w:lvl>
  </w:abstractNum>
  <w:abstractNum w:abstractNumId="3">
    <w:nsid w:val="436C51D0"/>
    <w:multiLevelType w:val="singleLevel"/>
    <w:tmpl w:val="C8D4F99A"/>
    <w:lvl w:ilvl="0">
      <w:start w:val="1"/>
      <w:numFmt w:val="lowerLetter"/>
      <w:lvlText w:val="(%1)"/>
      <w:lvlJc w:val="left"/>
      <w:pPr>
        <w:tabs>
          <w:tab w:val="num" w:pos="720"/>
        </w:tabs>
        <w:ind w:left="720" w:hanging="720"/>
      </w:pPr>
      <w:rPr>
        <w:rFonts w:hint="default"/>
      </w:rPr>
    </w:lvl>
  </w:abstractNum>
  <w:abstractNum w:abstractNumId="4">
    <w:nsid w:val="65176D9F"/>
    <w:multiLevelType w:val="singleLevel"/>
    <w:tmpl w:val="735AE45A"/>
    <w:lvl w:ilvl="0">
      <w:start w:val="1"/>
      <w:numFmt w:val="decimal"/>
      <w:lvlText w:val="%1."/>
      <w:lvlJc w:val="left"/>
      <w:pPr>
        <w:tabs>
          <w:tab w:val="num" w:pos="1440"/>
        </w:tabs>
        <w:ind w:left="1440" w:hanging="720"/>
      </w:pPr>
      <w:rPr>
        <w:rFonts w:hint="default"/>
      </w:rPr>
    </w:lvl>
  </w:abstractNum>
  <w:abstractNum w:abstractNumId="5">
    <w:nsid w:val="6EF75055"/>
    <w:multiLevelType w:val="singleLevel"/>
    <w:tmpl w:val="3244E540"/>
    <w:lvl w:ilvl="0">
      <w:start w:val="1"/>
      <w:numFmt w:val="decimal"/>
      <w:lvlText w:val="%1."/>
      <w:lvlJc w:val="left"/>
      <w:pPr>
        <w:tabs>
          <w:tab w:val="num" w:pos="1440"/>
        </w:tabs>
        <w:ind w:left="1440" w:hanging="720"/>
      </w:pPr>
      <w:rPr>
        <w:rFonts w:hint="default"/>
      </w:rPr>
    </w:lvl>
  </w:abstractNum>
  <w:abstractNum w:abstractNumId="6">
    <w:nsid w:val="779E4175"/>
    <w:multiLevelType w:val="singleLevel"/>
    <w:tmpl w:val="E6CCE61E"/>
    <w:lvl w:ilvl="0">
      <w:start w:val="2"/>
      <w:numFmt w:val="lowerLetter"/>
      <w:lvlText w:val="(%1)"/>
      <w:lvlJc w:val="left"/>
      <w:pPr>
        <w:tabs>
          <w:tab w:val="num" w:pos="360"/>
        </w:tabs>
        <w:ind w:left="360" w:hanging="360"/>
      </w:pPr>
      <w:rPr>
        <w:rFonts w:hint="default"/>
      </w:rPr>
    </w:lvl>
  </w:abstractNum>
  <w:num w:numId="1">
    <w:abstractNumId w:val="4"/>
  </w:num>
  <w:num w:numId="2">
    <w:abstractNumId w:val="5"/>
  </w:num>
  <w:num w:numId="3">
    <w:abstractNumId w:val="2"/>
  </w:num>
  <w:num w:numId="4">
    <w:abstractNumId w:val="3"/>
  </w:num>
  <w:num w:numId="5">
    <w:abstractNumId w:val="6"/>
  </w:num>
  <w:num w:numId="6">
    <w:abstractNumId w:val="5"/>
    <w:lvlOverride w:ilvl="0">
      <w:startOverride w:val="1"/>
    </w:lvlOverride>
  </w:num>
  <w:num w:numId="7">
    <w:abstractNumId w:val="2"/>
    <w:lvlOverride w:ilvl="0">
      <w:startOverride w:val="1"/>
    </w:lvlOverride>
  </w:num>
  <w:num w:numId="8">
    <w:abstractNumId w:val="6"/>
    <w:lvlOverride w:ilvl="0">
      <w:startOverride w:val="2"/>
    </w:lvlOverride>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056E"/>
    <w:rsid w:val="0000468C"/>
    <w:rsid w:val="0001101C"/>
    <w:rsid w:val="000126F2"/>
    <w:rsid w:val="00013A03"/>
    <w:rsid w:val="00015B6D"/>
    <w:rsid w:val="00016348"/>
    <w:rsid w:val="000200CF"/>
    <w:rsid w:val="00020267"/>
    <w:rsid w:val="000207EE"/>
    <w:rsid w:val="000225AC"/>
    <w:rsid w:val="00034DCC"/>
    <w:rsid w:val="00054B48"/>
    <w:rsid w:val="00063C77"/>
    <w:rsid w:val="00075D62"/>
    <w:rsid w:val="00077F45"/>
    <w:rsid w:val="00080EC1"/>
    <w:rsid w:val="0009306E"/>
    <w:rsid w:val="000B7A88"/>
    <w:rsid w:val="000C3FF3"/>
    <w:rsid w:val="000C4F25"/>
    <w:rsid w:val="000D0F65"/>
    <w:rsid w:val="000E1E4A"/>
    <w:rsid w:val="000E3D18"/>
    <w:rsid w:val="000F7CFB"/>
    <w:rsid w:val="001029DF"/>
    <w:rsid w:val="00106BE4"/>
    <w:rsid w:val="00115C56"/>
    <w:rsid w:val="00115DDB"/>
    <w:rsid w:val="00121D44"/>
    <w:rsid w:val="0012450E"/>
    <w:rsid w:val="00126232"/>
    <w:rsid w:val="001277FD"/>
    <w:rsid w:val="001314CA"/>
    <w:rsid w:val="00134B1E"/>
    <w:rsid w:val="00141EBF"/>
    <w:rsid w:val="00145AD2"/>
    <w:rsid w:val="00160EE9"/>
    <w:rsid w:val="00172CFA"/>
    <w:rsid w:val="001777CC"/>
    <w:rsid w:val="001845CE"/>
    <w:rsid w:val="00185B20"/>
    <w:rsid w:val="00187A71"/>
    <w:rsid w:val="0019513E"/>
    <w:rsid w:val="00195D39"/>
    <w:rsid w:val="001A343E"/>
    <w:rsid w:val="001A63C3"/>
    <w:rsid w:val="001A6B4F"/>
    <w:rsid w:val="001B2B53"/>
    <w:rsid w:val="001C232F"/>
    <w:rsid w:val="001D6C2E"/>
    <w:rsid w:val="001E297E"/>
    <w:rsid w:val="001F1142"/>
    <w:rsid w:val="001F3412"/>
    <w:rsid w:val="001F373C"/>
    <w:rsid w:val="001F765B"/>
    <w:rsid w:val="0020392A"/>
    <w:rsid w:val="00205F85"/>
    <w:rsid w:val="002065BE"/>
    <w:rsid w:val="00206AD6"/>
    <w:rsid w:val="00210062"/>
    <w:rsid w:val="0023118D"/>
    <w:rsid w:val="00235633"/>
    <w:rsid w:val="0023732C"/>
    <w:rsid w:val="00270252"/>
    <w:rsid w:val="002708E0"/>
    <w:rsid w:val="00283DC1"/>
    <w:rsid w:val="00293709"/>
    <w:rsid w:val="002A4D47"/>
    <w:rsid w:val="002B45F5"/>
    <w:rsid w:val="002D41A2"/>
    <w:rsid w:val="002E2531"/>
    <w:rsid w:val="002F2C79"/>
    <w:rsid w:val="002F34E3"/>
    <w:rsid w:val="002F5CA0"/>
    <w:rsid w:val="002F7369"/>
    <w:rsid w:val="0030427E"/>
    <w:rsid w:val="003105AC"/>
    <w:rsid w:val="003177F9"/>
    <w:rsid w:val="003259F4"/>
    <w:rsid w:val="00331DE4"/>
    <w:rsid w:val="003411B7"/>
    <w:rsid w:val="0034681A"/>
    <w:rsid w:val="003530F5"/>
    <w:rsid w:val="00355F0C"/>
    <w:rsid w:val="00377053"/>
    <w:rsid w:val="00384C6A"/>
    <w:rsid w:val="00387B22"/>
    <w:rsid w:val="00392151"/>
    <w:rsid w:val="003A58CA"/>
    <w:rsid w:val="003B26AE"/>
    <w:rsid w:val="003B68EE"/>
    <w:rsid w:val="003C3BA4"/>
    <w:rsid w:val="003D38A5"/>
    <w:rsid w:val="003E2CCE"/>
    <w:rsid w:val="003E471E"/>
    <w:rsid w:val="003F5E65"/>
    <w:rsid w:val="00401B6C"/>
    <w:rsid w:val="004114EA"/>
    <w:rsid w:val="0041384E"/>
    <w:rsid w:val="00413E05"/>
    <w:rsid w:val="0041415C"/>
    <w:rsid w:val="0042381A"/>
    <w:rsid w:val="0043056E"/>
    <w:rsid w:val="00431265"/>
    <w:rsid w:val="004316BC"/>
    <w:rsid w:val="00431D07"/>
    <w:rsid w:val="004324C7"/>
    <w:rsid w:val="00442CE5"/>
    <w:rsid w:val="00445BDD"/>
    <w:rsid w:val="00453F74"/>
    <w:rsid w:val="00455102"/>
    <w:rsid w:val="00466106"/>
    <w:rsid w:val="00470559"/>
    <w:rsid w:val="00475D8A"/>
    <w:rsid w:val="0049156A"/>
    <w:rsid w:val="0049191B"/>
    <w:rsid w:val="00495C70"/>
    <w:rsid w:val="004A07DE"/>
    <w:rsid w:val="004A4F24"/>
    <w:rsid w:val="004C3891"/>
    <w:rsid w:val="004C7FBD"/>
    <w:rsid w:val="004D325A"/>
    <w:rsid w:val="004D413E"/>
    <w:rsid w:val="004D5461"/>
    <w:rsid w:val="004E7D1A"/>
    <w:rsid w:val="004F1CF0"/>
    <w:rsid w:val="004F22DA"/>
    <w:rsid w:val="00501CB1"/>
    <w:rsid w:val="00506AB8"/>
    <w:rsid w:val="00512AA2"/>
    <w:rsid w:val="00515AE5"/>
    <w:rsid w:val="00517FD4"/>
    <w:rsid w:val="005216EE"/>
    <w:rsid w:val="005238A6"/>
    <w:rsid w:val="00555C71"/>
    <w:rsid w:val="0056148A"/>
    <w:rsid w:val="00564A4F"/>
    <w:rsid w:val="00565951"/>
    <w:rsid w:val="00572E36"/>
    <w:rsid w:val="00575C4A"/>
    <w:rsid w:val="00576481"/>
    <w:rsid w:val="005842CA"/>
    <w:rsid w:val="00592746"/>
    <w:rsid w:val="00592B5E"/>
    <w:rsid w:val="005A03E3"/>
    <w:rsid w:val="005A6712"/>
    <w:rsid w:val="005B250D"/>
    <w:rsid w:val="005B614C"/>
    <w:rsid w:val="005C4A69"/>
    <w:rsid w:val="005C7F8D"/>
    <w:rsid w:val="005D3DEA"/>
    <w:rsid w:val="005E78DD"/>
    <w:rsid w:val="005F7569"/>
    <w:rsid w:val="00601840"/>
    <w:rsid w:val="006033E9"/>
    <w:rsid w:val="00604CE1"/>
    <w:rsid w:val="00611B97"/>
    <w:rsid w:val="006126A2"/>
    <w:rsid w:val="0061304C"/>
    <w:rsid w:val="006150C7"/>
    <w:rsid w:val="0062644A"/>
    <w:rsid w:val="006325ED"/>
    <w:rsid w:val="00632711"/>
    <w:rsid w:val="006336DE"/>
    <w:rsid w:val="00641969"/>
    <w:rsid w:val="006426C0"/>
    <w:rsid w:val="00643969"/>
    <w:rsid w:val="00650D16"/>
    <w:rsid w:val="0065746A"/>
    <w:rsid w:val="00686E80"/>
    <w:rsid w:val="006A1C20"/>
    <w:rsid w:val="006C1F71"/>
    <w:rsid w:val="006C3DB3"/>
    <w:rsid w:val="006D284B"/>
    <w:rsid w:val="006F123F"/>
    <w:rsid w:val="00715441"/>
    <w:rsid w:val="00720DA0"/>
    <w:rsid w:val="00723BC6"/>
    <w:rsid w:val="00731409"/>
    <w:rsid w:val="00735DFA"/>
    <w:rsid w:val="00740D85"/>
    <w:rsid w:val="0074384B"/>
    <w:rsid w:val="00745EA5"/>
    <w:rsid w:val="00760D6C"/>
    <w:rsid w:val="0076511D"/>
    <w:rsid w:val="007659E6"/>
    <w:rsid w:val="00774222"/>
    <w:rsid w:val="00775297"/>
    <w:rsid w:val="00793327"/>
    <w:rsid w:val="00793BC4"/>
    <w:rsid w:val="007B33B9"/>
    <w:rsid w:val="007B3C77"/>
    <w:rsid w:val="007B538E"/>
    <w:rsid w:val="007C1637"/>
    <w:rsid w:val="007C46F3"/>
    <w:rsid w:val="007D07FC"/>
    <w:rsid w:val="007D0FF4"/>
    <w:rsid w:val="007D1067"/>
    <w:rsid w:val="007D2BB6"/>
    <w:rsid w:val="007D3C0C"/>
    <w:rsid w:val="007D50CB"/>
    <w:rsid w:val="007F491A"/>
    <w:rsid w:val="00800B9A"/>
    <w:rsid w:val="00806ABA"/>
    <w:rsid w:val="0081446E"/>
    <w:rsid w:val="00814848"/>
    <w:rsid w:val="00825F7E"/>
    <w:rsid w:val="008275A5"/>
    <w:rsid w:val="00827641"/>
    <w:rsid w:val="008430AB"/>
    <w:rsid w:val="008555A9"/>
    <w:rsid w:val="00865A77"/>
    <w:rsid w:val="008855E3"/>
    <w:rsid w:val="00885C0F"/>
    <w:rsid w:val="0089151B"/>
    <w:rsid w:val="008951C9"/>
    <w:rsid w:val="008A4B38"/>
    <w:rsid w:val="008A748E"/>
    <w:rsid w:val="008A799C"/>
    <w:rsid w:val="008B14A1"/>
    <w:rsid w:val="008B4AE0"/>
    <w:rsid w:val="008C680F"/>
    <w:rsid w:val="008C6CBD"/>
    <w:rsid w:val="008E04ED"/>
    <w:rsid w:val="008E20F7"/>
    <w:rsid w:val="008E7974"/>
    <w:rsid w:val="008F145C"/>
    <w:rsid w:val="00903CB0"/>
    <w:rsid w:val="00914CC7"/>
    <w:rsid w:val="009219F3"/>
    <w:rsid w:val="0092325E"/>
    <w:rsid w:val="0092369F"/>
    <w:rsid w:val="0093224A"/>
    <w:rsid w:val="00940844"/>
    <w:rsid w:val="00944BE0"/>
    <w:rsid w:val="00951157"/>
    <w:rsid w:val="00954BC6"/>
    <w:rsid w:val="00956852"/>
    <w:rsid w:val="009628FF"/>
    <w:rsid w:val="00963500"/>
    <w:rsid w:val="00965015"/>
    <w:rsid w:val="0096779F"/>
    <w:rsid w:val="00970E26"/>
    <w:rsid w:val="00974524"/>
    <w:rsid w:val="00985006"/>
    <w:rsid w:val="009900F2"/>
    <w:rsid w:val="00994ADF"/>
    <w:rsid w:val="009A1595"/>
    <w:rsid w:val="009A3ADD"/>
    <w:rsid w:val="009B4120"/>
    <w:rsid w:val="009C0906"/>
    <w:rsid w:val="009D609A"/>
    <w:rsid w:val="009D7DA0"/>
    <w:rsid w:val="009E51F2"/>
    <w:rsid w:val="009F38EF"/>
    <w:rsid w:val="009F567B"/>
    <w:rsid w:val="009F5897"/>
    <w:rsid w:val="00A0021D"/>
    <w:rsid w:val="00A0722D"/>
    <w:rsid w:val="00A07ABA"/>
    <w:rsid w:val="00A15EC9"/>
    <w:rsid w:val="00A411BE"/>
    <w:rsid w:val="00A41252"/>
    <w:rsid w:val="00A53888"/>
    <w:rsid w:val="00A53C9B"/>
    <w:rsid w:val="00A53CD9"/>
    <w:rsid w:val="00A56D8A"/>
    <w:rsid w:val="00A5790A"/>
    <w:rsid w:val="00A71273"/>
    <w:rsid w:val="00A83337"/>
    <w:rsid w:val="00A84107"/>
    <w:rsid w:val="00A85CC9"/>
    <w:rsid w:val="00A903C0"/>
    <w:rsid w:val="00A91B6E"/>
    <w:rsid w:val="00A94180"/>
    <w:rsid w:val="00A942E0"/>
    <w:rsid w:val="00AA20FF"/>
    <w:rsid w:val="00AB0CB8"/>
    <w:rsid w:val="00AB6678"/>
    <w:rsid w:val="00AB66F6"/>
    <w:rsid w:val="00AC2BC0"/>
    <w:rsid w:val="00AC7B8E"/>
    <w:rsid w:val="00AD44E8"/>
    <w:rsid w:val="00AE0C7D"/>
    <w:rsid w:val="00AE5C66"/>
    <w:rsid w:val="00AE7BD8"/>
    <w:rsid w:val="00AF6216"/>
    <w:rsid w:val="00B21189"/>
    <w:rsid w:val="00B223F1"/>
    <w:rsid w:val="00B41FCA"/>
    <w:rsid w:val="00B53A05"/>
    <w:rsid w:val="00B549E3"/>
    <w:rsid w:val="00B67370"/>
    <w:rsid w:val="00B70669"/>
    <w:rsid w:val="00B86457"/>
    <w:rsid w:val="00B912BF"/>
    <w:rsid w:val="00BA1223"/>
    <w:rsid w:val="00BA1497"/>
    <w:rsid w:val="00BB0588"/>
    <w:rsid w:val="00BB7FFC"/>
    <w:rsid w:val="00BD1574"/>
    <w:rsid w:val="00BD4EFA"/>
    <w:rsid w:val="00BE21F9"/>
    <w:rsid w:val="00BE2B9D"/>
    <w:rsid w:val="00BE738C"/>
    <w:rsid w:val="00C00536"/>
    <w:rsid w:val="00C02C28"/>
    <w:rsid w:val="00C0789E"/>
    <w:rsid w:val="00C11341"/>
    <w:rsid w:val="00C17FB1"/>
    <w:rsid w:val="00C32EC4"/>
    <w:rsid w:val="00C402D0"/>
    <w:rsid w:val="00C54F59"/>
    <w:rsid w:val="00C84399"/>
    <w:rsid w:val="00C851A8"/>
    <w:rsid w:val="00CA491A"/>
    <w:rsid w:val="00CA74F3"/>
    <w:rsid w:val="00CA758B"/>
    <w:rsid w:val="00CB2675"/>
    <w:rsid w:val="00CB3DF0"/>
    <w:rsid w:val="00CB5B1F"/>
    <w:rsid w:val="00CB5E03"/>
    <w:rsid w:val="00CD56F4"/>
    <w:rsid w:val="00CE2CAF"/>
    <w:rsid w:val="00CF08E2"/>
    <w:rsid w:val="00CF0A8B"/>
    <w:rsid w:val="00CF149D"/>
    <w:rsid w:val="00CF2532"/>
    <w:rsid w:val="00CF2911"/>
    <w:rsid w:val="00D238C6"/>
    <w:rsid w:val="00D2497E"/>
    <w:rsid w:val="00D4110F"/>
    <w:rsid w:val="00D418DA"/>
    <w:rsid w:val="00D502C6"/>
    <w:rsid w:val="00D55CB2"/>
    <w:rsid w:val="00D63F08"/>
    <w:rsid w:val="00D644E4"/>
    <w:rsid w:val="00D67582"/>
    <w:rsid w:val="00D71CE1"/>
    <w:rsid w:val="00D720A8"/>
    <w:rsid w:val="00D72F75"/>
    <w:rsid w:val="00D806D9"/>
    <w:rsid w:val="00D80844"/>
    <w:rsid w:val="00D915C7"/>
    <w:rsid w:val="00D957C7"/>
    <w:rsid w:val="00DA5EE7"/>
    <w:rsid w:val="00DA7128"/>
    <w:rsid w:val="00DA75C3"/>
    <w:rsid w:val="00DB24F3"/>
    <w:rsid w:val="00DB43FC"/>
    <w:rsid w:val="00DC4557"/>
    <w:rsid w:val="00DC4D39"/>
    <w:rsid w:val="00DD1394"/>
    <w:rsid w:val="00DF2A0B"/>
    <w:rsid w:val="00DF3E9F"/>
    <w:rsid w:val="00DF5EC5"/>
    <w:rsid w:val="00DF681B"/>
    <w:rsid w:val="00E05AE1"/>
    <w:rsid w:val="00E05C73"/>
    <w:rsid w:val="00E1348F"/>
    <w:rsid w:val="00E145BD"/>
    <w:rsid w:val="00E16352"/>
    <w:rsid w:val="00E173C5"/>
    <w:rsid w:val="00E27A89"/>
    <w:rsid w:val="00E308DE"/>
    <w:rsid w:val="00E461FB"/>
    <w:rsid w:val="00E4714E"/>
    <w:rsid w:val="00E5092D"/>
    <w:rsid w:val="00E55642"/>
    <w:rsid w:val="00E66765"/>
    <w:rsid w:val="00E7105E"/>
    <w:rsid w:val="00E7745D"/>
    <w:rsid w:val="00E80774"/>
    <w:rsid w:val="00E850DD"/>
    <w:rsid w:val="00E93B4B"/>
    <w:rsid w:val="00E94C4C"/>
    <w:rsid w:val="00E97006"/>
    <w:rsid w:val="00EA1F51"/>
    <w:rsid w:val="00EA5E84"/>
    <w:rsid w:val="00EC7118"/>
    <w:rsid w:val="00ED7E0D"/>
    <w:rsid w:val="00EE4496"/>
    <w:rsid w:val="00EE7BEF"/>
    <w:rsid w:val="00EF2F14"/>
    <w:rsid w:val="00EF32E8"/>
    <w:rsid w:val="00EF634C"/>
    <w:rsid w:val="00EF7CDA"/>
    <w:rsid w:val="00F00441"/>
    <w:rsid w:val="00F01645"/>
    <w:rsid w:val="00F01A57"/>
    <w:rsid w:val="00F0443E"/>
    <w:rsid w:val="00F308F5"/>
    <w:rsid w:val="00F3217D"/>
    <w:rsid w:val="00F3233B"/>
    <w:rsid w:val="00F360F5"/>
    <w:rsid w:val="00F46A49"/>
    <w:rsid w:val="00F53BA7"/>
    <w:rsid w:val="00F5563B"/>
    <w:rsid w:val="00F865FF"/>
    <w:rsid w:val="00F905A9"/>
    <w:rsid w:val="00F9161E"/>
    <w:rsid w:val="00F922DB"/>
    <w:rsid w:val="00F9419A"/>
    <w:rsid w:val="00F96316"/>
    <w:rsid w:val="00F96B8C"/>
    <w:rsid w:val="00FA1638"/>
    <w:rsid w:val="00FA641E"/>
    <w:rsid w:val="00FD2B26"/>
    <w:rsid w:val="00FE55D3"/>
    <w:rsid w:val="00FE7642"/>
    <w:rsid w:val="00FF1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semiHidden/>
    <w:rsid w:val="00E850DD"/>
    <w:rPr>
      <w:sz w:val="20"/>
    </w:rPr>
  </w:style>
  <w:style w:type="character" w:styleId="FootnoteReference">
    <w:name w:val="footnote reference"/>
    <w:basedOn w:val="DefaultParagraphFont"/>
    <w:semiHidden/>
    <w:rsid w:val="00E850DD"/>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line="360" w:lineRule="auto"/>
    </w:pPr>
    <w:rPr>
      <w:sz w:val="26"/>
    </w:rPr>
  </w:style>
  <w:style w:type="paragraph" w:styleId="Heading1">
    <w:name w:val="heading 1"/>
    <w:basedOn w:val="Normal"/>
    <w:next w:val="Normal"/>
    <w:qFormat/>
    <w:pPr>
      <w:keepNext/>
      <w:spacing w:line="240" w:lineRule="auto"/>
      <w:jc w:val="center"/>
      <w:outlineLvl w:val="0"/>
    </w:pPr>
    <w:rPr>
      <w:u w:val="single"/>
    </w:rPr>
  </w:style>
  <w:style w:type="paragraph" w:styleId="Heading2">
    <w:name w:val="heading 2"/>
    <w:basedOn w:val="Normal"/>
    <w:next w:val="Normal"/>
    <w:qFormat/>
    <w:pPr>
      <w:keepNext/>
      <w:ind w:left="720"/>
      <w:jc w:val="center"/>
      <w:outlineLvl w:val="1"/>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rsid w:val="00555C71"/>
    <w:pPr>
      <w:jc w:val="both"/>
    </w:pPr>
    <w:rPr>
      <w:rFonts w:eastAsia="SimSun"/>
    </w:rPr>
  </w:style>
  <w:style w:type="paragraph" w:styleId="Header">
    <w:name w:val="header"/>
    <w:basedOn w:val="Normal"/>
    <w:rsid w:val="007C46F3"/>
    <w:pPr>
      <w:tabs>
        <w:tab w:val="center" w:pos="4320"/>
        <w:tab w:val="right" w:pos="8640"/>
      </w:tabs>
    </w:pPr>
  </w:style>
  <w:style w:type="paragraph" w:styleId="FootnoteText">
    <w:name w:val="footnote text"/>
    <w:basedOn w:val="Normal"/>
    <w:semiHidden/>
    <w:rsid w:val="00E850DD"/>
    <w:rPr>
      <w:sz w:val="20"/>
    </w:rPr>
  </w:style>
  <w:style w:type="character" w:styleId="FootnoteReference">
    <w:name w:val="footnote reference"/>
    <w:basedOn w:val="DefaultParagraphFont"/>
    <w:semiHidden/>
    <w:rsid w:val="00E850D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9979285">
      <w:bodyDiv w:val="1"/>
      <w:marLeft w:val="0"/>
      <w:marRight w:val="0"/>
      <w:marTop w:val="0"/>
      <w:marBottom w:val="0"/>
      <w:divBdr>
        <w:top w:val="none" w:sz="0" w:space="0" w:color="auto"/>
        <w:left w:val="none" w:sz="0" w:space="0" w:color="auto"/>
        <w:bottom w:val="none" w:sz="0" w:space="0" w:color="auto"/>
        <w:right w:val="none" w:sz="0" w:space="0" w:color="auto"/>
      </w:divBdr>
    </w:div>
    <w:div w:id="1150516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508553-9F37-46BA-9C53-C61F22E1AA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349</Words>
  <Characters>1992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BEFORE THE PENNSYLVANIA PUBLIC UTILITY COMMISSION</vt:lpstr>
    </vt:vector>
  </TitlesOfParts>
  <Company>PUC</Company>
  <LinksUpToDate>false</LinksUpToDate>
  <CharactersWithSpaces>2337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 PENNSYLVANIA PUBLIC UTILITY COMMISSION</dc:title>
  <dc:creator>NEMEC</dc:creator>
  <cp:lastModifiedBy>shoffner</cp:lastModifiedBy>
  <cp:revision>3</cp:revision>
  <cp:lastPrinted>2011-11-07T21:58:00Z</cp:lastPrinted>
  <dcterms:created xsi:type="dcterms:W3CDTF">2011-11-09T13:38:00Z</dcterms:created>
  <dcterms:modified xsi:type="dcterms:W3CDTF">2011-11-09T13:41:00Z</dcterms:modified>
</cp:coreProperties>
</file>