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65" w:rsidRPr="004B5B65" w:rsidRDefault="004B5B65" w:rsidP="004B5B65">
      <w:pPr>
        <w:jc w:val="center"/>
        <w:rPr>
          <w:b/>
          <w:sz w:val="26"/>
          <w:szCs w:val="26"/>
        </w:rPr>
      </w:pPr>
      <w:r w:rsidRPr="004B5B65">
        <w:rPr>
          <w:b/>
          <w:sz w:val="26"/>
          <w:szCs w:val="26"/>
        </w:rPr>
        <w:t>PENNSYLVANIA</w:t>
      </w:r>
    </w:p>
    <w:p w:rsidR="004B5B65" w:rsidRPr="004B5B65" w:rsidRDefault="004B5B65" w:rsidP="004B5B65">
      <w:pPr>
        <w:jc w:val="center"/>
        <w:rPr>
          <w:b/>
          <w:sz w:val="26"/>
          <w:szCs w:val="26"/>
        </w:rPr>
      </w:pPr>
      <w:r w:rsidRPr="004B5B65">
        <w:rPr>
          <w:b/>
          <w:sz w:val="26"/>
          <w:szCs w:val="26"/>
        </w:rPr>
        <w:t>PUBLIC UTILITY COMMISSION</w:t>
      </w:r>
    </w:p>
    <w:p w:rsidR="004B5B65" w:rsidRPr="004B5B65" w:rsidRDefault="004B5B65" w:rsidP="004B5B65">
      <w:pPr>
        <w:jc w:val="center"/>
        <w:rPr>
          <w:b/>
          <w:sz w:val="26"/>
          <w:szCs w:val="26"/>
        </w:rPr>
      </w:pPr>
      <w:r w:rsidRPr="004B5B65">
        <w:rPr>
          <w:b/>
          <w:sz w:val="26"/>
          <w:szCs w:val="26"/>
        </w:rPr>
        <w:t>Harrisburg, PA  17105-3265</w:t>
      </w:r>
    </w:p>
    <w:p w:rsidR="004B5B65" w:rsidRPr="004B5B65" w:rsidRDefault="004B5B65" w:rsidP="004B5B65">
      <w:pPr>
        <w:rPr>
          <w:sz w:val="26"/>
          <w:szCs w:val="26"/>
        </w:rPr>
      </w:pPr>
    </w:p>
    <w:p w:rsidR="004B5B65" w:rsidRPr="004B5B65" w:rsidRDefault="004B5B65" w:rsidP="004B5B65">
      <w:pPr>
        <w:rPr>
          <w:sz w:val="26"/>
          <w:szCs w:val="26"/>
        </w:rPr>
      </w:pPr>
    </w:p>
    <w:p w:rsidR="004B5B65" w:rsidRPr="004B5B65" w:rsidRDefault="00155333" w:rsidP="00C84779">
      <w:pPr>
        <w:jc w:val="right"/>
        <w:rPr>
          <w:sz w:val="26"/>
          <w:szCs w:val="26"/>
        </w:rPr>
      </w:pPr>
      <w:r>
        <w:rPr>
          <w:sz w:val="26"/>
          <w:szCs w:val="26"/>
        </w:rPr>
        <w:t xml:space="preserve">Public Meeting held </w:t>
      </w:r>
      <w:r w:rsidR="00E854AE">
        <w:rPr>
          <w:sz w:val="26"/>
          <w:szCs w:val="26"/>
        </w:rPr>
        <w:t>November 10</w:t>
      </w:r>
      <w:r w:rsidR="00A564D5">
        <w:rPr>
          <w:sz w:val="26"/>
          <w:szCs w:val="26"/>
        </w:rPr>
        <w:t>, 201</w:t>
      </w:r>
      <w:r w:rsidR="000562A0">
        <w:rPr>
          <w:sz w:val="26"/>
          <w:szCs w:val="26"/>
        </w:rPr>
        <w:t>1</w:t>
      </w:r>
    </w:p>
    <w:p w:rsidR="004B5B65" w:rsidRPr="004B5B65" w:rsidRDefault="004B5B65" w:rsidP="004B5B65">
      <w:pPr>
        <w:rPr>
          <w:sz w:val="26"/>
          <w:szCs w:val="26"/>
        </w:rPr>
      </w:pPr>
    </w:p>
    <w:p w:rsidR="004B5B65" w:rsidRPr="004B5B65" w:rsidRDefault="004B5B65" w:rsidP="004B5B65">
      <w:pPr>
        <w:rPr>
          <w:sz w:val="26"/>
          <w:szCs w:val="26"/>
        </w:rPr>
      </w:pPr>
    </w:p>
    <w:p w:rsidR="004B5B65" w:rsidRPr="004B5B65" w:rsidRDefault="004B5B65" w:rsidP="004B5B65">
      <w:pPr>
        <w:rPr>
          <w:sz w:val="26"/>
          <w:szCs w:val="26"/>
        </w:rPr>
      </w:pPr>
      <w:r w:rsidRPr="004B5B65">
        <w:rPr>
          <w:sz w:val="26"/>
          <w:szCs w:val="26"/>
        </w:rPr>
        <w:t>Commissioners Present:</w:t>
      </w:r>
    </w:p>
    <w:p w:rsidR="004B5B65" w:rsidRPr="004B5B65" w:rsidRDefault="004B5B65" w:rsidP="004B5B65">
      <w:pPr>
        <w:rPr>
          <w:sz w:val="26"/>
          <w:szCs w:val="26"/>
        </w:rPr>
      </w:pPr>
    </w:p>
    <w:p w:rsidR="004B5B65" w:rsidRDefault="004B5B65" w:rsidP="00ED4372">
      <w:pPr>
        <w:rPr>
          <w:sz w:val="26"/>
          <w:szCs w:val="26"/>
        </w:rPr>
      </w:pPr>
      <w:r w:rsidRPr="004B5B65">
        <w:rPr>
          <w:sz w:val="26"/>
          <w:szCs w:val="26"/>
        </w:rPr>
        <w:tab/>
      </w:r>
      <w:r w:rsidR="00ED4372">
        <w:rPr>
          <w:sz w:val="26"/>
          <w:szCs w:val="26"/>
        </w:rPr>
        <w:t>Robert F. Powelson, Chairman</w:t>
      </w:r>
    </w:p>
    <w:p w:rsidR="00ED4372" w:rsidRDefault="00ED4372" w:rsidP="00ED4372">
      <w:pPr>
        <w:rPr>
          <w:sz w:val="26"/>
          <w:szCs w:val="26"/>
        </w:rPr>
      </w:pPr>
      <w:r>
        <w:rPr>
          <w:sz w:val="26"/>
          <w:szCs w:val="26"/>
        </w:rPr>
        <w:tab/>
        <w:t>John F. Coleman, Jr., Vice Chairman</w:t>
      </w:r>
    </w:p>
    <w:p w:rsidR="004B5B65" w:rsidRPr="004B5B65" w:rsidRDefault="00ED4372" w:rsidP="004B5B65">
      <w:pPr>
        <w:rPr>
          <w:sz w:val="26"/>
          <w:szCs w:val="26"/>
        </w:rPr>
      </w:pPr>
      <w:r>
        <w:rPr>
          <w:sz w:val="26"/>
          <w:szCs w:val="26"/>
        </w:rPr>
        <w:tab/>
      </w:r>
      <w:r w:rsidR="004B5B65" w:rsidRPr="004B5B65">
        <w:rPr>
          <w:sz w:val="26"/>
          <w:szCs w:val="26"/>
        </w:rPr>
        <w:t>Wayne E. Gardner</w:t>
      </w:r>
    </w:p>
    <w:p w:rsidR="004B5B65" w:rsidRDefault="004B5B65" w:rsidP="004B5B65">
      <w:pPr>
        <w:rPr>
          <w:sz w:val="26"/>
          <w:szCs w:val="26"/>
        </w:rPr>
      </w:pPr>
      <w:r w:rsidRPr="004B5B65">
        <w:rPr>
          <w:sz w:val="26"/>
          <w:szCs w:val="26"/>
        </w:rPr>
        <w:tab/>
      </w:r>
      <w:r w:rsidR="00ED4372">
        <w:rPr>
          <w:sz w:val="26"/>
          <w:szCs w:val="26"/>
        </w:rPr>
        <w:t>James H. Cawley</w:t>
      </w:r>
    </w:p>
    <w:p w:rsidR="00D52F39" w:rsidRDefault="00CB1D48" w:rsidP="004B5B65">
      <w:pPr>
        <w:rPr>
          <w:sz w:val="26"/>
          <w:szCs w:val="26"/>
        </w:rPr>
      </w:pPr>
      <w:r>
        <w:rPr>
          <w:sz w:val="26"/>
          <w:szCs w:val="26"/>
        </w:rPr>
        <w:tab/>
        <w:t xml:space="preserve">Pamela A. </w:t>
      </w:r>
      <w:r w:rsidR="00D52F39">
        <w:rPr>
          <w:sz w:val="26"/>
          <w:szCs w:val="26"/>
        </w:rPr>
        <w:t>Witmer</w:t>
      </w:r>
    </w:p>
    <w:p w:rsidR="00074E29" w:rsidRDefault="00074E29" w:rsidP="004B5B65">
      <w:pPr>
        <w:rPr>
          <w:sz w:val="26"/>
          <w:szCs w:val="26"/>
        </w:rPr>
      </w:pPr>
    </w:p>
    <w:p w:rsidR="00074E29" w:rsidRDefault="00074E29" w:rsidP="004B5B65">
      <w:pPr>
        <w:rPr>
          <w:sz w:val="26"/>
          <w:szCs w:val="26"/>
        </w:rPr>
      </w:pPr>
    </w:p>
    <w:p w:rsidR="00074E29" w:rsidRDefault="00074E29" w:rsidP="004B5B65">
      <w:pPr>
        <w:rPr>
          <w:sz w:val="26"/>
          <w:szCs w:val="26"/>
        </w:rPr>
      </w:pPr>
    </w:p>
    <w:p w:rsidR="00074E29" w:rsidRDefault="00074E29" w:rsidP="004B5B65">
      <w:pPr>
        <w:rPr>
          <w:sz w:val="26"/>
          <w:szCs w:val="26"/>
        </w:rPr>
      </w:pPr>
      <w:r>
        <w:rPr>
          <w:sz w:val="26"/>
          <w:szCs w:val="26"/>
        </w:rPr>
        <w:t>Pennsylvania Public Utility Commission,</w:t>
      </w:r>
      <w:r>
        <w:rPr>
          <w:sz w:val="26"/>
          <w:szCs w:val="26"/>
        </w:rPr>
        <w:tab/>
      </w:r>
      <w:r>
        <w:rPr>
          <w:sz w:val="26"/>
          <w:szCs w:val="26"/>
        </w:rPr>
        <w:tab/>
      </w:r>
      <w:r>
        <w:rPr>
          <w:sz w:val="26"/>
          <w:szCs w:val="26"/>
        </w:rPr>
        <w:tab/>
      </w:r>
      <w:r>
        <w:rPr>
          <w:sz w:val="26"/>
          <w:szCs w:val="26"/>
        </w:rPr>
        <w:tab/>
      </w:r>
      <w:r>
        <w:rPr>
          <w:sz w:val="26"/>
          <w:szCs w:val="26"/>
        </w:rPr>
        <w:tab/>
        <w:t>C</w:t>
      </w:r>
      <w:r w:rsidR="00792820">
        <w:rPr>
          <w:sz w:val="26"/>
          <w:szCs w:val="26"/>
        </w:rPr>
        <w:t>-</w:t>
      </w:r>
      <w:r w:rsidR="00B52190">
        <w:rPr>
          <w:sz w:val="26"/>
          <w:szCs w:val="26"/>
        </w:rPr>
        <w:t>2011-</w:t>
      </w:r>
      <w:r w:rsidR="00C52AAF">
        <w:rPr>
          <w:sz w:val="26"/>
          <w:szCs w:val="26"/>
        </w:rPr>
        <w:t>2219166</w:t>
      </w:r>
    </w:p>
    <w:p w:rsidR="00074E29" w:rsidRDefault="00074E29" w:rsidP="004B5B65">
      <w:pPr>
        <w:rPr>
          <w:sz w:val="26"/>
          <w:szCs w:val="26"/>
        </w:rPr>
      </w:pPr>
      <w:r>
        <w:rPr>
          <w:sz w:val="26"/>
          <w:szCs w:val="26"/>
        </w:rPr>
        <w:t>Bureau of Transportation and Safety</w:t>
      </w:r>
      <w:r>
        <w:rPr>
          <w:sz w:val="26"/>
          <w:szCs w:val="26"/>
        </w:rPr>
        <w:tab/>
      </w:r>
      <w:r>
        <w:rPr>
          <w:sz w:val="26"/>
          <w:szCs w:val="26"/>
        </w:rPr>
        <w:tab/>
      </w:r>
      <w:r>
        <w:rPr>
          <w:sz w:val="26"/>
          <w:szCs w:val="26"/>
        </w:rPr>
        <w:tab/>
      </w:r>
      <w:r>
        <w:rPr>
          <w:sz w:val="26"/>
          <w:szCs w:val="26"/>
        </w:rPr>
        <w:tab/>
      </w:r>
      <w:r>
        <w:rPr>
          <w:sz w:val="26"/>
          <w:szCs w:val="26"/>
        </w:rPr>
        <w:tab/>
      </w:r>
    </w:p>
    <w:p w:rsidR="006B3E4F" w:rsidRDefault="006B3E4F" w:rsidP="004B5B65">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6B3E4F" w:rsidRDefault="006B3E4F" w:rsidP="004B5B65">
      <w:pPr>
        <w:rPr>
          <w:sz w:val="26"/>
          <w:szCs w:val="26"/>
        </w:rPr>
      </w:pPr>
      <w:r>
        <w:rPr>
          <w:sz w:val="26"/>
          <w:szCs w:val="26"/>
        </w:rPr>
        <w:tab/>
      </w:r>
      <w:r>
        <w:rPr>
          <w:sz w:val="26"/>
          <w:szCs w:val="26"/>
        </w:rPr>
        <w:tab/>
        <w:t>v.</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6B3E4F" w:rsidRDefault="006B3E4F" w:rsidP="004B5B65">
      <w:pPr>
        <w:rPr>
          <w:sz w:val="26"/>
          <w:szCs w:val="26"/>
        </w:rPr>
      </w:pPr>
    </w:p>
    <w:p w:rsidR="004B5B65" w:rsidRDefault="00C52AAF" w:rsidP="004B5B65">
      <w:pPr>
        <w:rPr>
          <w:sz w:val="26"/>
          <w:szCs w:val="26"/>
        </w:rPr>
      </w:pPr>
      <w:r>
        <w:rPr>
          <w:sz w:val="26"/>
          <w:szCs w:val="26"/>
        </w:rPr>
        <w:t>Canterbury International, Inc.,</w:t>
      </w:r>
    </w:p>
    <w:p w:rsidR="00C52AAF" w:rsidRPr="004B5B65" w:rsidRDefault="00C52AAF" w:rsidP="004B5B65">
      <w:pPr>
        <w:rPr>
          <w:sz w:val="26"/>
          <w:szCs w:val="26"/>
        </w:rPr>
      </w:pPr>
      <w:r>
        <w:rPr>
          <w:sz w:val="26"/>
          <w:szCs w:val="26"/>
        </w:rPr>
        <w:t>d/b/a Two Men and a Truck</w:t>
      </w:r>
    </w:p>
    <w:p w:rsidR="004B5B65" w:rsidRPr="004B5B65" w:rsidRDefault="004B5B65" w:rsidP="004B5B65">
      <w:pPr>
        <w:rPr>
          <w:sz w:val="26"/>
          <w:szCs w:val="26"/>
        </w:rPr>
      </w:pPr>
    </w:p>
    <w:p w:rsidR="004B5B65" w:rsidRPr="00055068" w:rsidRDefault="004B5B65" w:rsidP="00055068">
      <w:pPr>
        <w:spacing w:line="360" w:lineRule="auto"/>
        <w:jc w:val="center"/>
        <w:rPr>
          <w:b/>
          <w:sz w:val="26"/>
          <w:szCs w:val="26"/>
        </w:rPr>
      </w:pPr>
      <w:r w:rsidRPr="00055068">
        <w:rPr>
          <w:b/>
          <w:sz w:val="26"/>
          <w:szCs w:val="26"/>
        </w:rPr>
        <w:t>OPINION AND ORDER</w:t>
      </w:r>
    </w:p>
    <w:p w:rsidR="004B5B65" w:rsidRPr="00055068" w:rsidRDefault="004B5B65" w:rsidP="00055068">
      <w:pPr>
        <w:spacing w:line="360" w:lineRule="auto"/>
        <w:jc w:val="center"/>
        <w:rPr>
          <w:b/>
          <w:sz w:val="26"/>
          <w:szCs w:val="26"/>
        </w:rPr>
      </w:pPr>
    </w:p>
    <w:p w:rsidR="004B5B65" w:rsidRDefault="004B5B65" w:rsidP="00055068">
      <w:pPr>
        <w:spacing w:line="360" w:lineRule="auto"/>
        <w:rPr>
          <w:b/>
          <w:sz w:val="26"/>
          <w:szCs w:val="26"/>
        </w:rPr>
      </w:pPr>
      <w:r w:rsidRPr="00055068">
        <w:rPr>
          <w:b/>
          <w:sz w:val="26"/>
          <w:szCs w:val="26"/>
        </w:rPr>
        <w:t>BY THE COMMISSION:</w:t>
      </w:r>
    </w:p>
    <w:p w:rsidR="00055068" w:rsidRDefault="00055068" w:rsidP="00055068">
      <w:pPr>
        <w:spacing w:line="360" w:lineRule="auto"/>
        <w:rPr>
          <w:b/>
          <w:sz w:val="26"/>
          <w:szCs w:val="26"/>
        </w:rPr>
      </w:pPr>
    </w:p>
    <w:p w:rsidR="005C7970" w:rsidRDefault="00644AA6" w:rsidP="00C84779">
      <w:pPr>
        <w:spacing w:line="360" w:lineRule="auto"/>
        <w:ind w:firstLine="1440"/>
        <w:rPr>
          <w:sz w:val="26"/>
          <w:szCs w:val="26"/>
        </w:rPr>
      </w:pPr>
      <w:r>
        <w:rPr>
          <w:sz w:val="26"/>
          <w:szCs w:val="26"/>
        </w:rPr>
        <w:t xml:space="preserve">Before </w:t>
      </w:r>
      <w:r w:rsidR="00BD0C52">
        <w:rPr>
          <w:sz w:val="26"/>
          <w:szCs w:val="26"/>
        </w:rPr>
        <w:t>the Pennsylvania Public Utility Commission (Commission)</w:t>
      </w:r>
      <w:r w:rsidR="009C55D2">
        <w:rPr>
          <w:sz w:val="26"/>
          <w:szCs w:val="26"/>
        </w:rPr>
        <w:t xml:space="preserve"> </w:t>
      </w:r>
      <w:r w:rsidR="00E65E6C">
        <w:rPr>
          <w:sz w:val="26"/>
          <w:szCs w:val="26"/>
        </w:rPr>
        <w:t xml:space="preserve">for consideration and disposition is </w:t>
      </w:r>
      <w:r w:rsidR="00BD0C52">
        <w:rPr>
          <w:sz w:val="26"/>
          <w:szCs w:val="26"/>
        </w:rPr>
        <w:t>a</w:t>
      </w:r>
      <w:r w:rsidR="00E65E6C">
        <w:rPr>
          <w:sz w:val="26"/>
          <w:szCs w:val="26"/>
        </w:rPr>
        <w:t xml:space="preserve"> </w:t>
      </w:r>
      <w:r w:rsidR="00915C5F">
        <w:rPr>
          <w:sz w:val="26"/>
          <w:szCs w:val="26"/>
        </w:rPr>
        <w:t xml:space="preserve">Settlement Agreement (Settlement) </w:t>
      </w:r>
      <w:r w:rsidR="00BD0C52">
        <w:rPr>
          <w:sz w:val="26"/>
          <w:szCs w:val="26"/>
        </w:rPr>
        <w:t xml:space="preserve">entered into </w:t>
      </w:r>
      <w:r w:rsidR="00915C5F">
        <w:rPr>
          <w:sz w:val="26"/>
          <w:szCs w:val="26"/>
        </w:rPr>
        <w:t xml:space="preserve">between </w:t>
      </w:r>
      <w:r w:rsidR="00E65E6C">
        <w:rPr>
          <w:sz w:val="26"/>
          <w:szCs w:val="26"/>
        </w:rPr>
        <w:t xml:space="preserve">the Commission’s </w:t>
      </w:r>
      <w:r w:rsidR="00F925F3">
        <w:rPr>
          <w:sz w:val="26"/>
          <w:szCs w:val="26"/>
        </w:rPr>
        <w:t>Law Bureau Prosecutory Staff (LBPS), acting on behalf of the Commission’s Bureau of Transportation and Safety (BTS),</w:t>
      </w:r>
      <w:r w:rsidR="00F925F3">
        <w:rPr>
          <w:rStyle w:val="FootnoteReference"/>
          <w:sz w:val="26"/>
          <w:szCs w:val="26"/>
        </w:rPr>
        <w:footnoteReference w:id="1"/>
      </w:r>
      <w:r w:rsidR="00E65E6C">
        <w:rPr>
          <w:sz w:val="26"/>
          <w:szCs w:val="26"/>
        </w:rPr>
        <w:t xml:space="preserve"> and </w:t>
      </w:r>
      <w:r w:rsidR="00C52AAF">
        <w:rPr>
          <w:sz w:val="26"/>
          <w:szCs w:val="26"/>
        </w:rPr>
        <w:t xml:space="preserve">Canterbury </w:t>
      </w:r>
      <w:r w:rsidR="00C52AAF">
        <w:rPr>
          <w:sz w:val="26"/>
          <w:szCs w:val="26"/>
        </w:rPr>
        <w:lastRenderedPageBreak/>
        <w:t>International, Inc., d/b/a Two Men and a Truck</w:t>
      </w:r>
      <w:r w:rsidR="002D1536">
        <w:rPr>
          <w:sz w:val="26"/>
          <w:szCs w:val="26"/>
        </w:rPr>
        <w:t xml:space="preserve"> </w:t>
      </w:r>
      <w:r w:rsidR="00E91948">
        <w:rPr>
          <w:sz w:val="26"/>
          <w:szCs w:val="26"/>
        </w:rPr>
        <w:t xml:space="preserve">(Respondent) for resolution of </w:t>
      </w:r>
      <w:r w:rsidR="00F82D32">
        <w:rPr>
          <w:sz w:val="26"/>
          <w:szCs w:val="26"/>
        </w:rPr>
        <w:t xml:space="preserve">allegations regarding violations of the </w:t>
      </w:r>
      <w:r w:rsidR="00BD0C52">
        <w:rPr>
          <w:sz w:val="26"/>
          <w:szCs w:val="26"/>
        </w:rPr>
        <w:t xml:space="preserve">Public Utility Code (Code), 66 Pa. C.S. §§ 101, </w:t>
      </w:r>
      <w:r w:rsidR="00BD0C52">
        <w:rPr>
          <w:i/>
          <w:sz w:val="26"/>
          <w:szCs w:val="26"/>
        </w:rPr>
        <w:t xml:space="preserve">et </w:t>
      </w:r>
      <w:r w:rsidR="00BD0C52" w:rsidRPr="00D52F39">
        <w:rPr>
          <w:i/>
          <w:sz w:val="26"/>
          <w:szCs w:val="26"/>
        </w:rPr>
        <w:t>seq</w:t>
      </w:r>
      <w:r w:rsidR="00BD0C52">
        <w:rPr>
          <w:sz w:val="26"/>
          <w:szCs w:val="26"/>
        </w:rPr>
        <w:t xml:space="preserve">., and the </w:t>
      </w:r>
      <w:r w:rsidR="001E0443" w:rsidRPr="00BD0C52">
        <w:rPr>
          <w:sz w:val="26"/>
          <w:szCs w:val="26"/>
        </w:rPr>
        <w:t>Commission’s</w:t>
      </w:r>
      <w:r w:rsidR="001E0443">
        <w:rPr>
          <w:sz w:val="26"/>
          <w:szCs w:val="26"/>
        </w:rPr>
        <w:t xml:space="preserve"> Regulations, 52 Pa.</w:t>
      </w:r>
      <w:r w:rsidR="008A00D0">
        <w:rPr>
          <w:sz w:val="26"/>
          <w:szCs w:val="26"/>
        </w:rPr>
        <w:t xml:space="preserve"> </w:t>
      </w:r>
      <w:r w:rsidR="001E0443">
        <w:rPr>
          <w:sz w:val="26"/>
          <w:szCs w:val="26"/>
        </w:rPr>
        <w:t xml:space="preserve">Code </w:t>
      </w:r>
      <w:r w:rsidR="00CF7BB3">
        <w:rPr>
          <w:sz w:val="26"/>
          <w:szCs w:val="26"/>
        </w:rPr>
        <w:t xml:space="preserve"> </w:t>
      </w:r>
      <w:r w:rsidR="001151A0">
        <w:rPr>
          <w:sz w:val="26"/>
          <w:szCs w:val="26"/>
        </w:rPr>
        <w:t>§§</w:t>
      </w:r>
      <w:r w:rsidR="00512AA7">
        <w:rPr>
          <w:sz w:val="26"/>
          <w:szCs w:val="26"/>
        </w:rPr>
        <w:t xml:space="preserve"> </w:t>
      </w:r>
      <w:r w:rsidR="001E0443">
        <w:rPr>
          <w:sz w:val="26"/>
          <w:szCs w:val="26"/>
        </w:rPr>
        <w:t xml:space="preserve">1.1, </w:t>
      </w:r>
      <w:r w:rsidR="001E0443" w:rsidRPr="001E0443">
        <w:rPr>
          <w:i/>
          <w:sz w:val="26"/>
          <w:szCs w:val="26"/>
        </w:rPr>
        <w:t>et se</w:t>
      </w:r>
      <w:r w:rsidR="00766510">
        <w:rPr>
          <w:i/>
          <w:sz w:val="26"/>
          <w:szCs w:val="26"/>
        </w:rPr>
        <w:t>q</w:t>
      </w:r>
      <w:r w:rsidR="00766510">
        <w:rPr>
          <w:sz w:val="26"/>
          <w:szCs w:val="26"/>
        </w:rPr>
        <w:t>.</w:t>
      </w:r>
    </w:p>
    <w:p w:rsidR="009C0E57" w:rsidRDefault="009C0E57" w:rsidP="00455B00">
      <w:pPr>
        <w:tabs>
          <w:tab w:val="left" w:pos="3240"/>
        </w:tabs>
        <w:spacing w:line="360" w:lineRule="auto"/>
        <w:jc w:val="center"/>
        <w:rPr>
          <w:b/>
          <w:sz w:val="26"/>
          <w:szCs w:val="26"/>
        </w:rPr>
      </w:pPr>
    </w:p>
    <w:p w:rsidR="00644AA6" w:rsidRPr="00D43290" w:rsidRDefault="00644AA6" w:rsidP="00455B00">
      <w:pPr>
        <w:tabs>
          <w:tab w:val="left" w:pos="3240"/>
        </w:tabs>
        <w:spacing w:line="360" w:lineRule="auto"/>
        <w:jc w:val="center"/>
        <w:rPr>
          <w:sz w:val="26"/>
          <w:szCs w:val="26"/>
        </w:rPr>
      </w:pPr>
      <w:r w:rsidRPr="00134A26">
        <w:rPr>
          <w:b/>
          <w:sz w:val="26"/>
          <w:szCs w:val="26"/>
        </w:rPr>
        <w:t>History of the Proceeding</w:t>
      </w:r>
    </w:p>
    <w:p w:rsidR="00A80A13" w:rsidRPr="00134A26" w:rsidRDefault="00A80A13" w:rsidP="00644AA6">
      <w:pPr>
        <w:spacing w:line="360" w:lineRule="auto"/>
        <w:jc w:val="center"/>
        <w:rPr>
          <w:b/>
          <w:sz w:val="26"/>
          <w:szCs w:val="26"/>
        </w:rPr>
      </w:pPr>
    </w:p>
    <w:p w:rsidR="006F5C9A" w:rsidRDefault="009C55D2" w:rsidP="00055068">
      <w:pPr>
        <w:spacing w:line="360" w:lineRule="auto"/>
        <w:ind w:firstLine="1440"/>
        <w:rPr>
          <w:sz w:val="26"/>
          <w:szCs w:val="26"/>
        </w:rPr>
      </w:pPr>
      <w:r>
        <w:rPr>
          <w:sz w:val="26"/>
          <w:szCs w:val="26"/>
        </w:rPr>
        <w:t xml:space="preserve">On </w:t>
      </w:r>
      <w:r w:rsidR="00C52AAF">
        <w:rPr>
          <w:sz w:val="26"/>
          <w:szCs w:val="26"/>
        </w:rPr>
        <w:t>May 18, 2006</w:t>
      </w:r>
      <w:r w:rsidR="001D3F66">
        <w:rPr>
          <w:sz w:val="26"/>
          <w:szCs w:val="26"/>
        </w:rPr>
        <w:t>,</w:t>
      </w:r>
      <w:r>
        <w:rPr>
          <w:sz w:val="26"/>
          <w:szCs w:val="26"/>
        </w:rPr>
        <w:t xml:space="preserve"> the Respondent was issued a Certificate of Public Convenience (Certificate)</w:t>
      </w:r>
      <w:r w:rsidR="00C52AAF">
        <w:rPr>
          <w:sz w:val="26"/>
          <w:szCs w:val="26"/>
        </w:rPr>
        <w:t>, at Docket No. A-00121505,</w:t>
      </w:r>
      <w:r>
        <w:rPr>
          <w:sz w:val="26"/>
          <w:szCs w:val="26"/>
        </w:rPr>
        <w:t xml:space="preserve"> </w:t>
      </w:r>
      <w:r w:rsidR="0082299E">
        <w:rPr>
          <w:sz w:val="26"/>
          <w:szCs w:val="26"/>
        </w:rPr>
        <w:t xml:space="preserve">to </w:t>
      </w:r>
      <w:r w:rsidR="00C52AAF">
        <w:rPr>
          <w:sz w:val="26"/>
          <w:szCs w:val="26"/>
        </w:rPr>
        <w:t>transport household goods in use</w:t>
      </w:r>
      <w:r w:rsidR="00DC7E4F">
        <w:rPr>
          <w:sz w:val="26"/>
          <w:szCs w:val="26"/>
        </w:rPr>
        <w:t>,</w:t>
      </w:r>
      <w:r w:rsidR="00C52AAF">
        <w:rPr>
          <w:sz w:val="26"/>
          <w:szCs w:val="26"/>
        </w:rPr>
        <w:t xml:space="preserve"> between points in Allegheny County.  On February 12, 2009, the Commission approved the Respondent’s </w:t>
      </w:r>
      <w:r w:rsidR="00F925F3">
        <w:rPr>
          <w:sz w:val="26"/>
          <w:szCs w:val="26"/>
        </w:rPr>
        <w:t>A</w:t>
      </w:r>
      <w:r w:rsidR="00C52AAF">
        <w:rPr>
          <w:sz w:val="26"/>
          <w:szCs w:val="26"/>
        </w:rPr>
        <w:t>pplication to transport goods in use from Allegheny County to all points in Pennsylvania, and vice versa.</w:t>
      </w:r>
    </w:p>
    <w:p w:rsidR="0082299E" w:rsidRDefault="0082299E" w:rsidP="00055068">
      <w:pPr>
        <w:spacing w:line="360" w:lineRule="auto"/>
        <w:ind w:firstLine="1440"/>
        <w:rPr>
          <w:sz w:val="26"/>
          <w:szCs w:val="26"/>
        </w:rPr>
      </w:pPr>
    </w:p>
    <w:p w:rsidR="00436ADE" w:rsidRDefault="00292276" w:rsidP="00DC7E4F">
      <w:pPr>
        <w:spacing w:line="360" w:lineRule="auto"/>
        <w:ind w:firstLine="1440"/>
        <w:rPr>
          <w:sz w:val="26"/>
          <w:szCs w:val="26"/>
        </w:rPr>
      </w:pPr>
      <w:r>
        <w:rPr>
          <w:sz w:val="26"/>
          <w:szCs w:val="26"/>
        </w:rPr>
        <w:t>Pursuant to its enforcement responsibilities</w:t>
      </w:r>
      <w:r w:rsidR="00F925F3">
        <w:rPr>
          <w:sz w:val="26"/>
          <w:szCs w:val="26"/>
        </w:rPr>
        <w:t>, BTS</w:t>
      </w:r>
      <w:r>
        <w:rPr>
          <w:sz w:val="26"/>
          <w:szCs w:val="26"/>
        </w:rPr>
        <w:t xml:space="preserve"> </w:t>
      </w:r>
      <w:r w:rsidR="0082299E">
        <w:rPr>
          <w:sz w:val="26"/>
          <w:szCs w:val="26"/>
        </w:rPr>
        <w:t>filed a Formal Complaint against the Respondent</w:t>
      </w:r>
      <w:r w:rsidR="00F925F3">
        <w:rPr>
          <w:sz w:val="26"/>
          <w:szCs w:val="26"/>
        </w:rPr>
        <w:t>,</w:t>
      </w:r>
      <w:r w:rsidR="0082299E">
        <w:rPr>
          <w:sz w:val="26"/>
          <w:szCs w:val="26"/>
        </w:rPr>
        <w:t xml:space="preserve"> alleging that the Respondent</w:t>
      </w:r>
      <w:r w:rsidR="00DC7E4F">
        <w:rPr>
          <w:sz w:val="26"/>
          <w:szCs w:val="26"/>
        </w:rPr>
        <w:t xml:space="preserve"> performed a household goods move from McDonald, Washington County, Pennsylvania, to Conneaut Lake, Crawford County, Pennsylvania, which was not within the Respondent’s certificated authority because the move did not originate or terminate in Allegheny County.  </w:t>
      </w:r>
      <w:r w:rsidR="00F925F3">
        <w:rPr>
          <w:sz w:val="26"/>
          <w:szCs w:val="26"/>
        </w:rPr>
        <w:t>BTS</w:t>
      </w:r>
      <w:r w:rsidR="00E10A4B">
        <w:rPr>
          <w:sz w:val="26"/>
          <w:szCs w:val="26"/>
        </w:rPr>
        <w:t xml:space="preserve"> </w:t>
      </w:r>
      <w:r w:rsidR="00DC7E4F">
        <w:rPr>
          <w:sz w:val="26"/>
          <w:szCs w:val="26"/>
        </w:rPr>
        <w:t>alleged that this action violated Section 1102(a)(1)(i) of the Public Utility Code</w:t>
      </w:r>
      <w:r w:rsidR="00B751E3">
        <w:rPr>
          <w:sz w:val="26"/>
          <w:szCs w:val="26"/>
        </w:rPr>
        <w:t xml:space="preserve"> (Code)</w:t>
      </w:r>
      <w:r w:rsidR="00DC7E4F">
        <w:rPr>
          <w:sz w:val="26"/>
          <w:szCs w:val="26"/>
        </w:rPr>
        <w:t xml:space="preserve">, </w:t>
      </w:r>
    </w:p>
    <w:p w:rsidR="00292276" w:rsidRDefault="00DC7E4F" w:rsidP="00436ADE">
      <w:pPr>
        <w:spacing w:line="360" w:lineRule="auto"/>
        <w:rPr>
          <w:sz w:val="26"/>
          <w:szCs w:val="26"/>
        </w:rPr>
      </w:pPr>
      <w:r>
        <w:rPr>
          <w:sz w:val="26"/>
          <w:szCs w:val="26"/>
        </w:rPr>
        <w:t xml:space="preserve">66 Pa. C.S. § 1102(a)(1)(i), and </w:t>
      </w:r>
      <w:r w:rsidR="00E10A4B">
        <w:rPr>
          <w:sz w:val="26"/>
          <w:szCs w:val="26"/>
        </w:rPr>
        <w:t>sought a civil penalty of $</w:t>
      </w:r>
      <w:r>
        <w:rPr>
          <w:sz w:val="26"/>
          <w:szCs w:val="26"/>
        </w:rPr>
        <w:t>5</w:t>
      </w:r>
      <w:r w:rsidR="00E10A4B">
        <w:rPr>
          <w:sz w:val="26"/>
          <w:szCs w:val="26"/>
        </w:rPr>
        <w:t>00 for the violation.</w:t>
      </w:r>
    </w:p>
    <w:p w:rsidR="00A44848" w:rsidRDefault="00A44848" w:rsidP="00D43290">
      <w:pPr>
        <w:spacing w:line="360" w:lineRule="auto"/>
        <w:rPr>
          <w:sz w:val="26"/>
          <w:szCs w:val="26"/>
        </w:rPr>
      </w:pPr>
    </w:p>
    <w:p w:rsidR="002A1620" w:rsidRDefault="00A44848" w:rsidP="002A1620">
      <w:pPr>
        <w:spacing w:line="360" w:lineRule="auto"/>
        <w:rPr>
          <w:sz w:val="26"/>
          <w:szCs w:val="26"/>
        </w:rPr>
      </w:pPr>
      <w:r>
        <w:rPr>
          <w:sz w:val="26"/>
          <w:szCs w:val="26"/>
        </w:rPr>
        <w:tab/>
      </w:r>
      <w:r>
        <w:rPr>
          <w:sz w:val="26"/>
          <w:szCs w:val="26"/>
        </w:rPr>
        <w:tab/>
        <w:t xml:space="preserve">The Complaint, which was served on the Respondent on </w:t>
      </w:r>
      <w:r w:rsidR="00DC7E4F">
        <w:rPr>
          <w:sz w:val="26"/>
          <w:szCs w:val="26"/>
        </w:rPr>
        <w:t>August 17</w:t>
      </w:r>
      <w:r w:rsidR="00E10A4B">
        <w:rPr>
          <w:sz w:val="26"/>
          <w:szCs w:val="26"/>
        </w:rPr>
        <w:t>,</w:t>
      </w:r>
      <w:r w:rsidR="00B57227">
        <w:rPr>
          <w:sz w:val="26"/>
          <w:szCs w:val="26"/>
        </w:rPr>
        <w:t xml:space="preserve"> 201</w:t>
      </w:r>
      <w:r w:rsidR="00E10A4B">
        <w:rPr>
          <w:sz w:val="26"/>
          <w:szCs w:val="26"/>
        </w:rPr>
        <w:t>1</w:t>
      </w:r>
      <w:r w:rsidR="00B57227">
        <w:rPr>
          <w:sz w:val="26"/>
          <w:szCs w:val="26"/>
        </w:rPr>
        <w:t xml:space="preserve">, </w:t>
      </w:r>
      <w:r>
        <w:rPr>
          <w:sz w:val="26"/>
          <w:szCs w:val="26"/>
        </w:rPr>
        <w:t>advised the Respondent that it must file an Answer to the Complaint within twenty days of the date of service of the Complaint</w:t>
      </w:r>
      <w:r w:rsidR="00463809">
        <w:rPr>
          <w:sz w:val="26"/>
          <w:szCs w:val="26"/>
        </w:rPr>
        <w:t xml:space="preserve">.  </w:t>
      </w:r>
      <w:r w:rsidR="00FE366F">
        <w:rPr>
          <w:sz w:val="26"/>
          <w:szCs w:val="26"/>
        </w:rPr>
        <w:t xml:space="preserve">If an Answer was not filed, </w:t>
      </w:r>
      <w:r w:rsidR="00F925F3">
        <w:rPr>
          <w:sz w:val="26"/>
          <w:szCs w:val="26"/>
        </w:rPr>
        <w:t>BTS</w:t>
      </w:r>
      <w:r w:rsidR="00FE366F">
        <w:rPr>
          <w:sz w:val="26"/>
          <w:szCs w:val="26"/>
        </w:rPr>
        <w:t xml:space="preserve"> would request the Commission to issue an Order which imposed the civil penalty.</w:t>
      </w:r>
    </w:p>
    <w:p w:rsidR="007050F4" w:rsidRDefault="007050F4" w:rsidP="002A1620">
      <w:pPr>
        <w:spacing w:line="360" w:lineRule="auto"/>
        <w:rPr>
          <w:b/>
          <w:sz w:val="26"/>
          <w:szCs w:val="26"/>
        </w:rPr>
      </w:pPr>
    </w:p>
    <w:p w:rsidR="00E4110D" w:rsidRDefault="007050F4" w:rsidP="002A1620">
      <w:pPr>
        <w:spacing w:line="360" w:lineRule="auto"/>
        <w:rPr>
          <w:sz w:val="26"/>
          <w:szCs w:val="26"/>
        </w:rPr>
      </w:pPr>
      <w:r>
        <w:rPr>
          <w:b/>
          <w:sz w:val="26"/>
          <w:szCs w:val="26"/>
        </w:rPr>
        <w:tab/>
      </w:r>
      <w:r>
        <w:rPr>
          <w:b/>
          <w:sz w:val="26"/>
          <w:szCs w:val="26"/>
        </w:rPr>
        <w:tab/>
      </w:r>
      <w:r w:rsidR="00FE366F">
        <w:rPr>
          <w:sz w:val="26"/>
          <w:szCs w:val="26"/>
        </w:rPr>
        <w:t xml:space="preserve">In response to the Complaint, the Respondent filed an Answer on </w:t>
      </w:r>
    </w:p>
    <w:p w:rsidR="008A00D0" w:rsidRDefault="00DC7E4F" w:rsidP="00F925F3">
      <w:pPr>
        <w:spacing w:line="360" w:lineRule="auto"/>
        <w:rPr>
          <w:sz w:val="26"/>
          <w:szCs w:val="26"/>
        </w:rPr>
      </w:pPr>
      <w:r>
        <w:rPr>
          <w:sz w:val="26"/>
          <w:szCs w:val="26"/>
        </w:rPr>
        <w:t>August 22</w:t>
      </w:r>
      <w:r w:rsidR="00E10A4B">
        <w:rPr>
          <w:sz w:val="26"/>
          <w:szCs w:val="26"/>
        </w:rPr>
        <w:t>, 2011</w:t>
      </w:r>
      <w:r w:rsidR="00FE366F">
        <w:rPr>
          <w:sz w:val="26"/>
          <w:szCs w:val="26"/>
        </w:rPr>
        <w:t xml:space="preserve">.  </w:t>
      </w:r>
      <w:r w:rsidR="00275A8C">
        <w:rPr>
          <w:sz w:val="26"/>
          <w:szCs w:val="26"/>
        </w:rPr>
        <w:t>In its Answer, t</w:t>
      </w:r>
      <w:r w:rsidR="00FE366F">
        <w:rPr>
          <w:sz w:val="26"/>
          <w:szCs w:val="26"/>
        </w:rPr>
        <w:t>he Respondent</w:t>
      </w:r>
      <w:r w:rsidR="00275A8C">
        <w:rPr>
          <w:sz w:val="26"/>
          <w:szCs w:val="26"/>
        </w:rPr>
        <w:t xml:space="preserve"> admitted that it performed the move </w:t>
      </w:r>
      <w:r w:rsidR="008A00D0">
        <w:rPr>
          <w:sz w:val="26"/>
          <w:szCs w:val="26"/>
        </w:rPr>
        <w:t>which</w:t>
      </w:r>
      <w:r w:rsidR="00275A8C">
        <w:rPr>
          <w:sz w:val="26"/>
          <w:szCs w:val="26"/>
        </w:rPr>
        <w:t xml:space="preserve"> was outside of its certificated authority</w:t>
      </w:r>
      <w:r w:rsidR="00F925F3">
        <w:rPr>
          <w:sz w:val="26"/>
          <w:szCs w:val="26"/>
        </w:rPr>
        <w:t>,</w:t>
      </w:r>
      <w:r w:rsidR="00275A8C">
        <w:rPr>
          <w:sz w:val="26"/>
          <w:szCs w:val="26"/>
        </w:rPr>
        <w:t xml:space="preserve"> but argue</w:t>
      </w:r>
      <w:r w:rsidR="005E6752">
        <w:rPr>
          <w:sz w:val="26"/>
          <w:szCs w:val="26"/>
        </w:rPr>
        <w:t>d</w:t>
      </w:r>
      <w:r w:rsidR="00275A8C">
        <w:rPr>
          <w:sz w:val="26"/>
          <w:szCs w:val="26"/>
        </w:rPr>
        <w:t xml:space="preserve"> that the violation was inadvertent</w:t>
      </w:r>
      <w:r w:rsidR="00F925F3">
        <w:rPr>
          <w:sz w:val="26"/>
          <w:szCs w:val="26"/>
        </w:rPr>
        <w:t>.</w:t>
      </w:r>
      <w:r w:rsidR="00555E7D">
        <w:rPr>
          <w:sz w:val="26"/>
          <w:szCs w:val="26"/>
        </w:rPr>
        <w:t xml:space="preserve"> </w:t>
      </w:r>
    </w:p>
    <w:p w:rsidR="00013844" w:rsidRDefault="00555E7D" w:rsidP="00275A8C">
      <w:pPr>
        <w:spacing w:line="360" w:lineRule="auto"/>
        <w:ind w:firstLine="1440"/>
        <w:rPr>
          <w:sz w:val="26"/>
          <w:szCs w:val="26"/>
        </w:rPr>
      </w:pPr>
      <w:r>
        <w:rPr>
          <w:sz w:val="26"/>
          <w:szCs w:val="26"/>
        </w:rPr>
        <w:lastRenderedPageBreak/>
        <w:t xml:space="preserve"> </w:t>
      </w:r>
      <w:r w:rsidR="007050F4">
        <w:rPr>
          <w:sz w:val="26"/>
          <w:szCs w:val="26"/>
        </w:rPr>
        <w:t xml:space="preserve">On </w:t>
      </w:r>
      <w:r w:rsidR="00275A8C">
        <w:rPr>
          <w:sz w:val="26"/>
          <w:szCs w:val="26"/>
        </w:rPr>
        <w:t>October 3</w:t>
      </w:r>
      <w:r w:rsidR="007050F4">
        <w:rPr>
          <w:sz w:val="26"/>
          <w:szCs w:val="26"/>
        </w:rPr>
        <w:t xml:space="preserve">, 2011, the Parties filed a Settlement Agreement (Settlement) and urged the Commission to approve the terms of the Settlement </w:t>
      </w:r>
      <w:r w:rsidR="00F24353">
        <w:rPr>
          <w:sz w:val="26"/>
          <w:szCs w:val="26"/>
        </w:rPr>
        <w:t>as being in the public interest, because the Settlement addresses and attempts to remedy all allegations raised in the Complaint.  Settlement at ¶ 23.</w:t>
      </w:r>
    </w:p>
    <w:p w:rsidR="00512AA7" w:rsidRDefault="00512AA7" w:rsidP="002A1620">
      <w:pPr>
        <w:spacing w:line="360" w:lineRule="auto"/>
        <w:rPr>
          <w:b/>
          <w:sz w:val="26"/>
          <w:szCs w:val="26"/>
        </w:rPr>
      </w:pPr>
    </w:p>
    <w:p w:rsidR="00013844" w:rsidRDefault="00013844" w:rsidP="002A1620">
      <w:pPr>
        <w:spacing w:line="360" w:lineRule="auto"/>
        <w:rPr>
          <w:b/>
          <w:sz w:val="26"/>
          <w:szCs w:val="26"/>
        </w:rPr>
      </w:pPr>
      <w:r>
        <w:rPr>
          <w:b/>
          <w:sz w:val="26"/>
          <w:szCs w:val="26"/>
        </w:rPr>
        <w:t>Settlement Terms</w:t>
      </w:r>
    </w:p>
    <w:p w:rsidR="008A00D0" w:rsidRDefault="008A00D0" w:rsidP="002A1620">
      <w:pPr>
        <w:spacing w:line="360" w:lineRule="auto"/>
        <w:rPr>
          <w:b/>
          <w:sz w:val="26"/>
          <w:szCs w:val="26"/>
        </w:rPr>
      </w:pPr>
    </w:p>
    <w:p w:rsidR="0051294D" w:rsidRPr="008A00D0" w:rsidRDefault="008A00D0" w:rsidP="002A1620">
      <w:pPr>
        <w:spacing w:line="360" w:lineRule="auto"/>
        <w:rPr>
          <w:b/>
          <w:sz w:val="26"/>
          <w:szCs w:val="26"/>
        </w:rPr>
      </w:pPr>
      <w:r>
        <w:rPr>
          <w:b/>
          <w:sz w:val="26"/>
          <w:szCs w:val="26"/>
        </w:rPr>
        <w:tab/>
      </w:r>
      <w:r>
        <w:rPr>
          <w:b/>
          <w:sz w:val="26"/>
          <w:szCs w:val="26"/>
        </w:rPr>
        <w:tab/>
      </w:r>
      <w:r w:rsidR="0051294D">
        <w:rPr>
          <w:sz w:val="26"/>
          <w:szCs w:val="26"/>
        </w:rPr>
        <w:t xml:space="preserve">In recognition of the cost of further litigation, the time and expense of holding a hearing, and the merits of the Parties’ respective positions, the Parties entered into negotiations and agreed to settle the Complaint according to the terms and conditions of the Settlement.  As part of the Settlement, the Respondent </w:t>
      </w:r>
      <w:r w:rsidR="00F925F3">
        <w:rPr>
          <w:sz w:val="26"/>
          <w:szCs w:val="26"/>
        </w:rPr>
        <w:t>admitted</w:t>
      </w:r>
      <w:r w:rsidR="00B751E3">
        <w:rPr>
          <w:sz w:val="26"/>
          <w:szCs w:val="26"/>
        </w:rPr>
        <w:t xml:space="preserve"> that it transported household goods in use outside of its certificated territory and agree</w:t>
      </w:r>
      <w:r w:rsidR="00F925F3">
        <w:rPr>
          <w:sz w:val="26"/>
          <w:szCs w:val="26"/>
        </w:rPr>
        <w:t>d</w:t>
      </w:r>
      <w:r w:rsidR="00B751E3">
        <w:rPr>
          <w:sz w:val="26"/>
          <w:szCs w:val="26"/>
        </w:rPr>
        <w:t xml:space="preserve"> to pay a civil penalty of $250 within twenty days of entry of a final Commission Order in this matter.  T</w:t>
      </w:r>
      <w:r w:rsidR="0084362B">
        <w:rPr>
          <w:sz w:val="26"/>
          <w:szCs w:val="26"/>
        </w:rPr>
        <w:t xml:space="preserve">he Respondent </w:t>
      </w:r>
      <w:r w:rsidR="00461F9B">
        <w:rPr>
          <w:sz w:val="26"/>
          <w:szCs w:val="26"/>
        </w:rPr>
        <w:t xml:space="preserve">also </w:t>
      </w:r>
      <w:r w:rsidR="0084362B">
        <w:rPr>
          <w:sz w:val="26"/>
          <w:szCs w:val="26"/>
        </w:rPr>
        <w:t>agree</w:t>
      </w:r>
      <w:r w:rsidR="005E6752">
        <w:rPr>
          <w:sz w:val="26"/>
          <w:szCs w:val="26"/>
        </w:rPr>
        <w:t>d</w:t>
      </w:r>
      <w:r w:rsidR="0084362B">
        <w:rPr>
          <w:sz w:val="26"/>
          <w:szCs w:val="26"/>
        </w:rPr>
        <w:t xml:space="preserve"> to comply with the Code and the Commission’s Regulations and </w:t>
      </w:r>
      <w:r w:rsidR="00F925F3">
        <w:rPr>
          <w:sz w:val="26"/>
          <w:szCs w:val="26"/>
        </w:rPr>
        <w:t>o</w:t>
      </w:r>
      <w:r w:rsidR="0084362B">
        <w:rPr>
          <w:sz w:val="26"/>
          <w:szCs w:val="26"/>
        </w:rPr>
        <w:t xml:space="preserve">rders in the future and </w:t>
      </w:r>
      <w:r w:rsidR="00F925F3">
        <w:rPr>
          <w:sz w:val="26"/>
          <w:szCs w:val="26"/>
        </w:rPr>
        <w:t xml:space="preserve">to </w:t>
      </w:r>
      <w:r w:rsidR="0084362B">
        <w:rPr>
          <w:sz w:val="26"/>
          <w:szCs w:val="26"/>
        </w:rPr>
        <w:t xml:space="preserve">take appropriate steps to alleviate future misconduct and/or noncompliance.  Settlement at ¶ </w:t>
      </w:r>
      <w:r w:rsidR="00B751E3">
        <w:rPr>
          <w:sz w:val="26"/>
          <w:szCs w:val="26"/>
        </w:rPr>
        <w:t>8</w:t>
      </w:r>
      <w:r w:rsidR="0084362B">
        <w:rPr>
          <w:sz w:val="26"/>
          <w:szCs w:val="26"/>
        </w:rPr>
        <w:t>.</w:t>
      </w:r>
    </w:p>
    <w:p w:rsidR="00DF64E4" w:rsidRDefault="00DF64E4" w:rsidP="002A1620">
      <w:pPr>
        <w:spacing w:line="360" w:lineRule="auto"/>
        <w:rPr>
          <w:sz w:val="26"/>
          <w:szCs w:val="26"/>
        </w:rPr>
      </w:pPr>
    </w:p>
    <w:p w:rsidR="00351347" w:rsidRPr="00F24353" w:rsidRDefault="00351347" w:rsidP="00F24353">
      <w:pPr>
        <w:spacing w:line="360" w:lineRule="auto"/>
        <w:jc w:val="center"/>
        <w:rPr>
          <w:b/>
          <w:sz w:val="26"/>
          <w:szCs w:val="26"/>
        </w:rPr>
      </w:pPr>
      <w:r w:rsidRPr="00351347">
        <w:rPr>
          <w:b/>
          <w:sz w:val="26"/>
          <w:szCs w:val="26"/>
        </w:rPr>
        <w:t>Discussion</w:t>
      </w:r>
    </w:p>
    <w:p w:rsidR="00351347" w:rsidRDefault="00351347" w:rsidP="00351347">
      <w:pPr>
        <w:jc w:val="center"/>
        <w:rPr>
          <w:b/>
          <w:sz w:val="26"/>
          <w:szCs w:val="26"/>
        </w:rPr>
      </w:pPr>
    </w:p>
    <w:p w:rsidR="00351347" w:rsidRPr="00351347" w:rsidRDefault="00351347" w:rsidP="00351347">
      <w:pPr>
        <w:rPr>
          <w:b/>
          <w:sz w:val="26"/>
          <w:szCs w:val="26"/>
        </w:rPr>
      </w:pPr>
    </w:p>
    <w:p w:rsidR="00F24353" w:rsidRDefault="001858D0" w:rsidP="00F24353">
      <w:pPr>
        <w:spacing w:line="360" w:lineRule="auto"/>
        <w:ind w:firstLine="1440"/>
        <w:rPr>
          <w:sz w:val="26"/>
          <w:szCs w:val="26"/>
        </w:rPr>
      </w:pPr>
      <w:r w:rsidRPr="00FF22AE">
        <w:rPr>
          <w:sz w:val="26"/>
          <w:szCs w:val="26"/>
        </w:rPr>
        <w:t xml:space="preserve">Pursuant to our Regulations at 52 Pa. Code § 5.231, it is the Commission’s policy to promote settlements.  The Commission must review proposed settlements to determine whether the terms are in the public interest.  </w:t>
      </w:r>
      <w:r w:rsidRPr="00FF22AE">
        <w:rPr>
          <w:i/>
          <w:sz w:val="26"/>
          <w:szCs w:val="26"/>
        </w:rPr>
        <w:t>Pa. PUC v. Philadelphia Gas Works</w:t>
      </w:r>
      <w:r w:rsidRPr="00FF22AE">
        <w:rPr>
          <w:sz w:val="26"/>
          <w:szCs w:val="26"/>
        </w:rPr>
        <w:t>, Docket No. M-00031768 (Order entered January 7, 2004).</w:t>
      </w:r>
      <w:r>
        <w:rPr>
          <w:sz w:val="26"/>
          <w:szCs w:val="26"/>
        </w:rPr>
        <w:t xml:space="preserve">   Before addressing the merits of the proposed settlement, however, we must address several preliminary issues.   </w:t>
      </w:r>
    </w:p>
    <w:p w:rsidR="00F925F3" w:rsidRDefault="00F925F3" w:rsidP="005E6752">
      <w:pPr>
        <w:spacing w:line="360" w:lineRule="auto"/>
        <w:rPr>
          <w:sz w:val="26"/>
          <w:szCs w:val="26"/>
        </w:rPr>
      </w:pPr>
    </w:p>
    <w:p w:rsidR="001858D0" w:rsidRDefault="001858D0" w:rsidP="00C84779">
      <w:pPr>
        <w:spacing w:line="360" w:lineRule="auto"/>
        <w:ind w:firstLine="1440"/>
        <w:rPr>
          <w:sz w:val="26"/>
          <w:szCs w:val="26"/>
        </w:rPr>
      </w:pPr>
      <w:r w:rsidRPr="00F24353">
        <w:rPr>
          <w:sz w:val="26"/>
          <w:szCs w:val="26"/>
        </w:rPr>
        <w:t>We note that, in response to the Complaint, the Respondent</w:t>
      </w:r>
      <w:r w:rsidR="00CE58E3" w:rsidRPr="00F24353">
        <w:rPr>
          <w:sz w:val="26"/>
          <w:szCs w:val="26"/>
        </w:rPr>
        <w:t xml:space="preserve"> </w:t>
      </w:r>
      <w:r w:rsidRPr="00F24353">
        <w:rPr>
          <w:sz w:val="26"/>
          <w:szCs w:val="26"/>
        </w:rPr>
        <w:t xml:space="preserve">filed correspondence signed by </w:t>
      </w:r>
      <w:r w:rsidR="00F24353">
        <w:rPr>
          <w:sz w:val="26"/>
          <w:szCs w:val="26"/>
        </w:rPr>
        <w:t>Raymond J. Coll</w:t>
      </w:r>
      <w:r w:rsidR="001D1DAF" w:rsidRPr="00F24353">
        <w:rPr>
          <w:sz w:val="26"/>
          <w:szCs w:val="26"/>
        </w:rPr>
        <w:t xml:space="preserve">.  Mr. </w:t>
      </w:r>
      <w:r w:rsidR="00F24353">
        <w:rPr>
          <w:sz w:val="26"/>
          <w:szCs w:val="26"/>
        </w:rPr>
        <w:t>Coll</w:t>
      </w:r>
      <w:r w:rsidR="001D1DAF" w:rsidRPr="00F24353">
        <w:rPr>
          <w:sz w:val="26"/>
          <w:szCs w:val="26"/>
        </w:rPr>
        <w:t xml:space="preserve"> is</w:t>
      </w:r>
      <w:r w:rsidRPr="00F24353">
        <w:rPr>
          <w:sz w:val="26"/>
          <w:szCs w:val="26"/>
        </w:rPr>
        <w:t xml:space="preserve"> the </w:t>
      </w:r>
      <w:r w:rsidR="00F24353">
        <w:rPr>
          <w:sz w:val="26"/>
          <w:szCs w:val="26"/>
        </w:rPr>
        <w:t xml:space="preserve">Vice </w:t>
      </w:r>
      <w:r w:rsidR="001D1DAF" w:rsidRPr="00F24353">
        <w:rPr>
          <w:sz w:val="26"/>
          <w:szCs w:val="26"/>
        </w:rPr>
        <w:t xml:space="preserve">President of the </w:t>
      </w:r>
      <w:r w:rsidRPr="00F24353">
        <w:rPr>
          <w:sz w:val="26"/>
          <w:szCs w:val="26"/>
        </w:rPr>
        <w:t xml:space="preserve">Respondent.  </w:t>
      </w:r>
      <w:r w:rsidR="006D33E1" w:rsidRPr="00F24353">
        <w:rPr>
          <w:sz w:val="26"/>
          <w:szCs w:val="26"/>
        </w:rPr>
        <w:t xml:space="preserve">The Settlement is executed by an attorney from </w:t>
      </w:r>
      <w:r w:rsidR="00F925F3">
        <w:rPr>
          <w:sz w:val="26"/>
          <w:szCs w:val="26"/>
        </w:rPr>
        <w:t xml:space="preserve">LBPS </w:t>
      </w:r>
      <w:r w:rsidR="00620414" w:rsidRPr="00F24353">
        <w:rPr>
          <w:sz w:val="26"/>
          <w:szCs w:val="26"/>
        </w:rPr>
        <w:t xml:space="preserve">and by the </w:t>
      </w:r>
      <w:r w:rsidR="00F24353">
        <w:rPr>
          <w:sz w:val="26"/>
          <w:szCs w:val="26"/>
        </w:rPr>
        <w:t xml:space="preserve">Vice </w:t>
      </w:r>
      <w:r w:rsidR="00620414" w:rsidRPr="00F24353">
        <w:rPr>
          <w:sz w:val="26"/>
          <w:szCs w:val="26"/>
        </w:rPr>
        <w:lastRenderedPageBreak/>
        <w:t xml:space="preserve">President of the Respondent, on behalf of the Respondent.  </w:t>
      </w:r>
      <w:r w:rsidR="00F84923" w:rsidRPr="00F24353">
        <w:rPr>
          <w:sz w:val="26"/>
          <w:szCs w:val="26"/>
        </w:rPr>
        <w:t xml:space="preserve">Our Regulations at </w:t>
      </w:r>
      <w:r w:rsidR="00436ADE">
        <w:rPr>
          <w:sz w:val="26"/>
          <w:szCs w:val="26"/>
        </w:rPr>
        <w:t xml:space="preserve">              </w:t>
      </w:r>
      <w:r w:rsidR="00F84923" w:rsidRPr="00F24353">
        <w:rPr>
          <w:sz w:val="26"/>
          <w:szCs w:val="26"/>
        </w:rPr>
        <w:t xml:space="preserve">52 Pa. Code </w:t>
      </w:r>
      <w:r w:rsidR="006D33E1" w:rsidRPr="00F24353">
        <w:rPr>
          <w:sz w:val="26"/>
          <w:szCs w:val="26"/>
        </w:rPr>
        <w:t xml:space="preserve">§ 1.35(b) state that a pleading, submittal or other document filed with the Commission on behalf of a corporation must be signed by an authorized attorney or by an officer of the corporation. </w:t>
      </w:r>
      <w:r w:rsidR="00471544" w:rsidRPr="00F24353">
        <w:rPr>
          <w:sz w:val="26"/>
          <w:szCs w:val="26"/>
        </w:rPr>
        <w:t xml:space="preserve"> Since </w:t>
      </w:r>
      <w:r w:rsidR="006D33E1" w:rsidRPr="00F24353">
        <w:rPr>
          <w:sz w:val="26"/>
          <w:szCs w:val="26"/>
        </w:rPr>
        <w:t xml:space="preserve">Mr. </w:t>
      </w:r>
      <w:r w:rsidR="00F24353">
        <w:rPr>
          <w:sz w:val="26"/>
          <w:szCs w:val="26"/>
        </w:rPr>
        <w:t>Coll</w:t>
      </w:r>
      <w:r w:rsidR="006D33E1" w:rsidRPr="00F24353">
        <w:rPr>
          <w:sz w:val="26"/>
          <w:szCs w:val="26"/>
        </w:rPr>
        <w:t xml:space="preserve"> is the </w:t>
      </w:r>
      <w:r w:rsidR="00F24353">
        <w:rPr>
          <w:sz w:val="26"/>
          <w:szCs w:val="26"/>
        </w:rPr>
        <w:t xml:space="preserve">Vice </w:t>
      </w:r>
      <w:r w:rsidR="006D33E1" w:rsidRPr="00F24353">
        <w:rPr>
          <w:sz w:val="26"/>
          <w:szCs w:val="26"/>
        </w:rPr>
        <w:t>President of the Respondent</w:t>
      </w:r>
      <w:r w:rsidR="00F24353">
        <w:rPr>
          <w:sz w:val="26"/>
          <w:szCs w:val="26"/>
        </w:rPr>
        <w:t xml:space="preserve">, </w:t>
      </w:r>
      <w:r w:rsidR="00471544" w:rsidRPr="00F24353">
        <w:rPr>
          <w:sz w:val="26"/>
          <w:szCs w:val="26"/>
        </w:rPr>
        <w:t>we find that both the Answer and Settlement Agreement were properly filed and executed by the Parties.</w:t>
      </w:r>
    </w:p>
    <w:p w:rsidR="00C84779" w:rsidRPr="00F24353" w:rsidRDefault="00C84779" w:rsidP="00C84779">
      <w:pPr>
        <w:spacing w:line="360" w:lineRule="auto"/>
        <w:ind w:firstLine="1440"/>
        <w:rPr>
          <w:szCs w:val="26"/>
        </w:rPr>
      </w:pPr>
    </w:p>
    <w:p w:rsidR="00436ADE" w:rsidRDefault="001858D0" w:rsidP="001858D0">
      <w:pPr>
        <w:spacing w:line="360" w:lineRule="auto"/>
        <w:ind w:firstLine="1440"/>
        <w:rPr>
          <w:color w:val="000000"/>
          <w:sz w:val="26"/>
          <w:szCs w:val="26"/>
          <w:u w:color="000000"/>
        </w:rPr>
      </w:pPr>
      <w:r>
        <w:rPr>
          <w:color w:val="000000"/>
          <w:sz w:val="26"/>
          <w:szCs w:val="26"/>
          <w:u w:color="000000"/>
        </w:rPr>
        <w:t xml:space="preserve">After a review of the terms of the Settlement Agreement, we are satisfied that the Agreement is in the public interest.  We further find that approval of this Settlement is consistent with the Commission’s </w:t>
      </w:r>
      <w:r w:rsidRPr="00B60A20">
        <w:rPr>
          <w:i/>
          <w:color w:val="000000"/>
          <w:sz w:val="26"/>
          <w:szCs w:val="26"/>
          <w:u w:color="000000"/>
        </w:rPr>
        <w:t>Policy Statement</w:t>
      </w:r>
      <w:r>
        <w:rPr>
          <w:color w:val="000000"/>
          <w:sz w:val="26"/>
          <w:szCs w:val="26"/>
          <w:u w:color="000000"/>
        </w:rPr>
        <w:t xml:space="preserve"> at </w:t>
      </w:r>
    </w:p>
    <w:p w:rsidR="001858D0" w:rsidRDefault="001858D0" w:rsidP="005E6752">
      <w:pPr>
        <w:spacing w:line="360" w:lineRule="auto"/>
        <w:rPr>
          <w:sz w:val="26"/>
          <w:szCs w:val="26"/>
        </w:rPr>
      </w:pPr>
      <w:r>
        <w:rPr>
          <w:color w:val="000000"/>
          <w:sz w:val="26"/>
          <w:szCs w:val="26"/>
          <w:u w:color="000000"/>
        </w:rPr>
        <w:t xml:space="preserve">52 Pa. Code </w:t>
      </w:r>
      <w:r>
        <w:rPr>
          <w:sz w:val="26"/>
          <w:szCs w:val="26"/>
        </w:rPr>
        <w:t>§</w:t>
      </w:r>
      <w:r w:rsidR="005E6752">
        <w:rPr>
          <w:sz w:val="26"/>
          <w:szCs w:val="26"/>
        </w:rPr>
        <w:t xml:space="preserve"> </w:t>
      </w:r>
      <w:r>
        <w:rPr>
          <w:sz w:val="26"/>
          <w:szCs w:val="26"/>
        </w:rPr>
        <w:t xml:space="preserve">69.1201.  The </w:t>
      </w:r>
      <w:r w:rsidRPr="00B60A20">
        <w:rPr>
          <w:i/>
          <w:sz w:val="26"/>
          <w:szCs w:val="26"/>
        </w:rPr>
        <w:t>Policy Statement</w:t>
      </w:r>
      <w:r>
        <w:rPr>
          <w:sz w:val="26"/>
          <w:szCs w:val="26"/>
        </w:rPr>
        <w:t xml:space="preserve"> sets forth the guidelines we use when determining whether and to what extent a civil penalty is warranted.  In this case, application of these guidelines supports approval of the Settlement Agreement as filed.</w:t>
      </w:r>
    </w:p>
    <w:p w:rsidR="001005A9" w:rsidRDefault="001005A9" w:rsidP="001858D0">
      <w:pPr>
        <w:spacing w:line="360" w:lineRule="auto"/>
        <w:ind w:firstLine="1440"/>
        <w:rPr>
          <w:sz w:val="26"/>
          <w:szCs w:val="26"/>
        </w:rPr>
      </w:pPr>
    </w:p>
    <w:p w:rsidR="00186A83" w:rsidRDefault="001005A9" w:rsidP="001858D0">
      <w:pPr>
        <w:spacing w:line="360" w:lineRule="auto"/>
        <w:ind w:firstLine="1440"/>
        <w:rPr>
          <w:sz w:val="26"/>
          <w:szCs w:val="26"/>
        </w:rPr>
      </w:pPr>
      <w:r w:rsidRPr="00186A83">
        <w:rPr>
          <w:sz w:val="26"/>
          <w:szCs w:val="26"/>
        </w:rPr>
        <w:t xml:space="preserve">The first factor to be considered under the </w:t>
      </w:r>
      <w:r w:rsidRPr="00186A83">
        <w:rPr>
          <w:i/>
          <w:sz w:val="26"/>
          <w:szCs w:val="26"/>
        </w:rPr>
        <w:t>Policy Statement</w:t>
      </w:r>
      <w:r w:rsidRPr="00186A83">
        <w:rPr>
          <w:sz w:val="26"/>
          <w:szCs w:val="26"/>
        </w:rPr>
        <w:t xml:space="preserve"> is whether the </w:t>
      </w:r>
      <w:r w:rsidR="00F925F3" w:rsidRPr="00186A83">
        <w:rPr>
          <w:sz w:val="26"/>
          <w:szCs w:val="26"/>
        </w:rPr>
        <w:t>conduct at issue was of a serious nature, such as willful fraud or misrepresentation, or w</w:t>
      </w:r>
      <w:r w:rsidR="00F925F3">
        <w:rPr>
          <w:sz w:val="26"/>
          <w:szCs w:val="26"/>
        </w:rPr>
        <w:t>as</w:t>
      </w:r>
      <w:r w:rsidRPr="00186A83">
        <w:rPr>
          <w:sz w:val="26"/>
          <w:szCs w:val="26"/>
        </w:rPr>
        <w:t xml:space="preserve"> merely administrative or technical errors.  </w:t>
      </w:r>
      <w:r w:rsidR="00AC21A2" w:rsidRPr="00186A83">
        <w:rPr>
          <w:sz w:val="26"/>
          <w:szCs w:val="26"/>
        </w:rPr>
        <w:t xml:space="preserve">52 Pa. Code § 69.1201(c)(1).  </w:t>
      </w:r>
      <w:r w:rsidR="005E6752">
        <w:rPr>
          <w:sz w:val="26"/>
          <w:szCs w:val="26"/>
        </w:rPr>
        <w:t xml:space="preserve">We find that the Respondent’s action in this matter were not willful.  The Respondent inadvertently performed a move that originated in Washington County because its computer system did not recognize that a portion of the shipper’s zip code was outside of Allegheny County.  Additionally, the shipper’s residence was located just over the border of Allegheny County and the Respondent did not recognize that it was in Washington County.  </w:t>
      </w:r>
      <w:r w:rsidR="00150ADC" w:rsidRPr="00186A83">
        <w:rPr>
          <w:sz w:val="26"/>
          <w:szCs w:val="26"/>
        </w:rPr>
        <w:t>Settlement</w:t>
      </w:r>
      <w:r w:rsidR="005E6752">
        <w:rPr>
          <w:sz w:val="26"/>
          <w:szCs w:val="26"/>
        </w:rPr>
        <w:t xml:space="preserve"> at ¶ 12.</w:t>
      </w:r>
      <w:r w:rsidR="00150ADC" w:rsidRPr="00186A83">
        <w:rPr>
          <w:sz w:val="26"/>
          <w:szCs w:val="26"/>
        </w:rPr>
        <w:t xml:space="preserve"> </w:t>
      </w:r>
    </w:p>
    <w:p w:rsidR="007E2623" w:rsidRPr="00C84779" w:rsidRDefault="007E2623" w:rsidP="001858D0">
      <w:pPr>
        <w:spacing w:line="360" w:lineRule="auto"/>
        <w:ind w:firstLine="1440"/>
        <w:rPr>
          <w:sz w:val="26"/>
          <w:szCs w:val="26"/>
        </w:rPr>
      </w:pPr>
    </w:p>
    <w:p w:rsidR="00417777" w:rsidRDefault="00150ADC" w:rsidP="005E6752">
      <w:pPr>
        <w:spacing w:line="360" w:lineRule="auto"/>
        <w:ind w:firstLine="1440"/>
        <w:rPr>
          <w:sz w:val="26"/>
          <w:szCs w:val="26"/>
        </w:rPr>
      </w:pPr>
      <w:r>
        <w:rPr>
          <w:sz w:val="26"/>
          <w:szCs w:val="26"/>
        </w:rPr>
        <w:t xml:space="preserve">The second factor found in the </w:t>
      </w:r>
      <w:r>
        <w:rPr>
          <w:i/>
          <w:sz w:val="26"/>
          <w:szCs w:val="26"/>
        </w:rPr>
        <w:t>Policy Statement</w:t>
      </w:r>
      <w:r>
        <w:rPr>
          <w:sz w:val="26"/>
          <w:szCs w:val="26"/>
        </w:rPr>
        <w:t xml:space="preserve"> is an examination of whether the resulting consequences of the conduct at issue were of a serious nature, such as personal injury or property damage.  52 Pa. Code § 69.1201(c)(2).  In this case, the </w:t>
      </w:r>
      <w:r w:rsidR="00406CCC">
        <w:rPr>
          <w:sz w:val="26"/>
          <w:szCs w:val="26"/>
        </w:rPr>
        <w:t xml:space="preserve">Respondent’s </w:t>
      </w:r>
      <w:r w:rsidR="005E6752">
        <w:rPr>
          <w:sz w:val="26"/>
          <w:szCs w:val="26"/>
        </w:rPr>
        <w:t xml:space="preserve">violation did not have lasting consequences.  Further, no one was physically harmed and no property was damaged.  </w:t>
      </w:r>
      <w:r w:rsidR="00406CCC">
        <w:rPr>
          <w:sz w:val="26"/>
          <w:szCs w:val="26"/>
        </w:rPr>
        <w:t>Settlement</w:t>
      </w:r>
      <w:r w:rsidR="00417777">
        <w:rPr>
          <w:sz w:val="26"/>
          <w:szCs w:val="26"/>
        </w:rPr>
        <w:t xml:space="preserve"> </w:t>
      </w:r>
      <w:r w:rsidR="00406CCC">
        <w:rPr>
          <w:sz w:val="26"/>
          <w:szCs w:val="26"/>
        </w:rPr>
        <w:t xml:space="preserve">at ¶ </w:t>
      </w:r>
      <w:r w:rsidR="005E6752">
        <w:rPr>
          <w:sz w:val="26"/>
          <w:szCs w:val="26"/>
        </w:rPr>
        <w:t>13</w:t>
      </w:r>
      <w:r w:rsidR="00406CCC">
        <w:rPr>
          <w:sz w:val="26"/>
          <w:szCs w:val="26"/>
        </w:rPr>
        <w:t>.</w:t>
      </w:r>
      <w:r w:rsidR="00417777">
        <w:rPr>
          <w:sz w:val="26"/>
          <w:szCs w:val="26"/>
        </w:rPr>
        <w:t xml:space="preserve"> </w:t>
      </w:r>
    </w:p>
    <w:p w:rsidR="005E6752" w:rsidRDefault="005E6752" w:rsidP="001858D0">
      <w:pPr>
        <w:spacing w:line="360" w:lineRule="auto"/>
        <w:ind w:firstLine="1440"/>
        <w:rPr>
          <w:sz w:val="26"/>
          <w:szCs w:val="26"/>
        </w:rPr>
      </w:pPr>
    </w:p>
    <w:p w:rsidR="00406CCC" w:rsidRDefault="00406CCC" w:rsidP="001858D0">
      <w:pPr>
        <w:spacing w:line="360" w:lineRule="auto"/>
        <w:ind w:firstLine="1440"/>
        <w:rPr>
          <w:sz w:val="26"/>
          <w:szCs w:val="26"/>
        </w:rPr>
      </w:pPr>
      <w:r>
        <w:rPr>
          <w:sz w:val="26"/>
          <w:szCs w:val="26"/>
        </w:rPr>
        <w:t xml:space="preserve">The third factor in the </w:t>
      </w:r>
      <w:r>
        <w:rPr>
          <w:i/>
          <w:sz w:val="26"/>
          <w:szCs w:val="26"/>
        </w:rPr>
        <w:t>Policy Statement</w:t>
      </w:r>
      <w:r>
        <w:rPr>
          <w:sz w:val="26"/>
          <w:szCs w:val="26"/>
        </w:rPr>
        <w:t xml:space="preserve">, whether the conduct at issue was intentional or negligent, does not apply </w:t>
      </w:r>
      <w:r w:rsidR="005A110F">
        <w:rPr>
          <w:sz w:val="26"/>
          <w:szCs w:val="26"/>
        </w:rPr>
        <w:t>to the present case because this proceeding is a settled matter.  52 Pa. Code § 69.1201(c)(3).</w:t>
      </w:r>
      <w:r w:rsidR="006961FC">
        <w:rPr>
          <w:sz w:val="26"/>
          <w:szCs w:val="26"/>
        </w:rPr>
        <w:t xml:space="preserve">  Nonetheless, we find </w:t>
      </w:r>
      <w:r w:rsidR="006544ED">
        <w:rPr>
          <w:sz w:val="26"/>
          <w:szCs w:val="26"/>
        </w:rPr>
        <w:t xml:space="preserve">that </w:t>
      </w:r>
      <w:r w:rsidR="006961FC">
        <w:rPr>
          <w:sz w:val="26"/>
          <w:szCs w:val="26"/>
        </w:rPr>
        <w:t>the Respondent’s conduct was unintentional.</w:t>
      </w:r>
    </w:p>
    <w:p w:rsidR="005A110F" w:rsidRDefault="005A110F" w:rsidP="001858D0">
      <w:pPr>
        <w:spacing w:line="360" w:lineRule="auto"/>
        <w:ind w:firstLine="1440"/>
        <w:rPr>
          <w:sz w:val="26"/>
          <w:szCs w:val="26"/>
        </w:rPr>
      </w:pPr>
    </w:p>
    <w:p w:rsidR="00EA3E5A" w:rsidRDefault="005A110F" w:rsidP="001858D0">
      <w:pPr>
        <w:spacing w:line="360" w:lineRule="auto"/>
        <w:ind w:firstLine="1440"/>
        <w:rPr>
          <w:sz w:val="26"/>
          <w:szCs w:val="26"/>
        </w:rPr>
      </w:pPr>
      <w:r>
        <w:rPr>
          <w:sz w:val="26"/>
          <w:szCs w:val="26"/>
        </w:rPr>
        <w:t xml:space="preserve">The fourth standard in the </w:t>
      </w:r>
      <w:r>
        <w:rPr>
          <w:i/>
          <w:sz w:val="26"/>
          <w:szCs w:val="26"/>
        </w:rPr>
        <w:t>Policy Statement</w:t>
      </w:r>
      <w:r>
        <w:rPr>
          <w:sz w:val="26"/>
          <w:szCs w:val="26"/>
        </w:rPr>
        <w:t xml:space="preserve"> is whether the regulated entity has made an effort to modify internal practices and procedures to address the conduct at issue and to prevent similar conduct in the future.  52 Pa. Code § 69.1201(c)(4).</w:t>
      </w:r>
      <w:r w:rsidR="00EA3E5A">
        <w:rPr>
          <w:sz w:val="26"/>
          <w:szCs w:val="26"/>
        </w:rPr>
        <w:t xml:space="preserve">  </w:t>
      </w:r>
      <w:r w:rsidR="006544ED">
        <w:rPr>
          <w:sz w:val="26"/>
          <w:szCs w:val="26"/>
        </w:rPr>
        <w:t>We note that t</w:t>
      </w:r>
      <w:r w:rsidR="006961FC">
        <w:rPr>
          <w:sz w:val="26"/>
          <w:szCs w:val="26"/>
        </w:rPr>
        <w:t>he Respondent has filed an</w:t>
      </w:r>
      <w:r w:rsidR="006544ED">
        <w:rPr>
          <w:sz w:val="26"/>
          <w:szCs w:val="26"/>
        </w:rPr>
        <w:t xml:space="preserve"> A</w:t>
      </w:r>
      <w:r w:rsidR="006961FC">
        <w:rPr>
          <w:sz w:val="26"/>
          <w:szCs w:val="26"/>
        </w:rPr>
        <w:t xml:space="preserve">pplication with the Commission to expand its transport area for household goods in use to cover Washington County, as well as other counties.  Should the Commission reject its </w:t>
      </w:r>
      <w:r w:rsidR="006544ED">
        <w:rPr>
          <w:sz w:val="26"/>
          <w:szCs w:val="26"/>
        </w:rPr>
        <w:t>A</w:t>
      </w:r>
      <w:r w:rsidR="006961FC">
        <w:rPr>
          <w:sz w:val="26"/>
          <w:szCs w:val="26"/>
        </w:rPr>
        <w:t>pplication, the Respondent agrees to be more pruden</w:t>
      </w:r>
      <w:r w:rsidR="006544ED">
        <w:rPr>
          <w:sz w:val="26"/>
          <w:szCs w:val="26"/>
        </w:rPr>
        <w:t>t in the future</w:t>
      </w:r>
      <w:r w:rsidR="006961FC">
        <w:rPr>
          <w:sz w:val="26"/>
          <w:szCs w:val="26"/>
        </w:rPr>
        <w:t xml:space="preserve"> in ensuring that it is performing household goods moves within its certificated territory.</w:t>
      </w:r>
      <w:r w:rsidR="00734C08">
        <w:rPr>
          <w:sz w:val="26"/>
          <w:szCs w:val="26"/>
        </w:rPr>
        <w:t xml:space="preserve">  Settlement at </w:t>
      </w:r>
      <w:r w:rsidR="00EA3E5A">
        <w:rPr>
          <w:sz w:val="26"/>
          <w:szCs w:val="26"/>
        </w:rPr>
        <w:t xml:space="preserve">¶ </w:t>
      </w:r>
      <w:r w:rsidR="006961FC">
        <w:rPr>
          <w:sz w:val="26"/>
          <w:szCs w:val="26"/>
        </w:rPr>
        <w:t>15</w:t>
      </w:r>
      <w:r w:rsidR="000E0E21">
        <w:rPr>
          <w:sz w:val="26"/>
          <w:szCs w:val="26"/>
        </w:rPr>
        <w:t xml:space="preserve">.  </w:t>
      </w:r>
    </w:p>
    <w:p w:rsidR="006961FC" w:rsidRDefault="006961FC" w:rsidP="001858D0">
      <w:pPr>
        <w:spacing w:line="360" w:lineRule="auto"/>
        <w:ind w:firstLine="1440"/>
        <w:rPr>
          <w:sz w:val="26"/>
          <w:szCs w:val="26"/>
        </w:rPr>
      </w:pPr>
    </w:p>
    <w:p w:rsidR="00EA3E5A" w:rsidRDefault="00EA3E5A" w:rsidP="001858D0">
      <w:pPr>
        <w:spacing w:line="360" w:lineRule="auto"/>
        <w:ind w:firstLine="1440"/>
        <w:rPr>
          <w:sz w:val="26"/>
          <w:szCs w:val="26"/>
        </w:rPr>
      </w:pPr>
      <w:r>
        <w:rPr>
          <w:sz w:val="26"/>
          <w:szCs w:val="26"/>
        </w:rPr>
        <w:t xml:space="preserve">The fifth standard in the </w:t>
      </w:r>
      <w:r>
        <w:rPr>
          <w:i/>
          <w:sz w:val="26"/>
          <w:szCs w:val="26"/>
        </w:rPr>
        <w:t>Policy Statement</w:t>
      </w:r>
      <w:r>
        <w:rPr>
          <w:sz w:val="26"/>
          <w:szCs w:val="26"/>
        </w:rPr>
        <w:t xml:space="preserve"> deals with the number of customers affected and the duration of the violation.  52 Pa. Code </w:t>
      </w:r>
      <w:r w:rsidR="00E00E31">
        <w:rPr>
          <w:sz w:val="26"/>
          <w:szCs w:val="26"/>
        </w:rPr>
        <w:t xml:space="preserve">§ 69.1201(c)(5).  </w:t>
      </w:r>
      <w:r w:rsidR="006961FC">
        <w:rPr>
          <w:sz w:val="26"/>
          <w:szCs w:val="26"/>
        </w:rPr>
        <w:t>The duration of the Respondent’s violation was brief</w:t>
      </w:r>
      <w:r w:rsidR="006544ED">
        <w:rPr>
          <w:sz w:val="26"/>
          <w:szCs w:val="26"/>
        </w:rPr>
        <w:t xml:space="preserve">. </w:t>
      </w:r>
      <w:r w:rsidR="006961FC">
        <w:rPr>
          <w:sz w:val="26"/>
          <w:szCs w:val="26"/>
        </w:rPr>
        <w:t xml:space="preserve"> </w:t>
      </w:r>
      <w:r w:rsidR="006544ED">
        <w:rPr>
          <w:sz w:val="26"/>
          <w:szCs w:val="26"/>
        </w:rPr>
        <w:t>I</w:t>
      </w:r>
      <w:r w:rsidR="006961FC">
        <w:rPr>
          <w:sz w:val="26"/>
          <w:szCs w:val="26"/>
        </w:rPr>
        <w:t xml:space="preserve">t transported household goods in use outside of its certificated territory on one occasion, for one shipper.  </w:t>
      </w:r>
      <w:r w:rsidR="006544ED">
        <w:rPr>
          <w:sz w:val="26"/>
          <w:szCs w:val="26"/>
        </w:rPr>
        <w:t>Additionally, t</w:t>
      </w:r>
      <w:r w:rsidR="006961FC">
        <w:rPr>
          <w:sz w:val="26"/>
          <w:szCs w:val="26"/>
        </w:rPr>
        <w:t xml:space="preserve">he individual customer did not complain about the Respondent’s service.  </w:t>
      </w:r>
      <w:r w:rsidR="00E00E31">
        <w:rPr>
          <w:sz w:val="26"/>
          <w:szCs w:val="26"/>
        </w:rPr>
        <w:t xml:space="preserve">Settlement at ¶ </w:t>
      </w:r>
      <w:r w:rsidR="006961FC">
        <w:rPr>
          <w:sz w:val="26"/>
          <w:szCs w:val="26"/>
        </w:rPr>
        <w:t>16</w:t>
      </w:r>
      <w:r w:rsidR="00E00E31">
        <w:rPr>
          <w:sz w:val="26"/>
          <w:szCs w:val="26"/>
        </w:rPr>
        <w:t>.</w:t>
      </w:r>
    </w:p>
    <w:p w:rsidR="00E00E31" w:rsidRDefault="00E00E31" w:rsidP="001858D0">
      <w:pPr>
        <w:spacing w:line="360" w:lineRule="auto"/>
        <w:ind w:firstLine="1440"/>
        <w:rPr>
          <w:sz w:val="26"/>
          <w:szCs w:val="26"/>
        </w:rPr>
      </w:pPr>
    </w:p>
    <w:p w:rsidR="00734C08" w:rsidRDefault="00E00E31" w:rsidP="001858D0">
      <w:pPr>
        <w:spacing w:line="360" w:lineRule="auto"/>
        <w:ind w:firstLine="1440"/>
        <w:rPr>
          <w:sz w:val="26"/>
          <w:szCs w:val="26"/>
        </w:rPr>
      </w:pPr>
      <w:r w:rsidRPr="008828BD">
        <w:rPr>
          <w:sz w:val="26"/>
          <w:szCs w:val="26"/>
        </w:rPr>
        <w:t xml:space="preserve">The sixth standard is a consideration of the Respondent’s compliance history.  52 Pa. Code </w:t>
      </w:r>
      <w:r w:rsidR="00C420DE" w:rsidRPr="008828BD">
        <w:rPr>
          <w:sz w:val="26"/>
          <w:szCs w:val="26"/>
        </w:rPr>
        <w:t>§ 69.1201(c)(6).</w:t>
      </w:r>
      <w:r w:rsidR="00CC62EA" w:rsidRPr="008828BD">
        <w:rPr>
          <w:sz w:val="26"/>
          <w:szCs w:val="26"/>
        </w:rPr>
        <w:t xml:space="preserve">  </w:t>
      </w:r>
      <w:r w:rsidR="006544ED">
        <w:rPr>
          <w:sz w:val="26"/>
          <w:szCs w:val="26"/>
        </w:rPr>
        <w:t xml:space="preserve">We note that </w:t>
      </w:r>
      <w:r w:rsidR="002B1C57">
        <w:rPr>
          <w:sz w:val="26"/>
          <w:szCs w:val="26"/>
        </w:rPr>
        <w:t>t</w:t>
      </w:r>
      <w:r w:rsidR="00CC62EA" w:rsidRPr="008828BD">
        <w:rPr>
          <w:sz w:val="26"/>
          <w:szCs w:val="26"/>
        </w:rPr>
        <w:t xml:space="preserve">he </w:t>
      </w:r>
      <w:r w:rsidR="00866322" w:rsidRPr="00866322">
        <w:rPr>
          <w:sz w:val="26"/>
          <w:szCs w:val="26"/>
        </w:rPr>
        <w:t>Respondent</w:t>
      </w:r>
      <w:r w:rsidR="00866322">
        <w:rPr>
          <w:sz w:val="26"/>
          <w:szCs w:val="26"/>
        </w:rPr>
        <w:t xml:space="preserve"> ha</w:t>
      </w:r>
      <w:r w:rsidR="006544ED">
        <w:rPr>
          <w:sz w:val="26"/>
          <w:szCs w:val="26"/>
        </w:rPr>
        <w:t>d</w:t>
      </w:r>
      <w:r w:rsidR="00866322">
        <w:rPr>
          <w:sz w:val="26"/>
          <w:szCs w:val="26"/>
        </w:rPr>
        <w:t xml:space="preserve"> one prior violation.  On October 31, 2006, </w:t>
      </w:r>
      <w:r w:rsidR="006544ED">
        <w:rPr>
          <w:sz w:val="26"/>
          <w:szCs w:val="26"/>
        </w:rPr>
        <w:t>BTS</w:t>
      </w:r>
      <w:r w:rsidR="00866322">
        <w:rPr>
          <w:sz w:val="26"/>
          <w:szCs w:val="26"/>
        </w:rPr>
        <w:t xml:space="preserve"> initiated a Complaint against the Respondent</w:t>
      </w:r>
      <w:r w:rsidR="006544ED">
        <w:rPr>
          <w:sz w:val="26"/>
          <w:szCs w:val="26"/>
        </w:rPr>
        <w:t>,</w:t>
      </w:r>
      <w:r w:rsidR="00866322" w:rsidRPr="00866322">
        <w:rPr>
          <w:sz w:val="26"/>
          <w:szCs w:val="26"/>
        </w:rPr>
        <w:t xml:space="preserve"> </w:t>
      </w:r>
      <w:r w:rsidR="00866322">
        <w:rPr>
          <w:sz w:val="26"/>
          <w:szCs w:val="26"/>
        </w:rPr>
        <w:t xml:space="preserve">at Docket No. A-00121505C601, for </w:t>
      </w:r>
      <w:r w:rsidR="006953A2">
        <w:rPr>
          <w:sz w:val="26"/>
          <w:szCs w:val="26"/>
        </w:rPr>
        <w:t xml:space="preserve">its </w:t>
      </w:r>
      <w:r w:rsidR="00866322">
        <w:rPr>
          <w:sz w:val="26"/>
          <w:szCs w:val="26"/>
        </w:rPr>
        <w:t>failure to include its Certificate number in an advertisement in a newspaper, as well as on its website.  The Respondent paid a $50 civil penalty for this violation.</w:t>
      </w:r>
      <w:r w:rsidR="00494AAA" w:rsidRPr="00866322">
        <w:rPr>
          <w:sz w:val="26"/>
          <w:szCs w:val="26"/>
        </w:rPr>
        <w:t xml:space="preserve"> </w:t>
      </w:r>
      <w:r w:rsidR="00734C08" w:rsidRPr="00866322">
        <w:rPr>
          <w:sz w:val="26"/>
          <w:szCs w:val="26"/>
        </w:rPr>
        <w:t xml:space="preserve">  </w:t>
      </w:r>
      <w:r w:rsidR="00734C08" w:rsidRPr="008828BD">
        <w:rPr>
          <w:sz w:val="26"/>
          <w:szCs w:val="26"/>
        </w:rPr>
        <w:t xml:space="preserve">Settlement at ¶ </w:t>
      </w:r>
      <w:r w:rsidR="00866322">
        <w:rPr>
          <w:sz w:val="26"/>
          <w:szCs w:val="26"/>
        </w:rPr>
        <w:t>17</w:t>
      </w:r>
      <w:r w:rsidR="00734C08" w:rsidRPr="008828BD">
        <w:rPr>
          <w:sz w:val="26"/>
          <w:szCs w:val="26"/>
        </w:rPr>
        <w:t>.</w:t>
      </w:r>
      <w:r w:rsidR="008828BD" w:rsidRPr="008828BD">
        <w:rPr>
          <w:sz w:val="26"/>
          <w:szCs w:val="26"/>
        </w:rPr>
        <w:t xml:space="preserve">  </w:t>
      </w:r>
    </w:p>
    <w:p w:rsidR="006544ED" w:rsidRDefault="006544ED" w:rsidP="001858D0">
      <w:pPr>
        <w:spacing w:line="360" w:lineRule="auto"/>
        <w:ind w:firstLine="1440"/>
        <w:rPr>
          <w:sz w:val="26"/>
          <w:szCs w:val="26"/>
        </w:rPr>
      </w:pPr>
    </w:p>
    <w:p w:rsidR="001B19B2" w:rsidRDefault="00502ADF" w:rsidP="001858D0">
      <w:pPr>
        <w:spacing w:line="360" w:lineRule="auto"/>
        <w:ind w:firstLine="1440"/>
        <w:rPr>
          <w:sz w:val="26"/>
          <w:szCs w:val="26"/>
        </w:rPr>
      </w:pPr>
      <w:r w:rsidRPr="00E854AE">
        <w:rPr>
          <w:sz w:val="26"/>
          <w:szCs w:val="26"/>
        </w:rPr>
        <w:lastRenderedPageBreak/>
        <w:t xml:space="preserve">The seventh standard in the </w:t>
      </w:r>
      <w:r w:rsidRPr="00E854AE">
        <w:rPr>
          <w:i/>
          <w:sz w:val="26"/>
          <w:szCs w:val="26"/>
        </w:rPr>
        <w:t>Policy Statement</w:t>
      </w:r>
      <w:r w:rsidRPr="00E854AE">
        <w:rPr>
          <w:sz w:val="26"/>
          <w:szCs w:val="26"/>
        </w:rPr>
        <w:t xml:space="preserve"> is whether the regulated entity cooperated with the Commission’s investigation.  52 Pa. Code § 69.1201(c)(7).  In this case, the Parties represent</w:t>
      </w:r>
      <w:r w:rsidR="006C2C26" w:rsidRPr="00E854AE">
        <w:rPr>
          <w:sz w:val="26"/>
          <w:szCs w:val="26"/>
        </w:rPr>
        <w:t xml:space="preserve"> that the Respondent </w:t>
      </w:r>
      <w:r w:rsidR="00866322">
        <w:rPr>
          <w:sz w:val="26"/>
          <w:szCs w:val="26"/>
        </w:rPr>
        <w:t xml:space="preserve">fully </w:t>
      </w:r>
      <w:r w:rsidR="006C2C26" w:rsidRPr="00E854AE">
        <w:rPr>
          <w:sz w:val="26"/>
          <w:szCs w:val="26"/>
        </w:rPr>
        <w:t xml:space="preserve">cooperated </w:t>
      </w:r>
      <w:r w:rsidR="006953A2">
        <w:rPr>
          <w:sz w:val="26"/>
          <w:szCs w:val="26"/>
        </w:rPr>
        <w:t xml:space="preserve">with counsel for </w:t>
      </w:r>
      <w:r w:rsidR="006544ED">
        <w:rPr>
          <w:sz w:val="26"/>
          <w:szCs w:val="26"/>
        </w:rPr>
        <w:t>LBPS</w:t>
      </w:r>
      <w:r w:rsidR="006953A2">
        <w:rPr>
          <w:sz w:val="26"/>
          <w:szCs w:val="26"/>
        </w:rPr>
        <w:t>, returning all phone calls promptly and answering all questions completely</w:t>
      </w:r>
      <w:r w:rsidR="006C2C26" w:rsidRPr="00E854AE">
        <w:rPr>
          <w:sz w:val="26"/>
          <w:szCs w:val="26"/>
        </w:rPr>
        <w:t xml:space="preserve">.  </w:t>
      </w:r>
    </w:p>
    <w:p w:rsidR="00502ADF" w:rsidRPr="00E854AE" w:rsidRDefault="006C2C26" w:rsidP="001B19B2">
      <w:pPr>
        <w:spacing w:line="360" w:lineRule="auto"/>
        <w:rPr>
          <w:sz w:val="26"/>
          <w:szCs w:val="26"/>
        </w:rPr>
      </w:pPr>
      <w:r w:rsidRPr="00E854AE">
        <w:rPr>
          <w:sz w:val="26"/>
          <w:szCs w:val="26"/>
        </w:rPr>
        <w:t xml:space="preserve">Settlement at ¶ </w:t>
      </w:r>
      <w:r w:rsidR="006953A2">
        <w:rPr>
          <w:sz w:val="26"/>
          <w:szCs w:val="26"/>
        </w:rPr>
        <w:t>18</w:t>
      </w:r>
      <w:r w:rsidRPr="00E854AE">
        <w:rPr>
          <w:sz w:val="26"/>
          <w:szCs w:val="26"/>
        </w:rPr>
        <w:t>.</w:t>
      </w:r>
    </w:p>
    <w:p w:rsidR="006C2C26" w:rsidRDefault="006C2C26" w:rsidP="001858D0">
      <w:pPr>
        <w:spacing w:line="360" w:lineRule="auto"/>
        <w:ind w:firstLine="1440"/>
        <w:rPr>
          <w:sz w:val="26"/>
          <w:szCs w:val="26"/>
        </w:rPr>
      </w:pPr>
    </w:p>
    <w:p w:rsidR="001B19B2" w:rsidRDefault="000E0E21" w:rsidP="001858D0">
      <w:pPr>
        <w:spacing w:line="360" w:lineRule="auto"/>
        <w:ind w:firstLine="1440"/>
        <w:rPr>
          <w:sz w:val="26"/>
          <w:szCs w:val="26"/>
        </w:rPr>
      </w:pPr>
      <w:r>
        <w:rPr>
          <w:sz w:val="26"/>
          <w:szCs w:val="26"/>
        </w:rPr>
        <w:t>The eighth</w:t>
      </w:r>
      <w:r w:rsidR="006C2C26">
        <w:rPr>
          <w:sz w:val="26"/>
          <w:szCs w:val="26"/>
        </w:rPr>
        <w:t xml:space="preserve"> standard in the </w:t>
      </w:r>
      <w:r w:rsidR="006C2C26">
        <w:rPr>
          <w:i/>
          <w:sz w:val="26"/>
          <w:szCs w:val="26"/>
        </w:rPr>
        <w:t>Policy Statement</w:t>
      </w:r>
      <w:r w:rsidR="006C2C26">
        <w:rPr>
          <w:sz w:val="26"/>
          <w:szCs w:val="26"/>
        </w:rPr>
        <w:t xml:space="preserve"> is a consideration of the amount of the civil penalty necessary to deter future violations.  </w:t>
      </w:r>
    </w:p>
    <w:p w:rsidR="006C2C26" w:rsidRDefault="006C2C26" w:rsidP="001B19B2">
      <w:pPr>
        <w:spacing w:line="360" w:lineRule="auto"/>
        <w:rPr>
          <w:sz w:val="26"/>
          <w:szCs w:val="26"/>
        </w:rPr>
      </w:pPr>
      <w:r>
        <w:rPr>
          <w:sz w:val="26"/>
          <w:szCs w:val="26"/>
        </w:rPr>
        <w:t>52 Pa. Code § 69.1201(c)(8).  The Parties submit that a civil penalty in the amount of $</w:t>
      </w:r>
      <w:r w:rsidR="0052643A">
        <w:rPr>
          <w:sz w:val="26"/>
          <w:szCs w:val="26"/>
        </w:rPr>
        <w:t>2</w:t>
      </w:r>
      <w:r w:rsidR="006953A2">
        <w:rPr>
          <w:sz w:val="26"/>
          <w:szCs w:val="26"/>
        </w:rPr>
        <w:t>5</w:t>
      </w:r>
      <w:r>
        <w:rPr>
          <w:sz w:val="26"/>
          <w:szCs w:val="26"/>
        </w:rPr>
        <w:t xml:space="preserve">0 </w:t>
      </w:r>
      <w:r w:rsidR="006953A2">
        <w:rPr>
          <w:sz w:val="26"/>
          <w:szCs w:val="26"/>
        </w:rPr>
        <w:t xml:space="preserve">constitutes a reasonable and appropriate resolution of the </w:t>
      </w:r>
      <w:r w:rsidR="006544ED">
        <w:rPr>
          <w:sz w:val="26"/>
          <w:szCs w:val="26"/>
        </w:rPr>
        <w:t>issues raised in</w:t>
      </w:r>
      <w:r w:rsidR="006953A2">
        <w:rPr>
          <w:sz w:val="26"/>
          <w:szCs w:val="26"/>
        </w:rPr>
        <w:t xml:space="preserve"> this proceeding.</w:t>
      </w:r>
      <w:r>
        <w:rPr>
          <w:sz w:val="26"/>
          <w:szCs w:val="26"/>
        </w:rPr>
        <w:t xml:space="preserve">  Settlement at</w:t>
      </w:r>
      <w:r w:rsidR="006544ED">
        <w:rPr>
          <w:sz w:val="26"/>
          <w:szCs w:val="26"/>
        </w:rPr>
        <w:t xml:space="preserve"> </w:t>
      </w:r>
      <w:r w:rsidR="00375155">
        <w:rPr>
          <w:sz w:val="26"/>
          <w:szCs w:val="26"/>
        </w:rPr>
        <w:t xml:space="preserve">¶ </w:t>
      </w:r>
      <w:r w:rsidR="006953A2">
        <w:rPr>
          <w:sz w:val="26"/>
          <w:szCs w:val="26"/>
        </w:rPr>
        <w:t>19</w:t>
      </w:r>
      <w:r w:rsidR="00375155">
        <w:rPr>
          <w:sz w:val="26"/>
          <w:szCs w:val="26"/>
        </w:rPr>
        <w:t>.</w:t>
      </w:r>
    </w:p>
    <w:p w:rsidR="00C17777" w:rsidRDefault="00C17777" w:rsidP="00C17777">
      <w:pPr>
        <w:spacing w:line="360" w:lineRule="auto"/>
        <w:ind w:firstLine="1440"/>
        <w:rPr>
          <w:sz w:val="26"/>
          <w:szCs w:val="26"/>
        </w:rPr>
      </w:pPr>
    </w:p>
    <w:p w:rsidR="00C17777" w:rsidRDefault="00C17777" w:rsidP="001858D0">
      <w:pPr>
        <w:spacing w:line="360" w:lineRule="auto"/>
        <w:ind w:firstLine="1440"/>
        <w:rPr>
          <w:sz w:val="26"/>
          <w:szCs w:val="26"/>
        </w:rPr>
      </w:pPr>
      <w:r>
        <w:rPr>
          <w:sz w:val="26"/>
          <w:szCs w:val="26"/>
        </w:rPr>
        <w:t xml:space="preserve">The ninth standard in the </w:t>
      </w:r>
      <w:r>
        <w:rPr>
          <w:i/>
          <w:sz w:val="26"/>
          <w:szCs w:val="26"/>
        </w:rPr>
        <w:t>Policy Statement</w:t>
      </w:r>
      <w:r>
        <w:rPr>
          <w:sz w:val="26"/>
          <w:szCs w:val="26"/>
        </w:rPr>
        <w:t xml:space="preserve"> examines past Commission decisions in similar situations.  52 Pa. Code § 69.1201(c)(9).  </w:t>
      </w:r>
      <w:r w:rsidR="006953A2">
        <w:rPr>
          <w:sz w:val="26"/>
          <w:szCs w:val="26"/>
        </w:rPr>
        <w:t>This Agreement is consistent with prior decisions and is appropriate based upon the circumstances of this case.  Settlement at ¶ 20.</w:t>
      </w:r>
    </w:p>
    <w:p w:rsidR="009D195B" w:rsidRDefault="009D195B" w:rsidP="009D195B">
      <w:pPr>
        <w:spacing w:line="360" w:lineRule="auto"/>
        <w:ind w:firstLine="1440"/>
        <w:rPr>
          <w:sz w:val="26"/>
          <w:szCs w:val="26"/>
        </w:rPr>
      </w:pPr>
    </w:p>
    <w:p w:rsidR="009D195B" w:rsidRDefault="009D195B" w:rsidP="009D195B">
      <w:pPr>
        <w:spacing w:line="360" w:lineRule="auto"/>
        <w:ind w:firstLine="1440"/>
        <w:rPr>
          <w:sz w:val="26"/>
          <w:szCs w:val="26"/>
        </w:rPr>
      </w:pPr>
      <w:r>
        <w:rPr>
          <w:sz w:val="26"/>
          <w:szCs w:val="26"/>
        </w:rPr>
        <w:t xml:space="preserve">The tenth standard in the </w:t>
      </w:r>
      <w:r>
        <w:rPr>
          <w:i/>
          <w:sz w:val="26"/>
          <w:szCs w:val="26"/>
        </w:rPr>
        <w:t>Policy Statement</w:t>
      </w:r>
      <w:r>
        <w:rPr>
          <w:sz w:val="26"/>
          <w:szCs w:val="26"/>
        </w:rPr>
        <w:t xml:space="preserve"> </w:t>
      </w:r>
      <w:r w:rsidR="006953A2">
        <w:rPr>
          <w:sz w:val="26"/>
          <w:szCs w:val="26"/>
        </w:rPr>
        <w:t>ex</w:t>
      </w:r>
      <w:r w:rsidR="003E1D1F">
        <w:rPr>
          <w:sz w:val="26"/>
          <w:szCs w:val="26"/>
        </w:rPr>
        <w:t>a</w:t>
      </w:r>
      <w:r w:rsidR="006953A2">
        <w:rPr>
          <w:sz w:val="26"/>
          <w:szCs w:val="26"/>
        </w:rPr>
        <w:t>mines</w:t>
      </w:r>
      <w:r>
        <w:rPr>
          <w:sz w:val="26"/>
          <w:szCs w:val="26"/>
        </w:rPr>
        <w:t xml:space="preserve"> other relevant factors.  52 Pa. Code § 69.1201(c)(10).  In this case, the civil penalty would arise from a settlement reached prior to a hearing and will save the Parties the time and expense of holding a hearing.  </w:t>
      </w:r>
    </w:p>
    <w:p w:rsidR="006953A2" w:rsidRDefault="006953A2" w:rsidP="009D195B">
      <w:pPr>
        <w:spacing w:line="360" w:lineRule="auto"/>
        <w:ind w:firstLine="1440"/>
        <w:rPr>
          <w:sz w:val="26"/>
          <w:szCs w:val="26"/>
        </w:rPr>
      </w:pPr>
    </w:p>
    <w:p w:rsidR="006953A2" w:rsidRDefault="006953A2" w:rsidP="009D195B">
      <w:pPr>
        <w:spacing w:line="360" w:lineRule="auto"/>
        <w:ind w:firstLine="1440"/>
        <w:rPr>
          <w:sz w:val="26"/>
          <w:szCs w:val="26"/>
        </w:rPr>
      </w:pPr>
      <w:r>
        <w:rPr>
          <w:sz w:val="26"/>
          <w:szCs w:val="26"/>
        </w:rPr>
        <w:t>Finally, we note that the Respondent has remitted the $250 civil penalty.</w:t>
      </w:r>
    </w:p>
    <w:p w:rsidR="002C6FFF" w:rsidRPr="00F336A3" w:rsidRDefault="002C6FFF" w:rsidP="001858D0">
      <w:pPr>
        <w:spacing w:line="360" w:lineRule="auto"/>
        <w:jc w:val="center"/>
        <w:rPr>
          <w:sz w:val="26"/>
          <w:szCs w:val="26"/>
          <w:u w:color="000000"/>
        </w:rPr>
      </w:pPr>
    </w:p>
    <w:p w:rsidR="001858D0" w:rsidRPr="00F336A3" w:rsidRDefault="001858D0" w:rsidP="001858D0">
      <w:pPr>
        <w:spacing w:line="360" w:lineRule="auto"/>
        <w:jc w:val="center"/>
        <w:rPr>
          <w:sz w:val="26"/>
          <w:szCs w:val="26"/>
        </w:rPr>
      </w:pPr>
      <w:r w:rsidRPr="00F336A3">
        <w:rPr>
          <w:b/>
          <w:sz w:val="26"/>
          <w:szCs w:val="26"/>
        </w:rPr>
        <w:t>Conclusion</w:t>
      </w:r>
    </w:p>
    <w:p w:rsidR="001858D0" w:rsidRPr="00FF22AE" w:rsidRDefault="001858D0" w:rsidP="001858D0">
      <w:pPr>
        <w:spacing w:line="360" w:lineRule="auto"/>
        <w:ind w:firstLine="1440"/>
        <w:rPr>
          <w:sz w:val="26"/>
          <w:szCs w:val="26"/>
        </w:rPr>
      </w:pPr>
    </w:p>
    <w:p w:rsidR="001858D0" w:rsidRPr="009D79E1" w:rsidRDefault="001858D0" w:rsidP="009D79E1">
      <w:pPr>
        <w:spacing w:line="360" w:lineRule="auto"/>
        <w:ind w:firstLine="1440"/>
        <w:rPr>
          <w:sz w:val="26"/>
          <w:szCs w:val="26"/>
        </w:rPr>
      </w:pPr>
      <w:r w:rsidRPr="00FF22AE">
        <w:rPr>
          <w:sz w:val="26"/>
          <w:szCs w:val="26"/>
        </w:rPr>
        <w:t xml:space="preserve">It is the Commission’s policy to promote settlements.  52 Pa. Code § 5.231.  The Parties herein have provided the Commission with sufficient information upon which to thoroughly consider the terms of the </w:t>
      </w:r>
      <w:r>
        <w:rPr>
          <w:sz w:val="26"/>
          <w:szCs w:val="26"/>
        </w:rPr>
        <w:t>proposed S</w:t>
      </w:r>
      <w:r w:rsidRPr="00FF22AE">
        <w:rPr>
          <w:sz w:val="26"/>
          <w:szCs w:val="26"/>
        </w:rPr>
        <w:t xml:space="preserve">ettlement.  </w:t>
      </w:r>
      <w:r>
        <w:rPr>
          <w:sz w:val="26"/>
          <w:szCs w:val="26"/>
        </w:rPr>
        <w:t xml:space="preserve">The Settlement effectively </w:t>
      </w:r>
      <w:r>
        <w:rPr>
          <w:sz w:val="26"/>
          <w:szCs w:val="26"/>
        </w:rPr>
        <w:lastRenderedPageBreak/>
        <w:t xml:space="preserve">addresses the issues that arose during the course of this proceeding and avoids the expense of litigation and the possibility of appeals.  The Respondent agrees that it will comply with the Code and the Commission’s Regulations and </w:t>
      </w:r>
      <w:r w:rsidR="006544ED">
        <w:rPr>
          <w:sz w:val="26"/>
          <w:szCs w:val="26"/>
        </w:rPr>
        <w:t>O</w:t>
      </w:r>
      <w:r>
        <w:rPr>
          <w:sz w:val="26"/>
          <w:szCs w:val="26"/>
        </w:rPr>
        <w:t>rders in the future an</w:t>
      </w:r>
      <w:r w:rsidR="001D2098">
        <w:rPr>
          <w:sz w:val="26"/>
          <w:szCs w:val="26"/>
        </w:rPr>
        <w:t xml:space="preserve">d </w:t>
      </w:r>
      <w:r w:rsidR="006953A2">
        <w:rPr>
          <w:sz w:val="26"/>
          <w:szCs w:val="26"/>
        </w:rPr>
        <w:t>has taken</w:t>
      </w:r>
      <w:r>
        <w:rPr>
          <w:sz w:val="26"/>
          <w:szCs w:val="26"/>
        </w:rPr>
        <w:t xml:space="preserve"> steps to ensure</w:t>
      </w:r>
      <w:r w:rsidR="006953A2">
        <w:rPr>
          <w:sz w:val="26"/>
          <w:szCs w:val="26"/>
        </w:rPr>
        <w:t xml:space="preserve"> future</w:t>
      </w:r>
      <w:r>
        <w:rPr>
          <w:sz w:val="26"/>
          <w:szCs w:val="26"/>
        </w:rPr>
        <w:t xml:space="preserve"> compliance.  Accordingly, w</w:t>
      </w:r>
      <w:r w:rsidRPr="00FF22AE">
        <w:rPr>
          <w:sz w:val="26"/>
          <w:szCs w:val="26"/>
        </w:rPr>
        <w:t xml:space="preserve">e find that the proposed </w:t>
      </w:r>
      <w:r>
        <w:rPr>
          <w:sz w:val="26"/>
          <w:szCs w:val="26"/>
        </w:rPr>
        <w:t>S</w:t>
      </w:r>
      <w:r w:rsidRPr="00FF22AE">
        <w:rPr>
          <w:sz w:val="26"/>
          <w:szCs w:val="26"/>
        </w:rPr>
        <w:t xml:space="preserve">ettlement </w:t>
      </w:r>
      <w:r>
        <w:rPr>
          <w:sz w:val="26"/>
          <w:szCs w:val="26"/>
        </w:rPr>
        <w:t xml:space="preserve">Agreement between </w:t>
      </w:r>
      <w:r w:rsidR="006544ED">
        <w:rPr>
          <w:sz w:val="26"/>
          <w:szCs w:val="26"/>
        </w:rPr>
        <w:t xml:space="preserve">LBPS </w:t>
      </w:r>
      <w:r>
        <w:rPr>
          <w:sz w:val="26"/>
          <w:szCs w:val="26"/>
        </w:rPr>
        <w:t xml:space="preserve">and the Respondent is </w:t>
      </w:r>
      <w:r w:rsidRPr="00FF22AE">
        <w:rPr>
          <w:sz w:val="26"/>
          <w:szCs w:val="26"/>
        </w:rPr>
        <w:t xml:space="preserve">in the public interest and merits approval; </w:t>
      </w:r>
      <w:r w:rsidRPr="00DA57A9">
        <w:rPr>
          <w:b/>
          <w:sz w:val="26"/>
          <w:szCs w:val="26"/>
        </w:rPr>
        <w:t>THER</w:t>
      </w:r>
      <w:r w:rsidRPr="00FF22AE">
        <w:rPr>
          <w:b/>
          <w:sz w:val="26"/>
          <w:szCs w:val="26"/>
        </w:rPr>
        <w:t>EFORE</w:t>
      </w:r>
      <w:r w:rsidRPr="00FF22AE">
        <w:rPr>
          <w:sz w:val="26"/>
          <w:szCs w:val="26"/>
        </w:rPr>
        <w:t>,</w:t>
      </w:r>
    </w:p>
    <w:p w:rsidR="000E0E21" w:rsidRDefault="001858D0" w:rsidP="001858D0">
      <w:pPr>
        <w:spacing w:line="360" w:lineRule="auto"/>
        <w:rPr>
          <w:b/>
          <w:sz w:val="26"/>
          <w:szCs w:val="26"/>
        </w:rPr>
      </w:pPr>
      <w:r w:rsidRPr="00FF22AE">
        <w:rPr>
          <w:b/>
          <w:sz w:val="26"/>
          <w:szCs w:val="26"/>
        </w:rPr>
        <w:tab/>
      </w:r>
      <w:r w:rsidRPr="00FF22AE">
        <w:rPr>
          <w:b/>
          <w:sz w:val="26"/>
          <w:szCs w:val="26"/>
        </w:rPr>
        <w:tab/>
      </w:r>
    </w:p>
    <w:p w:rsidR="001858D0" w:rsidRPr="00FF22AE" w:rsidRDefault="000E0E21" w:rsidP="001858D0">
      <w:pPr>
        <w:spacing w:line="360" w:lineRule="auto"/>
        <w:rPr>
          <w:b/>
          <w:sz w:val="26"/>
          <w:szCs w:val="26"/>
        </w:rPr>
      </w:pPr>
      <w:r>
        <w:rPr>
          <w:b/>
          <w:sz w:val="26"/>
          <w:szCs w:val="26"/>
        </w:rPr>
        <w:tab/>
      </w:r>
      <w:r w:rsidR="009D195B">
        <w:rPr>
          <w:b/>
          <w:sz w:val="26"/>
          <w:szCs w:val="26"/>
        </w:rPr>
        <w:tab/>
      </w:r>
      <w:r w:rsidR="001858D0" w:rsidRPr="00FF22AE">
        <w:rPr>
          <w:b/>
          <w:sz w:val="26"/>
          <w:szCs w:val="26"/>
        </w:rPr>
        <w:t>IT IS ORDERED:</w:t>
      </w:r>
    </w:p>
    <w:p w:rsidR="001858D0" w:rsidRPr="00FF22AE" w:rsidRDefault="001858D0" w:rsidP="001858D0">
      <w:pPr>
        <w:spacing w:line="360" w:lineRule="auto"/>
        <w:rPr>
          <w:sz w:val="26"/>
          <w:szCs w:val="26"/>
        </w:rPr>
      </w:pPr>
    </w:p>
    <w:p w:rsidR="001858D0" w:rsidRDefault="001858D0" w:rsidP="001858D0">
      <w:pPr>
        <w:spacing w:line="360" w:lineRule="auto"/>
        <w:rPr>
          <w:sz w:val="26"/>
          <w:szCs w:val="26"/>
        </w:rPr>
      </w:pPr>
      <w:r w:rsidRPr="00FF22AE">
        <w:rPr>
          <w:sz w:val="26"/>
          <w:szCs w:val="26"/>
        </w:rPr>
        <w:tab/>
      </w:r>
      <w:r w:rsidRPr="00FF22AE">
        <w:rPr>
          <w:sz w:val="26"/>
          <w:szCs w:val="26"/>
        </w:rPr>
        <w:tab/>
        <w:t>1.</w:t>
      </w:r>
      <w:r w:rsidRPr="00FF22AE">
        <w:rPr>
          <w:sz w:val="26"/>
          <w:szCs w:val="26"/>
        </w:rPr>
        <w:tab/>
        <w:t xml:space="preserve"> That the Settlement Agreement between </w:t>
      </w:r>
      <w:r w:rsidR="006953A2">
        <w:rPr>
          <w:sz w:val="26"/>
          <w:szCs w:val="26"/>
        </w:rPr>
        <w:t xml:space="preserve">the </w:t>
      </w:r>
      <w:r w:rsidR="006544ED">
        <w:rPr>
          <w:sz w:val="26"/>
          <w:szCs w:val="26"/>
        </w:rPr>
        <w:t>Commission’s Law Bureau Prosecutory Staff</w:t>
      </w:r>
      <w:r w:rsidRPr="00FF22AE">
        <w:rPr>
          <w:sz w:val="26"/>
          <w:szCs w:val="26"/>
        </w:rPr>
        <w:t xml:space="preserve"> and </w:t>
      </w:r>
      <w:r w:rsidR="006953A2">
        <w:rPr>
          <w:sz w:val="26"/>
          <w:szCs w:val="26"/>
        </w:rPr>
        <w:t>Canterbury International, Inc., d/b/a Two Men and a Truck</w:t>
      </w:r>
      <w:r w:rsidR="009D79E1">
        <w:rPr>
          <w:sz w:val="26"/>
          <w:szCs w:val="26"/>
        </w:rPr>
        <w:t>,</w:t>
      </w:r>
      <w:r>
        <w:rPr>
          <w:sz w:val="26"/>
          <w:szCs w:val="26"/>
        </w:rPr>
        <w:t xml:space="preserve"> filed</w:t>
      </w:r>
      <w:r w:rsidRPr="00FF22AE">
        <w:rPr>
          <w:sz w:val="26"/>
          <w:szCs w:val="26"/>
        </w:rPr>
        <w:t xml:space="preserve"> </w:t>
      </w:r>
      <w:r w:rsidR="006953A2">
        <w:rPr>
          <w:sz w:val="26"/>
          <w:szCs w:val="26"/>
        </w:rPr>
        <w:t>October 3</w:t>
      </w:r>
      <w:r>
        <w:rPr>
          <w:sz w:val="26"/>
          <w:szCs w:val="26"/>
        </w:rPr>
        <w:t>,</w:t>
      </w:r>
      <w:r w:rsidR="006953A2">
        <w:rPr>
          <w:sz w:val="26"/>
          <w:szCs w:val="26"/>
        </w:rPr>
        <w:t xml:space="preserve"> 2011,</w:t>
      </w:r>
      <w:r>
        <w:rPr>
          <w:sz w:val="26"/>
          <w:szCs w:val="26"/>
        </w:rPr>
        <w:t xml:space="preserve"> is approved.</w:t>
      </w:r>
    </w:p>
    <w:p w:rsidR="001858D0" w:rsidRDefault="001858D0" w:rsidP="001858D0">
      <w:pPr>
        <w:spacing w:line="360" w:lineRule="auto"/>
        <w:ind w:firstLine="1440"/>
        <w:rPr>
          <w:sz w:val="26"/>
          <w:szCs w:val="26"/>
        </w:rPr>
      </w:pPr>
    </w:p>
    <w:p w:rsidR="001858D0" w:rsidRDefault="001858D0" w:rsidP="001858D0">
      <w:pPr>
        <w:spacing w:line="360" w:lineRule="auto"/>
        <w:ind w:firstLine="1440"/>
        <w:rPr>
          <w:sz w:val="26"/>
          <w:szCs w:val="26"/>
        </w:rPr>
      </w:pPr>
      <w:r>
        <w:rPr>
          <w:sz w:val="26"/>
          <w:szCs w:val="26"/>
        </w:rPr>
        <w:t>2.</w:t>
      </w:r>
      <w:r>
        <w:rPr>
          <w:sz w:val="26"/>
          <w:szCs w:val="26"/>
        </w:rPr>
        <w:tab/>
        <w:t>That the Complaint at Docket No. C-</w:t>
      </w:r>
      <w:r w:rsidR="006953A2">
        <w:rPr>
          <w:sz w:val="26"/>
          <w:szCs w:val="26"/>
        </w:rPr>
        <w:t>2011-2219166</w:t>
      </w:r>
      <w:r>
        <w:rPr>
          <w:sz w:val="26"/>
          <w:szCs w:val="26"/>
        </w:rPr>
        <w:t xml:space="preserve"> is sustained to the extent outlined in this Opinion and Order.</w:t>
      </w:r>
      <w:r>
        <w:rPr>
          <w:sz w:val="26"/>
          <w:szCs w:val="26"/>
        </w:rPr>
        <w:tab/>
      </w:r>
    </w:p>
    <w:p w:rsidR="001858D0" w:rsidRDefault="001858D0" w:rsidP="006953A2">
      <w:pPr>
        <w:rPr>
          <w:sz w:val="26"/>
        </w:rPr>
      </w:pPr>
    </w:p>
    <w:p w:rsidR="00204A84" w:rsidRDefault="006953A2" w:rsidP="001858D0">
      <w:pPr>
        <w:spacing w:line="360" w:lineRule="auto"/>
        <w:ind w:firstLine="1440"/>
        <w:rPr>
          <w:sz w:val="26"/>
          <w:szCs w:val="26"/>
        </w:rPr>
      </w:pPr>
      <w:r>
        <w:rPr>
          <w:sz w:val="26"/>
        </w:rPr>
        <w:t>3</w:t>
      </w:r>
      <w:r w:rsidR="001858D0">
        <w:rPr>
          <w:sz w:val="26"/>
        </w:rPr>
        <w:t>.</w:t>
      </w:r>
      <w:r w:rsidR="001858D0">
        <w:rPr>
          <w:sz w:val="26"/>
        </w:rPr>
        <w:tab/>
        <w:t xml:space="preserve">That </w:t>
      </w:r>
      <w:r>
        <w:rPr>
          <w:sz w:val="26"/>
          <w:szCs w:val="26"/>
        </w:rPr>
        <w:t xml:space="preserve">Canterbury International, Inc., d/b/a Two Men and a Truck </w:t>
      </w:r>
      <w:r w:rsidR="001858D0">
        <w:rPr>
          <w:sz w:val="26"/>
          <w:szCs w:val="26"/>
        </w:rPr>
        <w:t xml:space="preserve">shall cease and desist from any further violations of the Public Utility Code, </w:t>
      </w:r>
    </w:p>
    <w:p w:rsidR="00204A84" w:rsidRDefault="001858D0" w:rsidP="00204A84">
      <w:pPr>
        <w:spacing w:line="360" w:lineRule="auto"/>
        <w:rPr>
          <w:sz w:val="26"/>
          <w:szCs w:val="26"/>
        </w:rPr>
      </w:pPr>
      <w:r>
        <w:rPr>
          <w:sz w:val="26"/>
          <w:szCs w:val="26"/>
        </w:rPr>
        <w:t xml:space="preserve">66 Pa. C.S. §§ 101, </w:t>
      </w:r>
      <w:r w:rsidRPr="00172FBA">
        <w:rPr>
          <w:i/>
          <w:sz w:val="26"/>
          <w:szCs w:val="26"/>
        </w:rPr>
        <w:t>et seq</w:t>
      </w:r>
      <w:r>
        <w:rPr>
          <w:sz w:val="26"/>
          <w:szCs w:val="26"/>
        </w:rPr>
        <w:t xml:space="preserve">., and the </w:t>
      </w:r>
      <w:r w:rsidRPr="00BD0C52">
        <w:rPr>
          <w:sz w:val="26"/>
          <w:szCs w:val="26"/>
        </w:rPr>
        <w:t>Commission’s</w:t>
      </w:r>
      <w:r>
        <w:rPr>
          <w:sz w:val="26"/>
          <w:szCs w:val="26"/>
        </w:rPr>
        <w:t xml:space="preserve"> Regulations, 52 Pa. Code §§ 1.1, </w:t>
      </w:r>
    </w:p>
    <w:p w:rsidR="001858D0" w:rsidRDefault="001858D0" w:rsidP="00204A84">
      <w:pPr>
        <w:spacing w:line="360" w:lineRule="auto"/>
        <w:rPr>
          <w:sz w:val="26"/>
          <w:szCs w:val="26"/>
        </w:rPr>
      </w:pPr>
      <w:r w:rsidRPr="001E0443">
        <w:rPr>
          <w:i/>
          <w:sz w:val="26"/>
          <w:szCs w:val="26"/>
        </w:rPr>
        <w:t>et se</w:t>
      </w:r>
      <w:r>
        <w:rPr>
          <w:i/>
          <w:sz w:val="26"/>
          <w:szCs w:val="26"/>
        </w:rPr>
        <w:t>q</w:t>
      </w:r>
      <w:r>
        <w:rPr>
          <w:sz w:val="26"/>
          <w:szCs w:val="26"/>
        </w:rPr>
        <w:t xml:space="preserve">. </w:t>
      </w:r>
    </w:p>
    <w:p w:rsidR="001858D0" w:rsidRDefault="001858D0" w:rsidP="001858D0">
      <w:pPr>
        <w:spacing w:line="360" w:lineRule="auto"/>
        <w:ind w:firstLine="1440"/>
        <w:rPr>
          <w:sz w:val="26"/>
        </w:rPr>
      </w:pPr>
    </w:p>
    <w:p w:rsidR="001858D0" w:rsidRDefault="00C20E25" w:rsidP="001858D0">
      <w:pPr>
        <w:spacing w:line="360" w:lineRule="auto"/>
        <w:ind w:firstLine="1440"/>
        <w:rPr>
          <w:sz w:val="26"/>
        </w:rPr>
      </w:pPr>
      <w:r>
        <w:rPr>
          <w:sz w:val="26"/>
        </w:rPr>
        <w:t>5</w:t>
      </w:r>
      <w:r w:rsidR="001858D0">
        <w:rPr>
          <w:sz w:val="26"/>
        </w:rPr>
        <w:t>.</w:t>
      </w:r>
      <w:r w:rsidR="001858D0">
        <w:rPr>
          <w:sz w:val="26"/>
        </w:rPr>
        <w:tab/>
        <w:t xml:space="preserve">That a copy of this Opinion and Order shall be served on the Bureau of </w:t>
      </w:r>
      <w:r w:rsidR="001246D0">
        <w:rPr>
          <w:sz w:val="26"/>
        </w:rPr>
        <w:t>Investigation and Enforcement</w:t>
      </w:r>
      <w:r w:rsidR="001858D0">
        <w:rPr>
          <w:sz w:val="26"/>
        </w:rPr>
        <w:t xml:space="preserve">.  </w:t>
      </w:r>
    </w:p>
    <w:p w:rsidR="001858D0" w:rsidRDefault="001858D0" w:rsidP="001858D0">
      <w:pPr>
        <w:spacing w:line="360" w:lineRule="auto"/>
        <w:ind w:firstLine="1440"/>
        <w:rPr>
          <w:sz w:val="26"/>
        </w:rPr>
      </w:pPr>
    </w:p>
    <w:p w:rsidR="001858D0" w:rsidRDefault="00C20E25" w:rsidP="001858D0">
      <w:pPr>
        <w:spacing w:line="360" w:lineRule="auto"/>
        <w:ind w:firstLine="1440"/>
        <w:rPr>
          <w:sz w:val="26"/>
        </w:rPr>
      </w:pPr>
      <w:r>
        <w:rPr>
          <w:sz w:val="26"/>
        </w:rPr>
        <w:t>6</w:t>
      </w:r>
      <w:r w:rsidR="001858D0">
        <w:rPr>
          <w:sz w:val="26"/>
        </w:rPr>
        <w:t>.</w:t>
      </w:r>
      <w:r w:rsidR="001858D0">
        <w:rPr>
          <w:sz w:val="26"/>
        </w:rPr>
        <w:tab/>
      </w:r>
      <w:r w:rsidR="001858D0" w:rsidRPr="0090056F">
        <w:rPr>
          <w:sz w:val="26"/>
        </w:rPr>
        <w:t xml:space="preserve">That a copy of this Opinion and Order </w:t>
      </w:r>
      <w:r w:rsidR="001858D0">
        <w:rPr>
          <w:sz w:val="26"/>
        </w:rPr>
        <w:t xml:space="preserve">shall </w:t>
      </w:r>
      <w:r w:rsidR="001858D0" w:rsidRPr="0090056F">
        <w:rPr>
          <w:sz w:val="26"/>
        </w:rPr>
        <w:t xml:space="preserve">be served on the Financial and Assessment Chief, </w:t>
      </w:r>
      <w:r w:rsidR="009D195B">
        <w:rPr>
          <w:sz w:val="26"/>
        </w:rPr>
        <w:t>Bureau of Administration.</w:t>
      </w:r>
    </w:p>
    <w:p w:rsidR="003E1D1F" w:rsidRDefault="003E1D1F" w:rsidP="001858D0">
      <w:pPr>
        <w:spacing w:line="360" w:lineRule="auto"/>
        <w:ind w:firstLine="1440"/>
        <w:rPr>
          <w:sz w:val="26"/>
        </w:rPr>
      </w:pPr>
    </w:p>
    <w:p w:rsidR="00C84779" w:rsidRDefault="00C84779">
      <w:pPr>
        <w:spacing w:after="200" w:line="276" w:lineRule="auto"/>
        <w:rPr>
          <w:sz w:val="26"/>
        </w:rPr>
      </w:pPr>
      <w:r>
        <w:rPr>
          <w:sz w:val="26"/>
        </w:rPr>
        <w:br w:type="page"/>
      </w:r>
    </w:p>
    <w:p w:rsidR="001858D0" w:rsidRDefault="00C20E25" w:rsidP="001858D0">
      <w:pPr>
        <w:spacing w:line="360" w:lineRule="auto"/>
        <w:ind w:firstLine="1440"/>
        <w:rPr>
          <w:sz w:val="26"/>
          <w:szCs w:val="26"/>
        </w:rPr>
      </w:pPr>
      <w:r>
        <w:rPr>
          <w:sz w:val="26"/>
        </w:rPr>
        <w:lastRenderedPageBreak/>
        <w:t>7</w:t>
      </w:r>
      <w:r w:rsidR="001858D0">
        <w:rPr>
          <w:sz w:val="26"/>
        </w:rPr>
        <w:t>.</w:t>
      </w:r>
      <w:r w:rsidR="001858D0">
        <w:rPr>
          <w:sz w:val="26"/>
        </w:rPr>
        <w:tab/>
      </w:r>
      <w:r w:rsidR="001858D0" w:rsidRPr="0090056F">
        <w:rPr>
          <w:sz w:val="26"/>
        </w:rPr>
        <w:t xml:space="preserve">That </w:t>
      </w:r>
      <w:r w:rsidR="001858D0">
        <w:rPr>
          <w:sz w:val="26"/>
        </w:rPr>
        <w:t>the Secretary shall mark th</w:t>
      </w:r>
      <w:r w:rsidR="00B057A1">
        <w:rPr>
          <w:sz w:val="26"/>
        </w:rPr>
        <w:t>ese</w:t>
      </w:r>
      <w:r w:rsidR="001858D0">
        <w:rPr>
          <w:sz w:val="26"/>
        </w:rPr>
        <w:t xml:space="preserve"> </w:t>
      </w:r>
      <w:r w:rsidR="001858D0" w:rsidRPr="0090056F">
        <w:rPr>
          <w:sz w:val="26"/>
        </w:rPr>
        <w:t>proceeding</w:t>
      </w:r>
      <w:r w:rsidR="00B057A1">
        <w:rPr>
          <w:sz w:val="26"/>
        </w:rPr>
        <w:t>s</w:t>
      </w:r>
      <w:r w:rsidR="003E1D1F">
        <w:rPr>
          <w:sz w:val="26"/>
        </w:rPr>
        <w:t xml:space="preserve"> closed.</w:t>
      </w:r>
      <w:r w:rsidR="001858D0" w:rsidRPr="0090056F">
        <w:rPr>
          <w:sz w:val="26"/>
        </w:rPr>
        <w:t xml:space="preserve"> </w:t>
      </w:r>
    </w:p>
    <w:p w:rsidR="003E1D1F" w:rsidRDefault="003E1D1F" w:rsidP="001858D0">
      <w:pPr>
        <w:tabs>
          <w:tab w:val="left" w:pos="-720"/>
        </w:tabs>
        <w:suppressAutoHyphens/>
        <w:rPr>
          <w:b/>
          <w:sz w:val="26"/>
        </w:rPr>
      </w:pPr>
    </w:p>
    <w:p w:rsidR="00C84779" w:rsidRDefault="004744DB" w:rsidP="001858D0">
      <w:pPr>
        <w:tabs>
          <w:tab w:val="left" w:pos="-720"/>
        </w:tabs>
        <w:suppressAutoHyphens/>
        <w:rPr>
          <w:b/>
          <w:sz w:val="26"/>
        </w:rPr>
      </w:pPr>
      <w:bookmarkStart w:id="0" w:name="_GoBack"/>
      <w:r w:rsidRPr="00A4345F">
        <w:rPr>
          <w:noProof/>
        </w:rPr>
        <w:drawing>
          <wp:anchor distT="0" distB="0" distL="114300" distR="114300" simplePos="0" relativeHeight="251659264" behindDoc="1" locked="0" layoutInCell="1" allowOverlap="1" wp14:anchorId="4C2714AE" wp14:editId="125124B1">
            <wp:simplePos x="0" y="0"/>
            <wp:positionH relativeFrom="column">
              <wp:posOffset>2990850</wp:posOffset>
            </wp:positionH>
            <wp:positionV relativeFrom="paragraph">
              <wp:posOffset>150495</wp:posOffset>
            </wp:positionV>
            <wp:extent cx="2200275" cy="83820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1858D0" w:rsidRPr="003C63B1" w:rsidRDefault="003E1D1F" w:rsidP="001858D0">
      <w:pPr>
        <w:tabs>
          <w:tab w:val="left" w:pos="-720"/>
        </w:tabs>
        <w:suppressAutoHyphens/>
        <w:rPr>
          <w:sz w:val="26"/>
        </w:rPr>
      </w:pPr>
      <w:r>
        <w:rPr>
          <w:b/>
          <w:sz w:val="26"/>
        </w:rPr>
        <w:tab/>
      </w:r>
      <w:r>
        <w:rPr>
          <w:b/>
          <w:sz w:val="26"/>
        </w:rPr>
        <w:tab/>
      </w:r>
      <w:r>
        <w:rPr>
          <w:b/>
          <w:sz w:val="26"/>
        </w:rPr>
        <w:tab/>
      </w:r>
      <w:r>
        <w:rPr>
          <w:b/>
          <w:sz w:val="26"/>
        </w:rPr>
        <w:tab/>
      </w:r>
      <w:r>
        <w:rPr>
          <w:b/>
          <w:sz w:val="26"/>
        </w:rPr>
        <w:tab/>
      </w:r>
      <w:r>
        <w:rPr>
          <w:b/>
          <w:sz w:val="26"/>
        </w:rPr>
        <w:tab/>
      </w:r>
      <w:r>
        <w:rPr>
          <w:b/>
          <w:sz w:val="26"/>
        </w:rPr>
        <w:tab/>
      </w:r>
      <w:r w:rsidR="001858D0" w:rsidRPr="003C63B1">
        <w:rPr>
          <w:b/>
          <w:sz w:val="26"/>
        </w:rPr>
        <w:t>BY THE COMMISSION,</w:t>
      </w:r>
    </w:p>
    <w:p w:rsidR="001858D0" w:rsidRPr="003C63B1" w:rsidRDefault="001858D0" w:rsidP="001858D0">
      <w:pPr>
        <w:tabs>
          <w:tab w:val="left" w:pos="-720"/>
        </w:tabs>
        <w:suppressAutoHyphens/>
        <w:rPr>
          <w:sz w:val="26"/>
        </w:rPr>
      </w:pPr>
    </w:p>
    <w:p w:rsidR="001858D0" w:rsidRPr="003C63B1" w:rsidRDefault="001858D0" w:rsidP="001858D0">
      <w:pPr>
        <w:tabs>
          <w:tab w:val="left" w:pos="-720"/>
        </w:tabs>
        <w:suppressAutoHyphens/>
        <w:rPr>
          <w:sz w:val="26"/>
        </w:rPr>
      </w:pPr>
    </w:p>
    <w:p w:rsidR="001858D0" w:rsidRPr="003C63B1" w:rsidRDefault="001858D0" w:rsidP="001858D0">
      <w:pPr>
        <w:tabs>
          <w:tab w:val="left" w:pos="-720"/>
        </w:tabs>
        <w:suppressAutoHyphens/>
        <w:rPr>
          <w:sz w:val="26"/>
        </w:rPr>
      </w:pPr>
    </w:p>
    <w:p w:rsidR="001858D0" w:rsidRPr="003C63B1" w:rsidRDefault="001858D0" w:rsidP="001858D0">
      <w:pPr>
        <w:tabs>
          <w:tab w:val="left" w:pos="-720"/>
        </w:tabs>
        <w:suppressAutoHyphens/>
        <w:rPr>
          <w:sz w:val="26"/>
        </w:rPr>
      </w:pPr>
      <w:r>
        <w:rPr>
          <w:sz w:val="26"/>
        </w:rPr>
        <w:tab/>
      </w:r>
      <w:r>
        <w:rPr>
          <w:sz w:val="26"/>
        </w:rPr>
        <w:tab/>
      </w:r>
      <w:r>
        <w:rPr>
          <w:sz w:val="26"/>
        </w:rPr>
        <w:tab/>
      </w:r>
      <w:r>
        <w:rPr>
          <w:sz w:val="26"/>
        </w:rPr>
        <w:tab/>
      </w:r>
      <w:r>
        <w:rPr>
          <w:sz w:val="26"/>
        </w:rPr>
        <w:tab/>
      </w:r>
      <w:r>
        <w:rPr>
          <w:sz w:val="26"/>
        </w:rPr>
        <w:tab/>
      </w:r>
      <w:r>
        <w:rPr>
          <w:sz w:val="26"/>
        </w:rPr>
        <w:tab/>
        <w:t>Rosemary Chiavetta</w:t>
      </w:r>
    </w:p>
    <w:p w:rsidR="001858D0" w:rsidRPr="003C63B1" w:rsidRDefault="001858D0" w:rsidP="001858D0">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1858D0" w:rsidRPr="003C63B1" w:rsidRDefault="001858D0" w:rsidP="001858D0">
      <w:pPr>
        <w:tabs>
          <w:tab w:val="left" w:pos="-720"/>
        </w:tabs>
        <w:suppressAutoHyphens/>
        <w:rPr>
          <w:sz w:val="26"/>
        </w:rPr>
      </w:pPr>
    </w:p>
    <w:p w:rsidR="003E1D1F" w:rsidRDefault="003E1D1F" w:rsidP="001858D0">
      <w:pPr>
        <w:tabs>
          <w:tab w:val="left" w:pos="-720"/>
        </w:tabs>
        <w:suppressAutoHyphens/>
        <w:rPr>
          <w:sz w:val="26"/>
        </w:rPr>
      </w:pPr>
    </w:p>
    <w:p w:rsidR="001858D0" w:rsidRPr="003C63B1" w:rsidRDefault="001858D0" w:rsidP="001858D0">
      <w:pPr>
        <w:tabs>
          <w:tab w:val="left" w:pos="-720"/>
        </w:tabs>
        <w:suppressAutoHyphens/>
        <w:rPr>
          <w:sz w:val="26"/>
        </w:rPr>
      </w:pPr>
      <w:r w:rsidRPr="003C63B1">
        <w:rPr>
          <w:sz w:val="26"/>
        </w:rPr>
        <w:t>(SEAL)</w:t>
      </w:r>
    </w:p>
    <w:p w:rsidR="001858D0" w:rsidRPr="003C63B1" w:rsidRDefault="001858D0" w:rsidP="001858D0">
      <w:pPr>
        <w:tabs>
          <w:tab w:val="left" w:pos="-720"/>
        </w:tabs>
        <w:suppressAutoHyphens/>
        <w:rPr>
          <w:sz w:val="26"/>
        </w:rPr>
      </w:pPr>
    </w:p>
    <w:p w:rsidR="001858D0" w:rsidRPr="003C63B1" w:rsidRDefault="001858D0" w:rsidP="001858D0">
      <w:pPr>
        <w:tabs>
          <w:tab w:val="left" w:pos="-720"/>
        </w:tabs>
        <w:suppressAutoHyphens/>
        <w:rPr>
          <w:sz w:val="26"/>
        </w:rPr>
      </w:pPr>
      <w:r>
        <w:rPr>
          <w:sz w:val="26"/>
        </w:rPr>
        <w:t xml:space="preserve">ORDER ADOPTED:  </w:t>
      </w:r>
      <w:r w:rsidR="00127300">
        <w:rPr>
          <w:sz w:val="26"/>
        </w:rPr>
        <w:t>November 10</w:t>
      </w:r>
      <w:r>
        <w:rPr>
          <w:sz w:val="26"/>
        </w:rPr>
        <w:t xml:space="preserve">, 2011 </w:t>
      </w:r>
    </w:p>
    <w:p w:rsidR="001858D0" w:rsidRPr="003C63B1" w:rsidRDefault="001858D0" w:rsidP="001858D0">
      <w:pPr>
        <w:tabs>
          <w:tab w:val="left" w:pos="-720"/>
        </w:tabs>
        <w:suppressAutoHyphens/>
        <w:rPr>
          <w:sz w:val="26"/>
        </w:rPr>
      </w:pPr>
    </w:p>
    <w:p w:rsidR="001858D0" w:rsidRPr="003C63B1" w:rsidRDefault="001858D0" w:rsidP="001858D0">
      <w:pPr>
        <w:tabs>
          <w:tab w:val="left" w:pos="-720"/>
        </w:tabs>
        <w:suppressAutoHyphens/>
        <w:rPr>
          <w:sz w:val="26"/>
        </w:rPr>
      </w:pPr>
      <w:r w:rsidRPr="003C63B1">
        <w:rPr>
          <w:sz w:val="26"/>
        </w:rPr>
        <w:t xml:space="preserve">ORDER ENTERED: </w:t>
      </w:r>
      <w:r w:rsidR="004744DB">
        <w:rPr>
          <w:sz w:val="26"/>
        </w:rPr>
        <w:t xml:space="preserve">  November 10, 2011</w:t>
      </w:r>
    </w:p>
    <w:sectPr w:rsidR="001858D0" w:rsidRPr="003C63B1" w:rsidSect="005A350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C5" w:rsidRDefault="006D67C5" w:rsidP="005A3508">
      <w:r>
        <w:separator/>
      </w:r>
    </w:p>
  </w:endnote>
  <w:endnote w:type="continuationSeparator" w:id="0">
    <w:p w:rsidR="006D67C5" w:rsidRDefault="006D67C5" w:rsidP="005A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23422"/>
      <w:docPartObj>
        <w:docPartGallery w:val="Page Numbers (Bottom of Page)"/>
        <w:docPartUnique/>
      </w:docPartObj>
    </w:sdtPr>
    <w:sdtEndPr/>
    <w:sdtContent>
      <w:p w:rsidR="00EC3251" w:rsidRDefault="002050E8">
        <w:pPr>
          <w:pStyle w:val="Footer"/>
          <w:jc w:val="center"/>
        </w:pPr>
        <w:r>
          <w:fldChar w:fldCharType="begin"/>
        </w:r>
        <w:r w:rsidR="00B57B3C">
          <w:instrText xml:space="preserve"> PAGE   \* MERGEFORMAT </w:instrText>
        </w:r>
        <w:r>
          <w:fldChar w:fldCharType="separate"/>
        </w:r>
        <w:r w:rsidR="004744DB">
          <w:rPr>
            <w:noProof/>
          </w:rPr>
          <w:t>8</w:t>
        </w:r>
        <w:r>
          <w:rPr>
            <w:noProof/>
          </w:rPr>
          <w:fldChar w:fldCharType="end"/>
        </w:r>
      </w:p>
    </w:sdtContent>
  </w:sdt>
  <w:p w:rsidR="00EC3251" w:rsidRDefault="00EC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C5" w:rsidRDefault="006D67C5" w:rsidP="005A3508">
      <w:r>
        <w:separator/>
      </w:r>
    </w:p>
  </w:footnote>
  <w:footnote w:type="continuationSeparator" w:id="0">
    <w:p w:rsidR="006D67C5" w:rsidRDefault="006D67C5" w:rsidP="005A3508">
      <w:r>
        <w:continuationSeparator/>
      </w:r>
    </w:p>
  </w:footnote>
  <w:footnote w:id="1">
    <w:p w:rsidR="00F925F3" w:rsidRPr="00F925F3" w:rsidRDefault="00F925F3" w:rsidP="00F925F3">
      <w:pPr>
        <w:pStyle w:val="FootnoteText"/>
        <w:ind w:firstLine="720"/>
        <w:rPr>
          <w:sz w:val="26"/>
          <w:szCs w:val="26"/>
        </w:rPr>
      </w:pPr>
      <w:r w:rsidRPr="00F925F3">
        <w:rPr>
          <w:rStyle w:val="FootnoteReference"/>
          <w:sz w:val="26"/>
          <w:szCs w:val="26"/>
        </w:rPr>
        <w:footnoteRef/>
      </w:r>
      <w:r w:rsidRPr="00F925F3">
        <w:rPr>
          <w:sz w:val="26"/>
          <w:szCs w:val="26"/>
        </w:rPr>
        <w:tab/>
        <w:t>By Order entered August 11, 2011, at Docket No. M-2008-2071852, the Commission reorganized this function of BTS into the new Bureau of Investigation and Enforcement.  For purposes of consistency, this Opinion and Order shall use the term “BTS” throughout.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42DA"/>
    <w:multiLevelType w:val="hybridMultilevel"/>
    <w:tmpl w:val="EFD20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B603B4"/>
    <w:multiLevelType w:val="hybridMultilevel"/>
    <w:tmpl w:val="6C0C73EE"/>
    <w:lvl w:ilvl="0" w:tplc="9394425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6660384"/>
    <w:multiLevelType w:val="hybridMultilevel"/>
    <w:tmpl w:val="2F4A7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BEE75F3"/>
    <w:multiLevelType w:val="hybridMultilevel"/>
    <w:tmpl w:val="EF60C422"/>
    <w:lvl w:ilvl="0" w:tplc="4BD22A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5B65"/>
    <w:rsid w:val="00001E81"/>
    <w:rsid w:val="000032BD"/>
    <w:rsid w:val="00003D98"/>
    <w:rsid w:val="0000559C"/>
    <w:rsid w:val="00010582"/>
    <w:rsid w:val="00012530"/>
    <w:rsid w:val="000131E0"/>
    <w:rsid w:val="000136EA"/>
    <w:rsid w:val="00013844"/>
    <w:rsid w:val="00013CA7"/>
    <w:rsid w:val="00015D05"/>
    <w:rsid w:val="00015ECD"/>
    <w:rsid w:val="00016D57"/>
    <w:rsid w:val="00017852"/>
    <w:rsid w:val="000205AA"/>
    <w:rsid w:val="0002132C"/>
    <w:rsid w:val="00021E46"/>
    <w:rsid w:val="00022B74"/>
    <w:rsid w:val="000258E1"/>
    <w:rsid w:val="00025F3F"/>
    <w:rsid w:val="0002754E"/>
    <w:rsid w:val="0003711B"/>
    <w:rsid w:val="00040AEA"/>
    <w:rsid w:val="00041FA5"/>
    <w:rsid w:val="00042EC0"/>
    <w:rsid w:val="00046814"/>
    <w:rsid w:val="00047874"/>
    <w:rsid w:val="00047F4A"/>
    <w:rsid w:val="00051979"/>
    <w:rsid w:val="00052B8F"/>
    <w:rsid w:val="00054612"/>
    <w:rsid w:val="00055068"/>
    <w:rsid w:val="00056286"/>
    <w:rsid w:val="000562A0"/>
    <w:rsid w:val="00062658"/>
    <w:rsid w:val="000649EC"/>
    <w:rsid w:val="000677BB"/>
    <w:rsid w:val="000733E8"/>
    <w:rsid w:val="00074E29"/>
    <w:rsid w:val="00075B79"/>
    <w:rsid w:val="00084AF9"/>
    <w:rsid w:val="000918D4"/>
    <w:rsid w:val="00097504"/>
    <w:rsid w:val="000A01AA"/>
    <w:rsid w:val="000A365D"/>
    <w:rsid w:val="000A6E54"/>
    <w:rsid w:val="000B0ED7"/>
    <w:rsid w:val="000B216D"/>
    <w:rsid w:val="000B4EAE"/>
    <w:rsid w:val="000B607A"/>
    <w:rsid w:val="000B6B15"/>
    <w:rsid w:val="000B73C7"/>
    <w:rsid w:val="000C2AE3"/>
    <w:rsid w:val="000C5065"/>
    <w:rsid w:val="000C6AB3"/>
    <w:rsid w:val="000D0713"/>
    <w:rsid w:val="000D3499"/>
    <w:rsid w:val="000E0E21"/>
    <w:rsid w:val="000E0E77"/>
    <w:rsid w:val="000E6DE6"/>
    <w:rsid w:val="000F004F"/>
    <w:rsid w:val="000F1A8F"/>
    <w:rsid w:val="000F6043"/>
    <w:rsid w:val="000F627A"/>
    <w:rsid w:val="001005A9"/>
    <w:rsid w:val="0010158F"/>
    <w:rsid w:val="00104D9B"/>
    <w:rsid w:val="00105888"/>
    <w:rsid w:val="001062A7"/>
    <w:rsid w:val="00106884"/>
    <w:rsid w:val="0010716E"/>
    <w:rsid w:val="001123D1"/>
    <w:rsid w:val="00113A76"/>
    <w:rsid w:val="00113C81"/>
    <w:rsid w:val="001151A0"/>
    <w:rsid w:val="00117CB2"/>
    <w:rsid w:val="0012214A"/>
    <w:rsid w:val="001238A2"/>
    <w:rsid w:val="00123A2E"/>
    <w:rsid w:val="00123B3A"/>
    <w:rsid w:val="001246D0"/>
    <w:rsid w:val="001267D4"/>
    <w:rsid w:val="00127300"/>
    <w:rsid w:val="001327F0"/>
    <w:rsid w:val="00134A26"/>
    <w:rsid w:val="00135972"/>
    <w:rsid w:val="001360FC"/>
    <w:rsid w:val="001372FE"/>
    <w:rsid w:val="001410A0"/>
    <w:rsid w:val="0014497F"/>
    <w:rsid w:val="001455C5"/>
    <w:rsid w:val="00145886"/>
    <w:rsid w:val="00146AFA"/>
    <w:rsid w:val="00147145"/>
    <w:rsid w:val="00150ADC"/>
    <w:rsid w:val="0015316A"/>
    <w:rsid w:val="00155333"/>
    <w:rsid w:val="0016342A"/>
    <w:rsid w:val="00164DA4"/>
    <w:rsid w:val="001663C8"/>
    <w:rsid w:val="001666B5"/>
    <w:rsid w:val="00170BF4"/>
    <w:rsid w:val="00171EBE"/>
    <w:rsid w:val="00172558"/>
    <w:rsid w:val="00172FBA"/>
    <w:rsid w:val="0017322D"/>
    <w:rsid w:val="00173A7B"/>
    <w:rsid w:val="00174D3D"/>
    <w:rsid w:val="00174EB3"/>
    <w:rsid w:val="00184D23"/>
    <w:rsid w:val="00185351"/>
    <w:rsid w:val="001858D0"/>
    <w:rsid w:val="00186A83"/>
    <w:rsid w:val="00186A97"/>
    <w:rsid w:val="001900F6"/>
    <w:rsid w:val="00191404"/>
    <w:rsid w:val="0019443D"/>
    <w:rsid w:val="001949FE"/>
    <w:rsid w:val="001970E2"/>
    <w:rsid w:val="001A0DCE"/>
    <w:rsid w:val="001A1CD3"/>
    <w:rsid w:val="001B19B2"/>
    <w:rsid w:val="001B1DB4"/>
    <w:rsid w:val="001B2EE5"/>
    <w:rsid w:val="001B532C"/>
    <w:rsid w:val="001B58B1"/>
    <w:rsid w:val="001B5934"/>
    <w:rsid w:val="001C0927"/>
    <w:rsid w:val="001C3767"/>
    <w:rsid w:val="001C3CE4"/>
    <w:rsid w:val="001C4978"/>
    <w:rsid w:val="001C4F48"/>
    <w:rsid w:val="001C6F98"/>
    <w:rsid w:val="001D1DAF"/>
    <w:rsid w:val="001D1F15"/>
    <w:rsid w:val="001D2098"/>
    <w:rsid w:val="001D2783"/>
    <w:rsid w:val="001D3F66"/>
    <w:rsid w:val="001D4833"/>
    <w:rsid w:val="001D6E49"/>
    <w:rsid w:val="001E0443"/>
    <w:rsid w:val="001E04D6"/>
    <w:rsid w:val="001E1276"/>
    <w:rsid w:val="001E3452"/>
    <w:rsid w:val="001E4BBB"/>
    <w:rsid w:val="001E654B"/>
    <w:rsid w:val="00200AA3"/>
    <w:rsid w:val="00201752"/>
    <w:rsid w:val="00202524"/>
    <w:rsid w:val="00204A84"/>
    <w:rsid w:val="002050E8"/>
    <w:rsid w:val="002062E5"/>
    <w:rsid w:val="002100F0"/>
    <w:rsid w:val="00210F81"/>
    <w:rsid w:val="00211622"/>
    <w:rsid w:val="002145B8"/>
    <w:rsid w:val="00216F1C"/>
    <w:rsid w:val="00217B9C"/>
    <w:rsid w:val="00223D6E"/>
    <w:rsid w:val="00224E98"/>
    <w:rsid w:val="00227795"/>
    <w:rsid w:val="0023261E"/>
    <w:rsid w:val="00232FFB"/>
    <w:rsid w:val="002359EC"/>
    <w:rsid w:val="00237AEF"/>
    <w:rsid w:val="00240D7B"/>
    <w:rsid w:val="00241196"/>
    <w:rsid w:val="0024128E"/>
    <w:rsid w:val="0024316B"/>
    <w:rsid w:val="002440BF"/>
    <w:rsid w:val="002446A4"/>
    <w:rsid w:val="00250C1F"/>
    <w:rsid w:val="002511A6"/>
    <w:rsid w:val="002532F2"/>
    <w:rsid w:val="00253E68"/>
    <w:rsid w:val="00254FAF"/>
    <w:rsid w:val="00255E4E"/>
    <w:rsid w:val="00260957"/>
    <w:rsid w:val="00264A69"/>
    <w:rsid w:val="00265FF4"/>
    <w:rsid w:val="0027232D"/>
    <w:rsid w:val="00275A8C"/>
    <w:rsid w:val="00276DE5"/>
    <w:rsid w:val="00281731"/>
    <w:rsid w:val="00281E34"/>
    <w:rsid w:val="0028256B"/>
    <w:rsid w:val="00282D0B"/>
    <w:rsid w:val="00285B54"/>
    <w:rsid w:val="002911CD"/>
    <w:rsid w:val="00291F68"/>
    <w:rsid w:val="00292276"/>
    <w:rsid w:val="002935B1"/>
    <w:rsid w:val="00295796"/>
    <w:rsid w:val="00296282"/>
    <w:rsid w:val="002A1620"/>
    <w:rsid w:val="002A2405"/>
    <w:rsid w:val="002A2E0B"/>
    <w:rsid w:val="002A4450"/>
    <w:rsid w:val="002A635E"/>
    <w:rsid w:val="002B0445"/>
    <w:rsid w:val="002B1C57"/>
    <w:rsid w:val="002B34FD"/>
    <w:rsid w:val="002B5927"/>
    <w:rsid w:val="002B67B7"/>
    <w:rsid w:val="002C0429"/>
    <w:rsid w:val="002C4C61"/>
    <w:rsid w:val="002C6FFF"/>
    <w:rsid w:val="002C79FB"/>
    <w:rsid w:val="002D1536"/>
    <w:rsid w:val="002D17D4"/>
    <w:rsid w:val="002D2311"/>
    <w:rsid w:val="002D275E"/>
    <w:rsid w:val="002D4197"/>
    <w:rsid w:val="002D6357"/>
    <w:rsid w:val="002E0EA2"/>
    <w:rsid w:val="002E3026"/>
    <w:rsid w:val="002E3F06"/>
    <w:rsid w:val="002E42F0"/>
    <w:rsid w:val="002E6955"/>
    <w:rsid w:val="002F0C9B"/>
    <w:rsid w:val="002F3F04"/>
    <w:rsid w:val="002F41BA"/>
    <w:rsid w:val="002F4DA7"/>
    <w:rsid w:val="003018AA"/>
    <w:rsid w:val="00301A19"/>
    <w:rsid w:val="00302EA9"/>
    <w:rsid w:val="00303B99"/>
    <w:rsid w:val="003046D1"/>
    <w:rsid w:val="00304BED"/>
    <w:rsid w:val="00305A41"/>
    <w:rsid w:val="0030714F"/>
    <w:rsid w:val="0031298B"/>
    <w:rsid w:val="00313CFA"/>
    <w:rsid w:val="00314A43"/>
    <w:rsid w:val="0031590F"/>
    <w:rsid w:val="00315F10"/>
    <w:rsid w:val="003169BF"/>
    <w:rsid w:val="003209F4"/>
    <w:rsid w:val="00321354"/>
    <w:rsid w:val="00327E67"/>
    <w:rsid w:val="00337DBB"/>
    <w:rsid w:val="00345D85"/>
    <w:rsid w:val="00346D8F"/>
    <w:rsid w:val="00351347"/>
    <w:rsid w:val="00353396"/>
    <w:rsid w:val="003617BB"/>
    <w:rsid w:val="003622CA"/>
    <w:rsid w:val="00362B3D"/>
    <w:rsid w:val="00363030"/>
    <w:rsid w:val="0036309F"/>
    <w:rsid w:val="0036462C"/>
    <w:rsid w:val="00364A42"/>
    <w:rsid w:val="0036581C"/>
    <w:rsid w:val="00375155"/>
    <w:rsid w:val="003755FB"/>
    <w:rsid w:val="0037577C"/>
    <w:rsid w:val="003765CD"/>
    <w:rsid w:val="00377B0A"/>
    <w:rsid w:val="00380C9F"/>
    <w:rsid w:val="00381F17"/>
    <w:rsid w:val="00383086"/>
    <w:rsid w:val="00385232"/>
    <w:rsid w:val="00385502"/>
    <w:rsid w:val="00387D9B"/>
    <w:rsid w:val="00390811"/>
    <w:rsid w:val="00390ECA"/>
    <w:rsid w:val="00395222"/>
    <w:rsid w:val="00395237"/>
    <w:rsid w:val="003A2162"/>
    <w:rsid w:val="003B05E9"/>
    <w:rsid w:val="003B0611"/>
    <w:rsid w:val="003B3F46"/>
    <w:rsid w:val="003C0F90"/>
    <w:rsid w:val="003C2279"/>
    <w:rsid w:val="003C22DC"/>
    <w:rsid w:val="003C2F9D"/>
    <w:rsid w:val="003C30B6"/>
    <w:rsid w:val="003C3140"/>
    <w:rsid w:val="003C37B3"/>
    <w:rsid w:val="003C3E02"/>
    <w:rsid w:val="003C3E66"/>
    <w:rsid w:val="003C3FE8"/>
    <w:rsid w:val="003C6784"/>
    <w:rsid w:val="003C68AD"/>
    <w:rsid w:val="003D0ED1"/>
    <w:rsid w:val="003D3B29"/>
    <w:rsid w:val="003D6AB5"/>
    <w:rsid w:val="003E182F"/>
    <w:rsid w:val="003E1D1F"/>
    <w:rsid w:val="003E6A1D"/>
    <w:rsid w:val="003E7284"/>
    <w:rsid w:val="003F0B68"/>
    <w:rsid w:val="003F4CDA"/>
    <w:rsid w:val="003F56D9"/>
    <w:rsid w:val="003F5E94"/>
    <w:rsid w:val="0040251A"/>
    <w:rsid w:val="00403D6E"/>
    <w:rsid w:val="00406CCC"/>
    <w:rsid w:val="004078F0"/>
    <w:rsid w:val="00407A73"/>
    <w:rsid w:val="00412D39"/>
    <w:rsid w:val="00412F14"/>
    <w:rsid w:val="00417777"/>
    <w:rsid w:val="004210C1"/>
    <w:rsid w:val="0042624F"/>
    <w:rsid w:val="0042661A"/>
    <w:rsid w:val="004276A6"/>
    <w:rsid w:val="00432769"/>
    <w:rsid w:val="00436ADE"/>
    <w:rsid w:val="00441207"/>
    <w:rsid w:val="0044539E"/>
    <w:rsid w:val="004462F7"/>
    <w:rsid w:val="0045013B"/>
    <w:rsid w:val="00450C15"/>
    <w:rsid w:val="00454BB4"/>
    <w:rsid w:val="00455B00"/>
    <w:rsid w:val="0045687E"/>
    <w:rsid w:val="0046019D"/>
    <w:rsid w:val="00461F9B"/>
    <w:rsid w:val="00463809"/>
    <w:rsid w:val="0046514E"/>
    <w:rsid w:val="00467C6B"/>
    <w:rsid w:val="004713A9"/>
    <w:rsid w:val="00471544"/>
    <w:rsid w:val="00471560"/>
    <w:rsid w:val="00472BC4"/>
    <w:rsid w:val="004744DB"/>
    <w:rsid w:val="0047475D"/>
    <w:rsid w:val="00474E22"/>
    <w:rsid w:val="0047608F"/>
    <w:rsid w:val="00476554"/>
    <w:rsid w:val="00477BC8"/>
    <w:rsid w:val="00481449"/>
    <w:rsid w:val="00484F29"/>
    <w:rsid w:val="00491D91"/>
    <w:rsid w:val="00491E00"/>
    <w:rsid w:val="00494AAA"/>
    <w:rsid w:val="00494EEA"/>
    <w:rsid w:val="004973AD"/>
    <w:rsid w:val="0049768F"/>
    <w:rsid w:val="004A04E5"/>
    <w:rsid w:val="004A1BC2"/>
    <w:rsid w:val="004A1DB6"/>
    <w:rsid w:val="004A2165"/>
    <w:rsid w:val="004A3C84"/>
    <w:rsid w:val="004A45F8"/>
    <w:rsid w:val="004A63D2"/>
    <w:rsid w:val="004B1052"/>
    <w:rsid w:val="004B2454"/>
    <w:rsid w:val="004B373F"/>
    <w:rsid w:val="004B5293"/>
    <w:rsid w:val="004B5B65"/>
    <w:rsid w:val="004B69F4"/>
    <w:rsid w:val="004C2162"/>
    <w:rsid w:val="004C6DC0"/>
    <w:rsid w:val="004D0910"/>
    <w:rsid w:val="004D10E7"/>
    <w:rsid w:val="004D55B2"/>
    <w:rsid w:val="004D62D9"/>
    <w:rsid w:val="004D7208"/>
    <w:rsid w:val="004D726D"/>
    <w:rsid w:val="004E514F"/>
    <w:rsid w:val="004E737F"/>
    <w:rsid w:val="004E7AC7"/>
    <w:rsid w:val="004E7C89"/>
    <w:rsid w:val="004F00C9"/>
    <w:rsid w:val="004F22DA"/>
    <w:rsid w:val="004F3E39"/>
    <w:rsid w:val="00502ADF"/>
    <w:rsid w:val="00504834"/>
    <w:rsid w:val="00505AEE"/>
    <w:rsid w:val="0050632E"/>
    <w:rsid w:val="00507F38"/>
    <w:rsid w:val="00511C34"/>
    <w:rsid w:val="00511EF3"/>
    <w:rsid w:val="00511F3C"/>
    <w:rsid w:val="0051294D"/>
    <w:rsid w:val="00512AA7"/>
    <w:rsid w:val="00512B22"/>
    <w:rsid w:val="00514507"/>
    <w:rsid w:val="00521350"/>
    <w:rsid w:val="00522EA3"/>
    <w:rsid w:val="0052352A"/>
    <w:rsid w:val="0052582A"/>
    <w:rsid w:val="0052643A"/>
    <w:rsid w:val="005267FE"/>
    <w:rsid w:val="00531421"/>
    <w:rsid w:val="00536011"/>
    <w:rsid w:val="00537F61"/>
    <w:rsid w:val="00540789"/>
    <w:rsid w:val="0054119E"/>
    <w:rsid w:val="00543ED7"/>
    <w:rsid w:val="00551AC5"/>
    <w:rsid w:val="00552C84"/>
    <w:rsid w:val="005532F9"/>
    <w:rsid w:val="0055440B"/>
    <w:rsid w:val="00555E7D"/>
    <w:rsid w:val="0055708D"/>
    <w:rsid w:val="00561CA6"/>
    <w:rsid w:val="00570700"/>
    <w:rsid w:val="00571AAE"/>
    <w:rsid w:val="00572C1C"/>
    <w:rsid w:val="005764DA"/>
    <w:rsid w:val="00577448"/>
    <w:rsid w:val="00580251"/>
    <w:rsid w:val="00580A78"/>
    <w:rsid w:val="0058499B"/>
    <w:rsid w:val="00584D2B"/>
    <w:rsid w:val="00590DA0"/>
    <w:rsid w:val="005917A1"/>
    <w:rsid w:val="00593A7A"/>
    <w:rsid w:val="0059459D"/>
    <w:rsid w:val="00594C78"/>
    <w:rsid w:val="0059558A"/>
    <w:rsid w:val="00595FF3"/>
    <w:rsid w:val="00596A0B"/>
    <w:rsid w:val="00596E05"/>
    <w:rsid w:val="005970FA"/>
    <w:rsid w:val="005A110F"/>
    <w:rsid w:val="005A2298"/>
    <w:rsid w:val="005A2B08"/>
    <w:rsid w:val="005A3508"/>
    <w:rsid w:val="005A72FC"/>
    <w:rsid w:val="005B0388"/>
    <w:rsid w:val="005B0DEB"/>
    <w:rsid w:val="005B109A"/>
    <w:rsid w:val="005B333F"/>
    <w:rsid w:val="005B4F13"/>
    <w:rsid w:val="005B5ECA"/>
    <w:rsid w:val="005C01CF"/>
    <w:rsid w:val="005C2F29"/>
    <w:rsid w:val="005C4187"/>
    <w:rsid w:val="005C5D48"/>
    <w:rsid w:val="005C7970"/>
    <w:rsid w:val="005D040A"/>
    <w:rsid w:val="005D2AB9"/>
    <w:rsid w:val="005D2E94"/>
    <w:rsid w:val="005D30A2"/>
    <w:rsid w:val="005D7417"/>
    <w:rsid w:val="005E05CA"/>
    <w:rsid w:val="005E1AC6"/>
    <w:rsid w:val="005E6752"/>
    <w:rsid w:val="005E6960"/>
    <w:rsid w:val="005E6A2B"/>
    <w:rsid w:val="005F09AA"/>
    <w:rsid w:val="005F13A6"/>
    <w:rsid w:val="005F213E"/>
    <w:rsid w:val="006007F8"/>
    <w:rsid w:val="00601F02"/>
    <w:rsid w:val="00604751"/>
    <w:rsid w:val="006058BD"/>
    <w:rsid w:val="00606C57"/>
    <w:rsid w:val="006071C2"/>
    <w:rsid w:val="00610106"/>
    <w:rsid w:val="00613882"/>
    <w:rsid w:val="006145F5"/>
    <w:rsid w:val="006167B1"/>
    <w:rsid w:val="0061766A"/>
    <w:rsid w:val="00620414"/>
    <w:rsid w:val="00623F81"/>
    <w:rsid w:val="00624400"/>
    <w:rsid w:val="00625797"/>
    <w:rsid w:val="00626162"/>
    <w:rsid w:val="00626C9A"/>
    <w:rsid w:val="00633894"/>
    <w:rsid w:val="00641726"/>
    <w:rsid w:val="00643893"/>
    <w:rsid w:val="00644AA6"/>
    <w:rsid w:val="006520DC"/>
    <w:rsid w:val="00653B1C"/>
    <w:rsid w:val="00653C40"/>
    <w:rsid w:val="00654291"/>
    <w:rsid w:val="006544ED"/>
    <w:rsid w:val="0065545A"/>
    <w:rsid w:val="006574CF"/>
    <w:rsid w:val="00657791"/>
    <w:rsid w:val="00657CB5"/>
    <w:rsid w:val="0067166E"/>
    <w:rsid w:val="00671B95"/>
    <w:rsid w:val="00674CA0"/>
    <w:rsid w:val="00675A84"/>
    <w:rsid w:val="00676307"/>
    <w:rsid w:val="00676F10"/>
    <w:rsid w:val="00676F99"/>
    <w:rsid w:val="006801B9"/>
    <w:rsid w:val="006809F1"/>
    <w:rsid w:val="00682469"/>
    <w:rsid w:val="00682C88"/>
    <w:rsid w:val="00686B5C"/>
    <w:rsid w:val="00691738"/>
    <w:rsid w:val="00692C68"/>
    <w:rsid w:val="0069352F"/>
    <w:rsid w:val="006953A2"/>
    <w:rsid w:val="00695C70"/>
    <w:rsid w:val="00695ED0"/>
    <w:rsid w:val="006961FC"/>
    <w:rsid w:val="006B249E"/>
    <w:rsid w:val="006B3E4F"/>
    <w:rsid w:val="006B6ACB"/>
    <w:rsid w:val="006B7117"/>
    <w:rsid w:val="006C2C26"/>
    <w:rsid w:val="006C3FEA"/>
    <w:rsid w:val="006C4E94"/>
    <w:rsid w:val="006C7EE5"/>
    <w:rsid w:val="006D01B3"/>
    <w:rsid w:val="006D33E1"/>
    <w:rsid w:val="006D5072"/>
    <w:rsid w:val="006D630B"/>
    <w:rsid w:val="006D67C5"/>
    <w:rsid w:val="006D7CA2"/>
    <w:rsid w:val="006E0678"/>
    <w:rsid w:val="006E1E6C"/>
    <w:rsid w:val="006E5505"/>
    <w:rsid w:val="006E6E17"/>
    <w:rsid w:val="006F09F3"/>
    <w:rsid w:val="006F187B"/>
    <w:rsid w:val="006F240A"/>
    <w:rsid w:val="006F2FB3"/>
    <w:rsid w:val="006F5C9A"/>
    <w:rsid w:val="006F62BC"/>
    <w:rsid w:val="006F643D"/>
    <w:rsid w:val="0070352E"/>
    <w:rsid w:val="007050F4"/>
    <w:rsid w:val="0070540D"/>
    <w:rsid w:val="00713F14"/>
    <w:rsid w:val="00714F3B"/>
    <w:rsid w:val="007166F7"/>
    <w:rsid w:val="00716AEF"/>
    <w:rsid w:val="00717076"/>
    <w:rsid w:val="00722D51"/>
    <w:rsid w:val="0072456B"/>
    <w:rsid w:val="00726E65"/>
    <w:rsid w:val="00727370"/>
    <w:rsid w:val="00727F54"/>
    <w:rsid w:val="0073003F"/>
    <w:rsid w:val="00734C08"/>
    <w:rsid w:val="00735D9E"/>
    <w:rsid w:val="0074109C"/>
    <w:rsid w:val="007416D1"/>
    <w:rsid w:val="00744A8D"/>
    <w:rsid w:val="0075321E"/>
    <w:rsid w:val="007543B0"/>
    <w:rsid w:val="00754D29"/>
    <w:rsid w:val="007568A9"/>
    <w:rsid w:val="00761514"/>
    <w:rsid w:val="00762215"/>
    <w:rsid w:val="00763CE7"/>
    <w:rsid w:val="00764373"/>
    <w:rsid w:val="00766510"/>
    <w:rsid w:val="007752FD"/>
    <w:rsid w:val="0077639A"/>
    <w:rsid w:val="00776A1C"/>
    <w:rsid w:val="00777B3B"/>
    <w:rsid w:val="0078100C"/>
    <w:rsid w:val="00783BCB"/>
    <w:rsid w:val="00786F48"/>
    <w:rsid w:val="0078772C"/>
    <w:rsid w:val="007878E4"/>
    <w:rsid w:val="00787FFD"/>
    <w:rsid w:val="00790671"/>
    <w:rsid w:val="00791B11"/>
    <w:rsid w:val="00792820"/>
    <w:rsid w:val="00793BC8"/>
    <w:rsid w:val="0079499D"/>
    <w:rsid w:val="00795F9B"/>
    <w:rsid w:val="007963BD"/>
    <w:rsid w:val="007A3DDD"/>
    <w:rsid w:val="007A497E"/>
    <w:rsid w:val="007A5191"/>
    <w:rsid w:val="007A6069"/>
    <w:rsid w:val="007A637C"/>
    <w:rsid w:val="007A7E4A"/>
    <w:rsid w:val="007B2878"/>
    <w:rsid w:val="007B3AE8"/>
    <w:rsid w:val="007B4418"/>
    <w:rsid w:val="007B5F62"/>
    <w:rsid w:val="007B66B3"/>
    <w:rsid w:val="007C08E8"/>
    <w:rsid w:val="007C0A62"/>
    <w:rsid w:val="007C12F3"/>
    <w:rsid w:val="007C6DD7"/>
    <w:rsid w:val="007D0E46"/>
    <w:rsid w:val="007D3AA0"/>
    <w:rsid w:val="007D3FE2"/>
    <w:rsid w:val="007D62F1"/>
    <w:rsid w:val="007D762E"/>
    <w:rsid w:val="007D7BE0"/>
    <w:rsid w:val="007E1828"/>
    <w:rsid w:val="007E2623"/>
    <w:rsid w:val="007E4294"/>
    <w:rsid w:val="007F1593"/>
    <w:rsid w:val="007F30A8"/>
    <w:rsid w:val="00801ADB"/>
    <w:rsid w:val="008022A4"/>
    <w:rsid w:val="00810603"/>
    <w:rsid w:val="0081501F"/>
    <w:rsid w:val="00817710"/>
    <w:rsid w:val="00820398"/>
    <w:rsid w:val="00820D41"/>
    <w:rsid w:val="00820FEC"/>
    <w:rsid w:val="0082146C"/>
    <w:rsid w:val="0082299E"/>
    <w:rsid w:val="00824AD0"/>
    <w:rsid w:val="0083200B"/>
    <w:rsid w:val="0083324D"/>
    <w:rsid w:val="00834888"/>
    <w:rsid w:val="00841733"/>
    <w:rsid w:val="0084226C"/>
    <w:rsid w:val="0084362B"/>
    <w:rsid w:val="00844D38"/>
    <w:rsid w:val="00844D85"/>
    <w:rsid w:val="0084690F"/>
    <w:rsid w:val="008524BE"/>
    <w:rsid w:val="00853372"/>
    <w:rsid w:val="00853BC2"/>
    <w:rsid w:val="00854278"/>
    <w:rsid w:val="0085523B"/>
    <w:rsid w:val="00855F83"/>
    <w:rsid w:val="00856F5A"/>
    <w:rsid w:val="008601FF"/>
    <w:rsid w:val="0086236A"/>
    <w:rsid w:val="00865727"/>
    <w:rsid w:val="00866322"/>
    <w:rsid w:val="0087035A"/>
    <w:rsid w:val="00873A67"/>
    <w:rsid w:val="00877582"/>
    <w:rsid w:val="00882851"/>
    <w:rsid w:val="008828BD"/>
    <w:rsid w:val="00882C82"/>
    <w:rsid w:val="00882DAD"/>
    <w:rsid w:val="008850F3"/>
    <w:rsid w:val="008874BA"/>
    <w:rsid w:val="00887CA3"/>
    <w:rsid w:val="00890CCF"/>
    <w:rsid w:val="0089364E"/>
    <w:rsid w:val="008941C9"/>
    <w:rsid w:val="008949B1"/>
    <w:rsid w:val="0089575C"/>
    <w:rsid w:val="0089713E"/>
    <w:rsid w:val="00897CBB"/>
    <w:rsid w:val="00897DB7"/>
    <w:rsid w:val="008A00D0"/>
    <w:rsid w:val="008A20DB"/>
    <w:rsid w:val="008A23C6"/>
    <w:rsid w:val="008A4521"/>
    <w:rsid w:val="008A4B83"/>
    <w:rsid w:val="008A6D84"/>
    <w:rsid w:val="008B05D6"/>
    <w:rsid w:val="008B2350"/>
    <w:rsid w:val="008B2942"/>
    <w:rsid w:val="008B3A12"/>
    <w:rsid w:val="008C09C4"/>
    <w:rsid w:val="008C156B"/>
    <w:rsid w:val="008C1F44"/>
    <w:rsid w:val="008C3AE7"/>
    <w:rsid w:val="008C4081"/>
    <w:rsid w:val="008C4C82"/>
    <w:rsid w:val="008C6E0B"/>
    <w:rsid w:val="008D1211"/>
    <w:rsid w:val="008E087E"/>
    <w:rsid w:val="008E1DE5"/>
    <w:rsid w:val="008E3D99"/>
    <w:rsid w:val="008E5CF5"/>
    <w:rsid w:val="008E6BCA"/>
    <w:rsid w:val="008E7179"/>
    <w:rsid w:val="008E7710"/>
    <w:rsid w:val="00903F34"/>
    <w:rsid w:val="009044CC"/>
    <w:rsid w:val="00905C0A"/>
    <w:rsid w:val="00910D93"/>
    <w:rsid w:val="00913AC4"/>
    <w:rsid w:val="009154ED"/>
    <w:rsid w:val="00915634"/>
    <w:rsid w:val="00915C5F"/>
    <w:rsid w:val="00916271"/>
    <w:rsid w:val="00922D8D"/>
    <w:rsid w:val="009247F5"/>
    <w:rsid w:val="00931F2F"/>
    <w:rsid w:val="00932A9B"/>
    <w:rsid w:val="009339A0"/>
    <w:rsid w:val="00937519"/>
    <w:rsid w:val="00937976"/>
    <w:rsid w:val="00941F6E"/>
    <w:rsid w:val="00942436"/>
    <w:rsid w:val="00946459"/>
    <w:rsid w:val="009530D2"/>
    <w:rsid w:val="00956F46"/>
    <w:rsid w:val="00957A1D"/>
    <w:rsid w:val="0096487B"/>
    <w:rsid w:val="00966362"/>
    <w:rsid w:val="00970641"/>
    <w:rsid w:val="00974ADA"/>
    <w:rsid w:val="009800CF"/>
    <w:rsid w:val="00980D4D"/>
    <w:rsid w:val="00982969"/>
    <w:rsid w:val="009834BF"/>
    <w:rsid w:val="00983FB0"/>
    <w:rsid w:val="00985537"/>
    <w:rsid w:val="00986693"/>
    <w:rsid w:val="009917DF"/>
    <w:rsid w:val="00992D1E"/>
    <w:rsid w:val="0099797A"/>
    <w:rsid w:val="009A06F5"/>
    <w:rsid w:val="009A0788"/>
    <w:rsid w:val="009A41C2"/>
    <w:rsid w:val="009A5FAF"/>
    <w:rsid w:val="009A7354"/>
    <w:rsid w:val="009B03DF"/>
    <w:rsid w:val="009B201A"/>
    <w:rsid w:val="009B69B9"/>
    <w:rsid w:val="009B6AF0"/>
    <w:rsid w:val="009B7A73"/>
    <w:rsid w:val="009C0E57"/>
    <w:rsid w:val="009C2D50"/>
    <w:rsid w:val="009C3AE8"/>
    <w:rsid w:val="009C4747"/>
    <w:rsid w:val="009C55D2"/>
    <w:rsid w:val="009D0908"/>
    <w:rsid w:val="009D1035"/>
    <w:rsid w:val="009D195B"/>
    <w:rsid w:val="009D2C21"/>
    <w:rsid w:val="009D3676"/>
    <w:rsid w:val="009D40A0"/>
    <w:rsid w:val="009D79E1"/>
    <w:rsid w:val="009D7D33"/>
    <w:rsid w:val="009E59A9"/>
    <w:rsid w:val="009E612F"/>
    <w:rsid w:val="009F0285"/>
    <w:rsid w:val="009F1547"/>
    <w:rsid w:val="009F56D3"/>
    <w:rsid w:val="009F59AA"/>
    <w:rsid w:val="009F5FAD"/>
    <w:rsid w:val="009F6AEB"/>
    <w:rsid w:val="009F7FED"/>
    <w:rsid w:val="00A0220F"/>
    <w:rsid w:val="00A066AE"/>
    <w:rsid w:val="00A1071A"/>
    <w:rsid w:val="00A1086D"/>
    <w:rsid w:val="00A15362"/>
    <w:rsid w:val="00A20F78"/>
    <w:rsid w:val="00A21DA7"/>
    <w:rsid w:val="00A23307"/>
    <w:rsid w:val="00A25FC6"/>
    <w:rsid w:val="00A2683D"/>
    <w:rsid w:val="00A27DEE"/>
    <w:rsid w:val="00A36E74"/>
    <w:rsid w:val="00A3783F"/>
    <w:rsid w:val="00A43B93"/>
    <w:rsid w:val="00A44848"/>
    <w:rsid w:val="00A474B0"/>
    <w:rsid w:val="00A47B89"/>
    <w:rsid w:val="00A50E73"/>
    <w:rsid w:val="00A54988"/>
    <w:rsid w:val="00A54AFD"/>
    <w:rsid w:val="00A564D5"/>
    <w:rsid w:val="00A60481"/>
    <w:rsid w:val="00A60F67"/>
    <w:rsid w:val="00A62113"/>
    <w:rsid w:val="00A661F2"/>
    <w:rsid w:val="00A66C22"/>
    <w:rsid w:val="00A67923"/>
    <w:rsid w:val="00A714B8"/>
    <w:rsid w:val="00A7600E"/>
    <w:rsid w:val="00A77155"/>
    <w:rsid w:val="00A80A13"/>
    <w:rsid w:val="00A82058"/>
    <w:rsid w:val="00A84F9E"/>
    <w:rsid w:val="00A85D5B"/>
    <w:rsid w:val="00A866F3"/>
    <w:rsid w:val="00A869B0"/>
    <w:rsid w:val="00A90A6A"/>
    <w:rsid w:val="00A90B59"/>
    <w:rsid w:val="00A9123F"/>
    <w:rsid w:val="00A925E0"/>
    <w:rsid w:val="00A92CB8"/>
    <w:rsid w:val="00A933D7"/>
    <w:rsid w:val="00A9375C"/>
    <w:rsid w:val="00A95BC9"/>
    <w:rsid w:val="00AA0150"/>
    <w:rsid w:val="00AA204C"/>
    <w:rsid w:val="00AA2D57"/>
    <w:rsid w:val="00AA3DBD"/>
    <w:rsid w:val="00AB143A"/>
    <w:rsid w:val="00AC21A2"/>
    <w:rsid w:val="00AC2518"/>
    <w:rsid w:val="00AC4568"/>
    <w:rsid w:val="00AC48BC"/>
    <w:rsid w:val="00AC5CFD"/>
    <w:rsid w:val="00AC62C9"/>
    <w:rsid w:val="00AC7EBE"/>
    <w:rsid w:val="00AD3559"/>
    <w:rsid w:val="00AD7E16"/>
    <w:rsid w:val="00AE1A4A"/>
    <w:rsid w:val="00AE1E59"/>
    <w:rsid w:val="00AE30CC"/>
    <w:rsid w:val="00AE33FF"/>
    <w:rsid w:val="00AE4438"/>
    <w:rsid w:val="00AE62B4"/>
    <w:rsid w:val="00AF06D5"/>
    <w:rsid w:val="00AF09DD"/>
    <w:rsid w:val="00AF0B42"/>
    <w:rsid w:val="00AF5BAD"/>
    <w:rsid w:val="00AF7CF0"/>
    <w:rsid w:val="00B012C4"/>
    <w:rsid w:val="00B02655"/>
    <w:rsid w:val="00B02F48"/>
    <w:rsid w:val="00B05102"/>
    <w:rsid w:val="00B057A1"/>
    <w:rsid w:val="00B1098D"/>
    <w:rsid w:val="00B13ABF"/>
    <w:rsid w:val="00B14861"/>
    <w:rsid w:val="00B16A34"/>
    <w:rsid w:val="00B250F2"/>
    <w:rsid w:val="00B26840"/>
    <w:rsid w:val="00B315AA"/>
    <w:rsid w:val="00B31B9C"/>
    <w:rsid w:val="00B357C3"/>
    <w:rsid w:val="00B36185"/>
    <w:rsid w:val="00B41A59"/>
    <w:rsid w:val="00B43689"/>
    <w:rsid w:val="00B43826"/>
    <w:rsid w:val="00B45574"/>
    <w:rsid w:val="00B473BC"/>
    <w:rsid w:val="00B47907"/>
    <w:rsid w:val="00B51D01"/>
    <w:rsid w:val="00B52190"/>
    <w:rsid w:val="00B52249"/>
    <w:rsid w:val="00B529F3"/>
    <w:rsid w:val="00B5544F"/>
    <w:rsid w:val="00B555F2"/>
    <w:rsid w:val="00B55E5D"/>
    <w:rsid w:val="00B57227"/>
    <w:rsid w:val="00B57B3C"/>
    <w:rsid w:val="00B60A20"/>
    <w:rsid w:val="00B60A36"/>
    <w:rsid w:val="00B62E57"/>
    <w:rsid w:val="00B62F53"/>
    <w:rsid w:val="00B66867"/>
    <w:rsid w:val="00B713B8"/>
    <w:rsid w:val="00B73E0C"/>
    <w:rsid w:val="00B74A49"/>
    <w:rsid w:val="00B75123"/>
    <w:rsid w:val="00B751E3"/>
    <w:rsid w:val="00B756AA"/>
    <w:rsid w:val="00B764C3"/>
    <w:rsid w:val="00B76F0B"/>
    <w:rsid w:val="00B83244"/>
    <w:rsid w:val="00B833EA"/>
    <w:rsid w:val="00B910B3"/>
    <w:rsid w:val="00B92275"/>
    <w:rsid w:val="00B94321"/>
    <w:rsid w:val="00B94786"/>
    <w:rsid w:val="00B96707"/>
    <w:rsid w:val="00B97916"/>
    <w:rsid w:val="00BA00BE"/>
    <w:rsid w:val="00BA11DB"/>
    <w:rsid w:val="00BA3280"/>
    <w:rsid w:val="00BA3E74"/>
    <w:rsid w:val="00BA47F7"/>
    <w:rsid w:val="00BA57CC"/>
    <w:rsid w:val="00BA63E0"/>
    <w:rsid w:val="00BA7DC2"/>
    <w:rsid w:val="00BB26AD"/>
    <w:rsid w:val="00BB2C7A"/>
    <w:rsid w:val="00BB3155"/>
    <w:rsid w:val="00BB3D46"/>
    <w:rsid w:val="00BB473E"/>
    <w:rsid w:val="00BB5683"/>
    <w:rsid w:val="00BB6F07"/>
    <w:rsid w:val="00BB7BCE"/>
    <w:rsid w:val="00BC113A"/>
    <w:rsid w:val="00BC1AAB"/>
    <w:rsid w:val="00BC1B42"/>
    <w:rsid w:val="00BC5DE0"/>
    <w:rsid w:val="00BC7208"/>
    <w:rsid w:val="00BD0C52"/>
    <w:rsid w:val="00BD1A70"/>
    <w:rsid w:val="00BD2F9F"/>
    <w:rsid w:val="00BD42ED"/>
    <w:rsid w:val="00BD4500"/>
    <w:rsid w:val="00BD4847"/>
    <w:rsid w:val="00BD7C68"/>
    <w:rsid w:val="00BE0634"/>
    <w:rsid w:val="00BE726C"/>
    <w:rsid w:val="00BF0685"/>
    <w:rsid w:val="00BF532C"/>
    <w:rsid w:val="00C0102D"/>
    <w:rsid w:val="00C01C9F"/>
    <w:rsid w:val="00C02808"/>
    <w:rsid w:val="00C03776"/>
    <w:rsid w:val="00C07AE3"/>
    <w:rsid w:val="00C10A65"/>
    <w:rsid w:val="00C10CA2"/>
    <w:rsid w:val="00C13821"/>
    <w:rsid w:val="00C15F73"/>
    <w:rsid w:val="00C17777"/>
    <w:rsid w:val="00C2037B"/>
    <w:rsid w:val="00C20E25"/>
    <w:rsid w:val="00C24F64"/>
    <w:rsid w:val="00C30DA4"/>
    <w:rsid w:val="00C32C70"/>
    <w:rsid w:val="00C34BAC"/>
    <w:rsid w:val="00C3684E"/>
    <w:rsid w:val="00C40D94"/>
    <w:rsid w:val="00C420DE"/>
    <w:rsid w:val="00C44990"/>
    <w:rsid w:val="00C45052"/>
    <w:rsid w:val="00C50108"/>
    <w:rsid w:val="00C508F9"/>
    <w:rsid w:val="00C515D3"/>
    <w:rsid w:val="00C52AAF"/>
    <w:rsid w:val="00C55EED"/>
    <w:rsid w:val="00C56B68"/>
    <w:rsid w:val="00C57DD5"/>
    <w:rsid w:val="00C616BF"/>
    <w:rsid w:val="00C658BF"/>
    <w:rsid w:val="00C6631D"/>
    <w:rsid w:val="00C75655"/>
    <w:rsid w:val="00C84779"/>
    <w:rsid w:val="00C85ADB"/>
    <w:rsid w:val="00C868F6"/>
    <w:rsid w:val="00C87A74"/>
    <w:rsid w:val="00C9137C"/>
    <w:rsid w:val="00C93F2C"/>
    <w:rsid w:val="00C95CDC"/>
    <w:rsid w:val="00C9663B"/>
    <w:rsid w:val="00C96742"/>
    <w:rsid w:val="00CA62D4"/>
    <w:rsid w:val="00CB0F4C"/>
    <w:rsid w:val="00CB0FEB"/>
    <w:rsid w:val="00CB196F"/>
    <w:rsid w:val="00CB1D48"/>
    <w:rsid w:val="00CB2979"/>
    <w:rsid w:val="00CB328D"/>
    <w:rsid w:val="00CB3362"/>
    <w:rsid w:val="00CB415F"/>
    <w:rsid w:val="00CB4F7C"/>
    <w:rsid w:val="00CB57C4"/>
    <w:rsid w:val="00CB5BDC"/>
    <w:rsid w:val="00CB7302"/>
    <w:rsid w:val="00CB7870"/>
    <w:rsid w:val="00CC233F"/>
    <w:rsid w:val="00CC44C2"/>
    <w:rsid w:val="00CC59AD"/>
    <w:rsid w:val="00CC62EA"/>
    <w:rsid w:val="00CD0BAD"/>
    <w:rsid w:val="00CD159A"/>
    <w:rsid w:val="00CD75BB"/>
    <w:rsid w:val="00CE0F8F"/>
    <w:rsid w:val="00CE13BE"/>
    <w:rsid w:val="00CE150B"/>
    <w:rsid w:val="00CE15D9"/>
    <w:rsid w:val="00CE3546"/>
    <w:rsid w:val="00CE58E3"/>
    <w:rsid w:val="00CE5D53"/>
    <w:rsid w:val="00CE7599"/>
    <w:rsid w:val="00CE7B7A"/>
    <w:rsid w:val="00CF0BEA"/>
    <w:rsid w:val="00CF16BB"/>
    <w:rsid w:val="00CF3AAF"/>
    <w:rsid w:val="00CF5B47"/>
    <w:rsid w:val="00CF5BBD"/>
    <w:rsid w:val="00CF7BB3"/>
    <w:rsid w:val="00CF7CFA"/>
    <w:rsid w:val="00D01DAB"/>
    <w:rsid w:val="00D02716"/>
    <w:rsid w:val="00D0670A"/>
    <w:rsid w:val="00D079B3"/>
    <w:rsid w:val="00D07FB8"/>
    <w:rsid w:val="00D16008"/>
    <w:rsid w:val="00D26883"/>
    <w:rsid w:val="00D30CA0"/>
    <w:rsid w:val="00D31BE0"/>
    <w:rsid w:val="00D33D87"/>
    <w:rsid w:val="00D37156"/>
    <w:rsid w:val="00D4186D"/>
    <w:rsid w:val="00D43290"/>
    <w:rsid w:val="00D46202"/>
    <w:rsid w:val="00D467AC"/>
    <w:rsid w:val="00D5204B"/>
    <w:rsid w:val="00D5226E"/>
    <w:rsid w:val="00D5285C"/>
    <w:rsid w:val="00D52F39"/>
    <w:rsid w:val="00D5348B"/>
    <w:rsid w:val="00D54C10"/>
    <w:rsid w:val="00D674A2"/>
    <w:rsid w:val="00D722DF"/>
    <w:rsid w:val="00D73190"/>
    <w:rsid w:val="00D75974"/>
    <w:rsid w:val="00D76392"/>
    <w:rsid w:val="00D77112"/>
    <w:rsid w:val="00D83FFC"/>
    <w:rsid w:val="00D84675"/>
    <w:rsid w:val="00D93721"/>
    <w:rsid w:val="00D967B3"/>
    <w:rsid w:val="00D97B06"/>
    <w:rsid w:val="00DA0215"/>
    <w:rsid w:val="00DA3AF3"/>
    <w:rsid w:val="00DA4724"/>
    <w:rsid w:val="00DA49E4"/>
    <w:rsid w:val="00DA5455"/>
    <w:rsid w:val="00DA57A9"/>
    <w:rsid w:val="00DA5C2B"/>
    <w:rsid w:val="00DA6958"/>
    <w:rsid w:val="00DA6E91"/>
    <w:rsid w:val="00DA7974"/>
    <w:rsid w:val="00DB222B"/>
    <w:rsid w:val="00DB34B3"/>
    <w:rsid w:val="00DB3E58"/>
    <w:rsid w:val="00DB5ABE"/>
    <w:rsid w:val="00DB5EFB"/>
    <w:rsid w:val="00DC2917"/>
    <w:rsid w:val="00DC3108"/>
    <w:rsid w:val="00DC38F9"/>
    <w:rsid w:val="00DC7E0C"/>
    <w:rsid w:val="00DC7E4F"/>
    <w:rsid w:val="00DD4839"/>
    <w:rsid w:val="00DD5BFE"/>
    <w:rsid w:val="00DE1703"/>
    <w:rsid w:val="00DE1973"/>
    <w:rsid w:val="00DE2C83"/>
    <w:rsid w:val="00DE3954"/>
    <w:rsid w:val="00DE3BF3"/>
    <w:rsid w:val="00DE4BB8"/>
    <w:rsid w:val="00DE7004"/>
    <w:rsid w:val="00DE7EA5"/>
    <w:rsid w:val="00DF1A11"/>
    <w:rsid w:val="00DF2A2E"/>
    <w:rsid w:val="00DF568D"/>
    <w:rsid w:val="00DF64E4"/>
    <w:rsid w:val="00E00CCB"/>
    <w:rsid w:val="00E00E31"/>
    <w:rsid w:val="00E0270D"/>
    <w:rsid w:val="00E10A4B"/>
    <w:rsid w:val="00E10F65"/>
    <w:rsid w:val="00E1218F"/>
    <w:rsid w:val="00E14145"/>
    <w:rsid w:val="00E14EA6"/>
    <w:rsid w:val="00E16AD9"/>
    <w:rsid w:val="00E175A7"/>
    <w:rsid w:val="00E17713"/>
    <w:rsid w:val="00E20168"/>
    <w:rsid w:val="00E20740"/>
    <w:rsid w:val="00E20E92"/>
    <w:rsid w:val="00E213D6"/>
    <w:rsid w:val="00E23956"/>
    <w:rsid w:val="00E24645"/>
    <w:rsid w:val="00E27722"/>
    <w:rsid w:val="00E30328"/>
    <w:rsid w:val="00E337BC"/>
    <w:rsid w:val="00E34B99"/>
    <w:rsid w:val="00E350CD"/>
    <w:rsid w:val="00E4110D"/>
    <w:rsid w:val="00E537E7"/>
    <w:rsid w:val="00E5518C"/>
    <w:rsid w:val="00E56C51"/>
    <w:rsid w:val="00E6159D"/>
    <w:rsid w:val="00E63D10"/>
    <w:rsid w:val="00E64626"/>
    <w:rsid w:val="00E65E6C"/>
    <w:rsid w:val="00E6689F"/>
    <w:rsid w:val="00E66E71"/>
    <w:rsid w:val="00E705B7"/>
    <w:rsid w:val="00E71A89"/>
    <w:rsid w:val="00E74756"/>
    <w:rsid w:val="00E74B7B"/>
    <w:rsid w:val="00E7534A"/>
    <w:rsid w:val="00E8117C"/>
    <w:rsid w:val="00E82F5E"/>
    <w:rsid w:val="00E854AE"/>
    <w:rsid w:val="00E91948"/>
    <w:rsid w:val="00E92939"/>
    <w:rsid w:val="00E92A0F"/>
    <w:rsid w:val="00E95CF1"/>
    <w:rsid w:val="00EA0F91"/>
    <w:rsid w:val="00EA2CA0"/>
    <w:rsid w:val="00EA3A2F"/>
    <w:rsid w:val="00EA3E5A"/>
    <w:rsid w:val="00EB055B"/>
    <w:rsid w:val="00EB1BB3"/>
    <w:rsid w:val="00EB4245"/>
    <w:rsid w:val="00EB4779"/>
    <w:rsid w:val="00EB62E9"/>
    <w:rsid w:val="00EC04AD"/>
    <w:rsid w:val="00EC1212"/>
    <w:rsid w:val="00EC1ACA"/>
    <w:rsid w:val="00EC1D3D"/>
    <w:rsid w:val="00EC3251"/>
    <w:rsid w:val="00EC4679"/>
    <w:rsid w:val="00EC5855"/>
    <w:rsid w:val="00EC677E"/>
    <w:rsid w:val="00EC7E67"/>
    <w:rsid w:val="00ED1F57"/>
    <w:rsid w:val="00ED300A"/>
    <w:rsid w:val="00ED4372"/>
    <w:rsid w:val="00EE08F5"/>
    <w:rsid w:val="00EE0B3E"/>
    <w:rsid w:val="00EE51F2"/>
    <w:rsid w:val="00EE5789"/>
    <w:rsid w:val="00EE7B16"/>
    <w:rsid w:val="00EE7BD0"/>
    <w:rsid w:val="00EF049C"/>
    <w:rsid w:val="00EF5449"/>
    <w:rsid w:val="00EF67E3"/>
    <w:rsid w:val="00F00CF8"/>
    <w:rsid w:val="00F01C4C"/>
    <w:rsid w:val="00F02912"/>
    <w:rsid w:val="00F06DE5"/>
    <w:rsid w:val="00F06F0D"/>
    <w:rsid w:val="00F12986"/>
    <w:rsid w:val="00F13036"/>
    <w:rsid w:val="00F16786"/>
    <w:rsid w:val="00F24353"/>
    <w:rsid w:val="00F24D75"/>
    <w:rsid w:val="00F251F0"/>
    <w:rsid w:val="00F261E3"/>
    <w:rsid w:val="00F276AE"/>
    <w:rsid w:val="00F304E4"/>
    <w:rsid w:val="00F30D53"/>
    <w:rsid w:val="00F3104D"/>
    <w:rsid w:val="00F32246"/>
    <w:rsid w:val="00F336A3"/>
    <w:rsid w:val="00F34F33"/>
    <w:rsid w:val="00F37B6B"/>
    <w:rsid w:val="00F4217A"/>
    <w:rsid w:val="00F46151"/>
    <w:rsid w:val="00F5072C"/>
    <w:rsid w:val="00F514BB"/>
    <w:rsid w:val="00F53276"/>
    <w:rsid w:val="00F53B24"/>
    <w:rsid w:val="00F55671"/>
    <w:rsid w:val="00F56DB8"/>
    <w:rsid w:val="00F578A1"/>
    <w:rsid w:val="00F61B10"/>
    <w:rsid w:val="00F61C64"/>
    <w:rsid w:val="00F6480E"/>
    <w:rsid w:val="00F657E5"/>
    <w:rsid w:val="00F708C9"/>
    <w:rsid w:val="00F71283"/>
    <w:rsid w:val="00F715B3"/>
    <w:rsid w:val="00F760EC"/>
    <w:rsid w:val="00F7771C"/>
    <w:rsid w:val="00F82D32"/>
    <w:rsid w:val="00F82E85"/>
    <w:rsid w:val="00F84923"/>
    <w:rsid w:val="00F90098"/>
    <w:rsid w:val="00F904A9"/>
    <w:rsid w:val="00F911ED"/>
    <w:rsid w:val="00F91EEC"/>
    <w:rsid w:val="00F925F3"/>
    <w:rsid w:val="00F97B8B"/>
    <w:rsid w:val="00FA3CDB"/>
    <w:rsid w:val="00FA5451"/>
    <w:rsid w:val="00FB0249"/>
    <w:rsid w:val="00FB1EC0"/>
    <w:rsid w:val="00FB2246"/>
    <w:rsid w:val="00FB2BB1"/>
    <w:rsid w:val="00FB3DC5"/>
    <w:rsid w:val="00FB5396"/>
    <w:rsid w:val="00FB5DD2"/>
    <w:rsid w:val="00FB7F0C"/>
    <w:rsid w:val="00FC06BA"/>
    <w:rsid w:val="00FD182D"/>
    <w:rsid w:val="00FD3C14"/>
    <w:rsid w:val="00FD4399"/>
    <w:rsid w:val="00FD49BD"/>
    <w:rsid w:val="00FD663A"/>
    <w:rsid w:val="00FD6657"/>
    <w:rsid w:val="00FD68B1"/>
    <w:rsid w:val="00FE0F0C"/>
    <w:rsid w:val="00FE34AF"/>
    <w:rsid w:val="00FE366F"/>
    <w:rsid w:val="00FE63BD"/>
    <w:rsid w:val="00FE640B"/>
    <w:rsid w:val="00FF1A54"/>
    <w:rsid w:val="00FF22AE"/>
    <w:rsid w:val="00FF3773"/>
    <w:rsid w:val="00FF5E28"/>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3508"/>
    <w:pPr>
      <w:tabs>
        <w:tab w:val="center" w:pos="4680"/>
        <w:tab w:val="right" w:pos="9360"/>
      </w:tabs>
    </w:pPr>
  </w:style>
  <w:style w:type="character" w:customStyle="1" w:styleId="HeaderChar">
    <w:name w:val="Header Char"/>
    <w:basedOn w:val="DefaultParagraphFont"/>
    <w:link w:val="Header"/>
    <w:uiPriority w:val="99"/>
    <w:semiHidden/>
    <w:rsid w:val="005A35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3508"/>
    <w:pPr>
      <w:tabs>
        <w:tab w:val="center" w:pos="4680"/>
        <w:tab w:val="right" w:pos="9360"/>
      </w:tabs>
    </w:pPr>
  </w:style>
  <w:style w:type="character" w:customStyle="1" w:styleId="FooterChar">
    <w:name w:val="Footer Char"/>
    <w:basedOn w:val="DefaultParagraphFont"/>
    <w:link w:val="Footer"/>
    <w:uiPriority w:val="99"/>
    <w:rsid w:val="005A3508"/>
    <w:rPr>
      <w:rFonts w:ascii="Times New Roman" w:eastAsia="Times New Roman" w:hAnsi="Times New Roman" w:cs="Times New Roman"/>
      <w:sz w:val="24"/>
      <w:szCs w:val="24"/>
    </w:rPr>
  </w:style>
  <w:style w:type="paragraph" w:styleId="ListParagraph">
    <w:name w:val="List Paragraph"/>
    <w:basedOn w:val="Normal"/>
    <w:uiPriority w:val="34"/>
    <w:qFormat/>
    <w:rsid w:val="00CE13BE"/>
    <w:pPr>
      <w:ind w:left="720"/>
      <w:contextualSpacing/>
    </w:pPr>
  </w:style>
  <w:style w:type="paragraph" w:styleId="BalloonText">
    <w:name w:val="Balloon Text"/>
    <w:basedOn w:val="Normal"/>
    <w:link w:val="BalloonTextChar"/>
    <w:uiPriority w:val="99"/>
    <w:semiHidden/>
    <w:unhideWhenUsed/>
    <w:rsid w:val="00E6159D"/>
    <w:rPr>
      <w:rFonts w:ascii="Tahoma" w:hAnsi="Tahoma" w:cs="Tahoma"/>
      <w:sz w:val="16"/>
      <w:szCs w:val="16"/>
    </w:rPr>
  </w:style>
  <w:style w:type="character" w:customStyle="1" w:styleId="BalloonTextChar">
    <w:name w:val="Balloon Text Char"/>
    <w:basedOn w:val="DefaultParagraphFont"/>
    <w:link w:val="BalloonText"/>
    <w:uiPriority w:val="99"/>
    <w:semiHidden/>
    <w:rsid w:val="00E6159D"/>
    <w:rPr>
      <w:rFonts w:ascii="Tahoma" w:eastAsia="Times New Roman" w:hAnsi="Tahoma" w:cs="Tahoma"/>
      <w:sz w:val="16"/>
      <w:szCs w:val="16"/>
    </w:rPr>
  </w:style>
  <w:style w:type="table" w:styleId="TableGrid">
    <w:name w:val="Table Grid"/>
    <w:basedOn w:val="TableNormal"/>
    <w:uiPriority w:val="59"/>
    <w:rsid w:val="009A73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F22AE"/>
    <w:pPr>
      <w:spacing w:line="360" w:lineRule="auto"/>
      <w:jc w:val="both"/>
    </w:pPr>
    <w:rPr>
      <w:rFonts w:eastAsia="SimSun"/>
      <w:sz w:val="26"/>
      <w:szCs w:val="20"/>
    </w:rPr>
  </w:style>
  <w:style w:type="character" w:customStyle="1" w:styleId="BodyTextChar">
    <w:name w:val="Body Text Char"/>
    <w:basedOn w:val="DefaultParagraphFont"/>
    <w:link w:val="BodyText"/>
    <w:rsid w:val="00FF22AE"/>
    <w:rPr>
      <w:rFonts w:ascii="Times New Roman" w:eastAsia="SimSun" w:hAnsi="Times New Roman" w:cs="Times New Roman"/>
      <w:sz w:val="26"/>
      <w:szCs w:val="20"/>
    </w:rPr>
  </w:style>
  <w:style w:type="paragraph" w:styleId="FootnoteText">
    <w:name w:val="footnote text"/>
    <w:basedOn w:val="Normal"/>
    <w:link w:val="FootnoteTextChar"/>
    <w:uiPriority w:val="99"/>
    <w:semiHidden/>
    <w:unhideWhenUsed/>
    <w:rsid w:val="008E6BCA"/>
    <w:rPr>
      <w:sz w:val="20"/>
      <w:szCs w:val="20"/>
    </w:rPr>
  </w:style>
  <w:style w:type="character" w:customStyle="1" w:styleId="FootnoteTextChar">
    <w:name w:val="Footnote Text Char"/>
    <w:basedOn w:val="DefaultParagraphFont"/>
    <w:link w:val="FootnoteText"/>
    <w:uiPriority w:val="99"/>
    <w:semiHidden/>
    <w:rsid w:val="008E6B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6B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3508"/>
    <w:pPr>
      <w:tabs>
        <w:tab w:val="center" w:pos="4680"/>
        <w:tab w:val="right" w:pos="9360"/>
      </w:tabs>
    </w:pPr>
  </w:style>
  <w:style w:type="character" w:customStyle="1" w:styleId="HeaderChar">
    <w:name w:val="Header Char"/>
    <w:basedOn w:val="DefaultParagraphFont"/>
    <w:link w:val="Header"/>
    <w:uiPriority w:val="99"/>
    <w:semiHidden/>
    <w:rsid w:val="005A35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3508"/>
    <w:pPr>
      <w:tabs>
        <w:tab w:val="center" w:pos="4680"/>
        <w:tab w:val="right" w:pos="9360"/>
      </w:tabs>
    </w:pPr>
  </w:style>
  <w:style w:type="character" w:customStyle="1" w:styleId="FooterChar">
    <w:name w:val="Footer Char"/>
    <w:basedOn w:val="DefaultParagraphFont"/>
    <w:link w:val="Footer"/>
    <w:uiPriority w:val="99"/>
    <w:rsid w:val="005A3508"/>
    <w:rPr>
      <w:rFonts w:ascii="Times New Roman" w:eastAsia="Times New Roman" w:hAnsi="Times New Roman" w:cs="Times New Roman"/>
      <w:sz w:val="24"/>
      <w:szCs w:val="24"/>
    </w:rPr>
  </w:style>
  <w:style w:type="paragraph" w:styleId="ListParagraph">
    <w:name w:val="List Paragraph"/>
    <w:basedOn w:val="Normal"/>
    <w:uiPriority w:val="34"/>
    <w:qFormat/>
    <w:rsid w:val="00CE13BE"/>
    <w:pPr>
      <w:ind w:left="720"/>
      <w:contextualSpacing/>
    </w:pPr>
  </w:style>
  <w:style w:type="paragraph" w:styleId="BalloonText">
    <w:name w:val="Balloon Text"/>
    <w:basedOn w:val="Normal"/>
    <w:link w:val="BalloonTextChar"/>
    <w:uiPriority w:val="99"/>
    <w:semiHidden/>
    <w:unhideWhenUsed/>
    <w:rsid w:val="00E6159D"/>
    <w:rPr>
      <w:rFonts w:ascii="Tahoma" w:hAnsi="Tahoma" w:cs="Tahoma"/>
      <w:sz w:val="16"/>
      <w:szCs w:val="16"/>
    </w:rPr>
  </w:style>
  <w:style w:type="character" w:customStyle="1" w:styleId="BalloonTextChar">
    <w:name w:val="Balloon Text Char"/>
    <w:basedOn w:val="DefaultParagraphFont"/>
    <w:link w:val="BalloonText"/>
    <w:uiPriority w:val="99"/>
    <w:semiHidden/>
    <w:rsid w:val="00E6159D"/>
    <w:rPr>
      <w:rFonts w:ascii="Tahoma" w:eastAsia="Times New Roman" w:hAnsi="Tahoma" w:cs="Tahoma"/>
      <w:sz w:val="16"/>
      <w:szCs w:val="16"/>
    </w:rPr>
  </w:style>
  <w:style w:type="table" w:styleId="TableGrid">
    <w:name w:val="Table Grid"/>
    <w:basedOn w:val="TableNormal"/>
    <w:uiPriority w:val="59"/>
    <w:rsid w:val="009A73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F22AE"/>
    <w:pPr>
      <w:spacing w:line="360" w:lineRule="auto"/>
      <w:jc w:val="both"/>
    </w:pPr>
    <w:rPr>
      <w:rFonts w:eastAsia="SimSun"/>
      <w:sz w:val="26"/>
      <w:szCs w:val="20"/>
    </w:rPr>
  </w:style>
  <w:style w:type="character" w:customStyle="1" w:styleId="BodyTextChar">
    <w:name w:val="Body Text Char"/>
    <w:basedOn w:val="DefaultParagraphFont"/>
    <w:link w:val="BodyText"/>
    <w:rsid w:val="00FF22AE"/>
    <w:rPr>
      <w:rFonts w:ascii="Times New Roman" w:eastAsia="SimSun" w:hAnsi="Times New Roman" w:cs="Times New Roman"/>
      <w:sz w:val="26"/>
      <w:szCs w:val="20"/>
    </w:rPr>
  </w:style>
  <w:style w:type="paragraph" w:styleId="FootnoteText">
    <w:name w:val="footnote text"/>
    <w:basedOn w:val="Normal"/>
    <w:link w:val="FootnoteTextChar"/>
    <w:uiPriority w:val="99"/>
    <w:semiHidden/>
    <w:unhideWhenUsed/>
    <w:rsid w:val="008E6BCA"/>
    <w:rPr>
      <w:sz w:val="20"/>
      <w:szCs w:val="20"/>
    </w:rPr>
  </w:style>
  <w:style w:type="character" w:customStyle="1" w:styleId="FootnoteTextChar">
    <w:name w:val="Footnote Text Char"/>
    <w:basedOn w:val="DefaultParagraphFont"/>
    <w:link w:val="FootnoteText"/>
    <w:uiPriority w:val="99"/>
    <w:semiHidden/>
    <w:rsid w:val="008E6B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6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E253-C0BC-4E31-913D-9EA610CC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Farner, Joyce</cp:lastModifiedBy>
  <cp:revision>6</cp:revision>
  <cp:lastPrinted>2011-11-10T18:34:00Z</cp:lastPrinted>
  <dcterms:created xsi:type="dcterms:W3CDTF">2011-10-28T16:29:00Z</dcterms:created>
  <dcterms:modified xsi:type="dcterms:W3CDTF">2011-11-10T18:34:00Z</dcterms:modified>
</cp:coreProperties>
</file>