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80791C">
        <w:tc>
          <w:tcPr>
            <w:tcW w:w="2448" w:type="dxa"/>
          </w:tcPr>
          <w:p w:rsidR="00327F6C" w:rsidRPr="00BA16B1" w:rsidRDefault="00327F6C">
            <w:pPr>
              <w:rPr>
                <w:color w:val="auto"/>
                <w:sz w:val="26"/>
                <w:szCs w:val="26"/>
              </w:rPr>
            </w:pPr>
          </w:p>
        </w:tc>
        <w:tc>
          <w:tcPr>
            <w:tcW w:w="4230" w:type="dxa"/>
          </w:tcPr>
          <w:p w:rsidR="00327F6C" w:rsidRPr="0080791C" w:rsidRDefault="00115910" w:rsidP="00115910">
            <w:pPr>
              <w:tabs>
                <w:tab w:val="left" w:pos="990"/>
                <w:tab w:val="center" w:pos="2007"/>
              </w:tabs>
              <w:rPr>
                <w:b/>
                <w:color w:val="auto"/>
                <w:sz w:val="26"/>
                <w:szCs w:val="26"/>
              </w:rPr>
            </w:pPr>
            <w:r>
              <w:rPr>
                <w:b/>
                <w:color w:val="auto"/>
                <w:sz w:val="26"/>
                <w:szCs w:val="26"/>
              </w:rPr>
              <w:tab/>
            </w:r>
            <w:r w:rsidR="00327F6C" w:rsidRPr="0080791C">
              <w:rPr>
                <w:b/>
                <w:color w:val="auto"/>
                <w:sz w:val="26"/>
                <w:szCs w:val="26"/>
              </w:rPr>
              <w:t>PENNSYLVANIA</w:t>
            </w:r>
          </w:p>
          <w:p w:rsidR="00327F6C" w:rsidRPr="0080791C" w:rsidRDefault="00327F6C">
            <w:pPr>
              <w:jc w:val="center"/>
              <w:rPr>
                <w:b/>
                <w:color w:val="auto"/>
                <w:sz w:val="26"/>
                <w:szCs w:val="26"/>
              </w:rPr>
            </w:pPr>
            <w:r w:rsidRPr="0080791C">
              <w:rPr>
                <w:b/>
                <w:color w:val="auto"/>
                <w:sz w:val="26"/>
                <w:szCs w:val="26"/>
              </w:rPr>
              <w:t>PUBLIC UTILITY COMMISSION</w:t>
            </w:r>
          </w:p>
          <w:p w:rsidR="00327F6C" w:rsidRPr="0080791C" w:rsidRDefault="00327F6C">
            <w:pPr>
              <w:jc w:val="center"/>
              <w:rPr>
                <w:color w:val="auto"/>
                <w:sz w:val="26"/>
                <w:szCs w:val="26"/>
              </w:rPr>
            </w:pPr>
            <w:r w:rsidRPr="0080791C">
              <w:rPr>
                <w:b/>
                <w:color w:val="auto"/>
                <w:sz w:val="26"/>
                <w:szCs w:val="26"/>
              </w:rPr>
              <w:t>Harrisburg, PA  17105-3265</w:t>
            </w:r>
          </w:p>
        </w:tc>
        <w:tc>
          <w:tcPr>
            <w:tcW w:w="2880" w:type="dxa"/>
          </w:tcPr>
          <w:p w:rsidR="00327F6C" w:rsidRPr="0080791C" w:rsidRDefault="00327F6C">
            <w:pPr>
              <w:jc w:val="center"/>
              <w:rPr>
                <w:color w:val="auto"/>
                <w:sz w:val="26"/>
                <w:szCs w:val="26"/>
              </w:rPr>
            </w:pPr>
          </w:p>
        </w:tc>
      </w:tr>
      <w:tr w:rsidR="00327F6C" w:rsidRPr="0080791C">
        <w:tc>
          <w:tcPr>
            <w:tcW w:w="2448" w:type="dxa"/>
          </w:tcPr>
          <w:p w:rsidR="00327F6C" w:rsidRPr="0080791C" w:rsidRDefault="00327F6C">
            <w:pPr>
              <w:rPr>
                <w:color w:val="auto"/>
                <w:sz w:val="26"/>
                <w:szCs w:val="26"/>
              </w:rPr>
            </w:pPr>
          </w:p>
        </w:tc>
        <w:tc>
          <w:tcPr>
            <w:tcW w:w="4230" w:type="dxa"/>
          </w:tcPr>
          <w:p w:rsidR="00327F6C" w:rsidRPr="0080791C" w:rsidRDefault="00327F6C">
            <w:pPr>
              <w:rPr>
                <w:color w:val="auto"/>
                <w:sz w:val="26"/>
                <w:szCs w:val="26"/>
              </w:rPr>
            </w:pPr>
          </w:p>
        </w:tc>
        <w:tc>
          <w:tcPr>
            <w:tcW w:w="2880" w:type="dxa"/>
          </w:tcPr>
          <w:p w:rsidR="00327F6C" w:rsidRPr="0080791C" w:rsidRDefault="00327F6C">
            <w:pPr>
              <w:rPr>
                <w:color w:val="auto"/>
                <w:sz w:val="26"/>
                <w:szCs w:val="26"/>
              </w:rPr>
            </w:pPr>
          </w:p>
        </w:tc>
      </w:tr>
    </w:tbl>
    <w:p w:rsidR="00327F6C" w:rsidRPr="0080791C" w:rsidRDefault="00327F6C">
      <w:pPr>
        <w:rPr>
          <w:color w:val="auto"/>
          <w:sz w:val="26"/>
          <w:szCs w:val="26"/>
        </w:rPr>
      </w:pPr>
    </w:p>
    <w:tbl>
      <w:tblPr>
        <w:tblW w:w="9576" w:type="dxa"/>
        <w:tblLayout w:type="fixed"/>
        <w:tblLook w:val="0000" w:firstRow="0" w:lastRow="0" w:firstColumn="0" w:lastColumn="0" w:noHBand="0" w:noVBand="0"/>
      </w:tblPr>
      <w:tblGrid>
        <w:gridCol w:w="4248"/>
        <w:gridCol w:w="540"/>
        <w:gridCol w:w="4770"/>
        <w:gridCol w:w="18"/>
      </w:tblGrid>
      <w:tr w:rsidR="00327F6C" w:rsidRPr="0080791C" w:rsidTr="00812B2F">
        <w:trPr>
          <w:gridAfter w:val="1"/>
          <w:wAfter w:w="18" w:type="dxa"/>
        </w:trPr>
        <w:tc>
          <w:tcPr>
            <w:tcW w:w="4248" w:type="dxa"/>
          </w:tcPr>
          <w:p w:rsidR="00327F6C" w:rsidRPr="0080791C" w:rsidRDefault="00327F6C">
            <w:pPr>
              <w:rPr>
                <w:color w:val="auto"/>
                <w:sz w:val="26"/>
                <w:szCs w:val="26"/>
              </w:rPr>
            </w:pPr>
          </w:p>
        </w:tc>
        <w:tc>
          <w:tcPr>
            <w:tcW w:w="5310" w:type="dxa"/>
            <w:gridSpan w:val="2"/>
          </w:tcPr>
          <w:p w:rsidR="00327F6C" w:rsidRPr="0080791C" w:rsidRDefault="00327F6C" w:rsidP="000F42A0">
            <w:pPr>
              <w:ind w:left="720"/>
              <w:rPr>
                <w:color w:val="auto"/>
                <w:sz w:val="26"/>
                <w:szCs w:val="26"/>
              </w:rPr>
            </w:pPr>
            <w:r w:rsidRPr="0080791C">
              <w:rPr>
                <w:color w:val="auto"/>
                <w:sz w:val="26"/>
                <w:szCs w:val="26"/>
              </w:rPr>
              <w:t>Public Meeting held</w:t>
            </w:r>
            <w:r w:rsidR="00802A48" w:rsidRPr="0080791C">
              <w:rPr>
                <w:color w:val="auto"/>
                <w:sz w:val="26"/>
                <w:szCs w:val="26"/>
              </w:rPr>
              <w:t xml:space="preserve"> </w:t>
            </w:r>
            <w:r w:rsidR="0063636E" w:rsidRPr="0080791C">
              <w:rPr>
                <w:color w:val="auto"/>
                <w:sz w:val="26"/>
                <w:szCs w:val="26"/>
              </w:rPr>
              <w:t>November 10</w:t>
            </w:r>
            <w:r w:rsidR="00812B2F" w:rsidRPr="0080791C">
              <w:rPr>
                <w:color w:val="auto"/>
                <w:sz w:val="26"/>
                <w:szCs w:val="26"/>
              </w:rPr>
              <w:t>, 2011</w:t>
            </w:r>
          </w:p>
        </w:tc>
      </w:tr>
      <w:tr w:rsidR="00327F6C" w:rsidRPr="0080791C" w:rsidTr="00812B2F">
        <w:trPr>
          <w:gridAfter w:val="1"/>
          <w:wAfter w:w="18" w:type="dxa"/>
        </w:trPr>
        <w:tc>
          <w:tcPr>
            <w:tcW w:w="4248" w:type="dxa"/>
          </w:tcPr>
          <w:p w:rsidR="00327F6C" w:rsidRPr="0080791C" w:rsidRDefault="00327F6C">
            <w:pPr>
              <w:rPr>
                <w:color w:val="auto"/>
                <w:sz w:val="26"/>
                <w:szCs w:val="26"/>
              </w:rPr>
            </w:pPr>
            <w:r w:rsidRPr="0080791C">
              <w:rPr>
                <w:color w:val="auto"/>
                <w:sz w:val="26"/>
                <w:szCs w:val="26"/>
              </w:rPr>
              <w:t>Commissioners Present:</w:t>
            </w:r>
          </w:p>
        </w:tc>
        <w:tc>
          <w:tcPr>
            <w:tcW w:w="5310" w:type="dxa"/>
            <w:gridSpan w:val="2"/>
          </w:tcPr>
          <w:p w:rsidR="00327F6C" w:rsidRPr="0080791C" w:rsidRDefault="00327F6C">
            <w:pPr>
              <w:rPr>
                <w:color w:val="auto"/>
                <w:sz w:val="26"/>
                <w:szCs w:val="26"/>
              </w:rPr>
            </w:pPr>
          </w:p>
        </w:tc>
      </w:tr>
      <w:tr w:rsidR="00812B2F" w:rsidRPr="0080791C" w:rsidTr="00812B2F">
        <w:tblPrEx>
          <w:tblLook w:val="04A0" w:firstRow="1" w:lastRow="0" w:firstColumn="1" w:lastColumn="0" w:noHBand="0" w:noVBand="1"/>
        </w:tblPrEx>
        <w:tc>
          <w:tcPr>
            <w:tcW w:w="9576" w:type="dxa"/>
            <w:gridSpan w:val="4"/>
          </w:tcPr>
          <w:p w:rsidR="00812B2F" w:rsidRPr="0080791C" w:rsidRDefault="00812B2F" w:rsidP="00812B2F">
            <w:pPr>
              <w:rPr>
                <w:rFonts w:ascii="Times New (W1)" w:hAnsi="Times New (W1)"/>
                <w:color w:val="auto"/>
                <w:sz w:val="26"/>
              </w:rPr>
            </w:pPr>
          </w:p>
          <w:p w:rsidR="00812B2F" w:rsidRPr="0080791C" w:rsidRDefault="00812B2F" w:rsidP="00812B2F">
            <w:pPr>
              <w:ind w:firstLine="720"/>
              <w:rPr>
                <w:color w:val="auto"/>
                <w:sz w:val="26"/>
                <w:szCs w:val="26"/>
              </w:rPr>
            </w:pPr>
            <w:r w:rsidRPr="0080791C">
              <w:rPr>
                <w:color w:val="auto"/>
                <w:sz w:val="26"/>
                <w:szCs w:val="26"/>
              </w:rPr>
              <w:t xml:space="preserve">Robert F. Powelson, Chairman </w:t>
            </w:r>
          </w:p>
          <w:p w:rsidR="00812B2F" w:rsidRPr="0080791C" w:rsidRDefault="00812B2F" w:rsidP="00812B2F">
            <w:pPr>
              <w:ind w:left="720"/>
              <w:rPr>
                <w:color w:val="auto"/>
                <w:sz w:val="26"/>
                <w:szCs w:val="26"/>
              </w:rPr>
            </w:pPr>
            <w:r w:rsidRPr="0080791C">
              <w:rPr>
                <w:color w:val="auto"/>
                <w:sz w:val="26"/>
                <w:szCs w:val="26"/>
              </w:rPr>
              <w:t>John F. Coleman,</w:t>
            </w:r>
            <w:r w:rsidR="00B51029" w:rsidRPr="0080791C">
              <w:rPr>
                <w:color w:val="auto"/>
                <w:sz w:val="26"/>
                <w:szCs w:val="26"/>
              </w:rPr>
              <w:t xml:space="preserve"> Jr., </w:t>
            </w:r>
            <w:r w:rsidRPr="0080791C">
              <w:rPr>
                <w:color w:val="auto"/>
                <w:sz w:val="26"/>
                <w:szCs w:val="26"/>
              </w:rPr>
              <w:t>Vice</w:t>
            </w:r>
            <w:r w:rsidR="00B51029" w:rsidRPr="0080791C">
              <w:rPr>
                <w:color w:val="auto"/>
                <w:sz w:val="26"/>
                <w:szCs w:val="26"/>
              </w:rPr>
              <w:t xml:space="preserve"> </w:t>
            </w:r>
            <w:r w:rsidRPr="0080791C">
              <w:rPr>
                <w:color w:val="auto"/>
                <w:sz w:val="26"/>
                <w:szCs w:val="26"/>
              </w:rPr>
              <w:t xml:space="preserve">Chairman </w:t>
            </w:r>
          </w:p>
          <w:p w:rsidR="00812B2F" w:rsidRPr="0080791C" w:rsidRDefault="00812B2F" w:rsidP="00812B2F">
            <w:pPr>
              <w:ind w:left="720"/>
              <w:rPr>
                <w:color w:val="auto"/>
                <w:sz w:val="26"/>
                <w:szCs w:val="26"/>
              </w:rPr>
            </w:pPr>
            <w:r w:rsidRPr="0080791C">
              <w:rPr>
                <w:color w:val="auto"/>
                <w:sz w:val="26"/>
                <w:szCs w:val="26"/>
              </w:rPr>
              <w:t>Wayne E. Gardner</w:t>
            </w:r>
          </w:p>
          <w:p w:rsidR="00812B2F" w:rsidRPr="0080791C" w:rsidRDefault="00812B2F" w:rsidP="00812B2F">
            <w:pPr>
              <w:ind w:left="720"/>
              <w:rPr>
                <w:color w:val="auto"/>
                <w:sz w:val="26"/>
                <w:szCs w:val="26"/>
              </w:rPr>
            </w:pPr>
            <w:r w:rsidRPr="0080791C">
              <w:rPr>
                <w:color w:val="auto"/>
                <w:sz w:val="26"/>
                <w:szCs w:val="26"/>
              </w:rPr>
              <w:t>James H. Cawley</w:t>
            </w:r>
          </w:p>
          <w:p w:rsidR="00812B2F" w:rsidRPr="0080791C" w:rsidRDefault="00812B2F" w:rsidP="00812B2F">
            <w:pPr>
              <w:ind w:left="720"/>
              <w:rPr>
                <w:color w:val="auto"/>
                <w:sz w:val="26"/>
                <w:szCs w:val="26"/>
              </w:rPr>
            </w:pPr>
            <w:r w:rsidRPr="0080791C">
              <w:rPr>
                <w:color w:val="auto"/>
                <w:sz w:val="26"/>
                <w:szCs w:val="26"/>
              </w:rPr>
              <w:t>Pamela A. Witmer</w:t>
            </w:r>
          </w:p>
          <w:p w:rsidR="00812B2F" w:rsidRPr="0080791C" w:rsidRDefault="00812B2F" w:rsidP="00812B2F">
            <w:pPr>
              <w:rPr>
                <w:rFonts w:ascii="Times New (W1)" w:hAnsi="Times New (W1)"/>
                <w:color w:val="auto"/>
                <w:sz w:val="26"/>
              </w:rPr>
            </w:pPr>
          </w:p>
          <w:p w:rsidR="00812B2F" w:rsidRPr="0080791C" w:rsidRDefault="00812B2F" w:rsidP="00812B2F">
            <w:pPr>
              <w:rPr>
                <w:rFonts w:ascii="Times New (W1)" w:hAnsi="Times New (W1)"/>
                <w:color w:val="auto"/>
                <w:sz w:val="26"/>
              </w:rPr>
            </w:pPr>
          </w:p>
          <w:p w:rsidR="00812B2F" w:rsidRPr="0080791C" w:rsidRDefault="00812B2F" w:rsidP="00812B2F">
            <w:pPr>
              <w:rPr>
                <w:rFonts w:ascii="Times New (W1)" w:hAnsi="Times New (W1)"/>
                <w:color w:val="auto"/>
                <w:sz w:val="26"/>
              </w:rPr>
            </w:pPr>
          </w:p>
        </w:tc>
      </w:tr>
      <w:tr w:rsidR="00812B2F" w:rsidRPr="0080791C" w:rsidTr="00812B2F">
        <w:tblPrEx>
          <w:tblLook w:val="04A0" w:firstRow="1" w:lastRow="0" w:firstColumn="1" w:lastColumn="0" w:noHBand="0" w:noVBand="1"/>
        </w:tblPrEx>
        <w:tc>
          <w:tcPr>
            <w:tcW w:w="4788" w:type="dxa"/>
            <w:gridSpan w:val="2"/>
          </w:tcPr>
          <w:p w:rsidR="00812B2F" w:rsidRPr="0080791C" w:rsidRDefault="00812B2F" w:rsidP="00812B2F">
            <w:pPr>
              <w:rPr>
                <w:rFonts w:ascii="Times New (W1)" w:hAnsi="Times New (W1)"/>
                <w:color w:val="auto"/>
                <w:sz w:val="26"/>
              </w:rPr>
            </w:pPr>
            <w:r w:rsidRPr="0080791C">
              <w:rPr>
                <w:rFonts w:ascii="Times New (W1)" w:hAnsi="Times New (W1)"/>
                <w:color w:val="auto"/>
                <w:sz w:val="26"/>
              </w:rPr>
              <w:t>License Application of EnerPenn USA, LLC for Approval to Offer, Render, Furnish or Supply Electricity or Electric Generation Services as a Supplier of Retail Electric Power</w:t>
            </w:r>
          </w:p>
          <w:p w:rsidR="00812B2F" w:rsidRPr="0080791C" w:rsidRDefault="00812B2F" w:rsidP="00812B2F">
            <w:pPr>
              <w:rPr>
                <w:rFonts w:ascii="Times New (W1)" w:hAnsi="Times New (W1)"/>
                <w:color w:val="auto"/>
                <w:sz w:val="26"/>
              </w:rPr>
            </w:pPr>
          </w:p>
        </w:tc>
        <w:tc>
          <w:tcPr>
            <w:tcW w:w="4788" w:type="dxa"/>
            <w:gridSpan w:val="2"/>
          </w:tcPr>
          <w:p w:rsidR="00812B2F" w:rsidRPr="0080791C" w:rsidRDefault="00812B2F" w:rsidP="00812B2F">
            <w:pPr>
              <w:jc w:val="right"/>
              <w:rPr>
                <w:rFonts w:ascii="Times New (W1)" w:hAnsi="Times New (W1)"/>
                <w:color w:val="auto"/>
                <w:sz w:val="26"/>
              </w:rPr>
            </w:pPr>
            <w:r w:rsidRPr="0080791C">
              <w:rPr>
                <w:rFonts w:ascii="Times New (W1)" w:hAnsi="Times New (W1)"/>
                <w:color w:val="auto"/>
                <w:sz w:val="26"/>
              </w:rPr>
              <w:t>Docket No. A-2011-2248532</w:t>
            </w:r>
          </w:p>
          <w:p w:rsidR="00812B2F" w:rsidRPr="0080791C" w:rsidRDefault="00812B2F" w:rsidP="00812B2F">
            <w:pPr>
              <w:jc w:val="right"/>
              <w:rPr>
                <w:rFonts w:ascii="Times New (W1)" w:hAnsi="Times New (W1)"/>
                <w:color w:val="auto"/>
                <w:sz w:val="26"/>
              </w:rPr>
            </w:pPr>
          </w:p>
        </w:tc>
      </w:tr>
    </w:tbl>
    <w:p w:rsidR="00327F6C" w:rsidRPr="0080791C" w:rsidRDefault="00327F6C">
      <w:pPr>
        <w:jc w:val="center"/>
        <w:rPr>
          <w:b/>
          <w:color w:val="auto"/>
          <w:sz w:val="26"/>
          <w:szCs w:val="26"/>
        </w:rPr>
      </w:pPr>
    </w:p>
    <w:p w:rsidR="00327F6C" w:rsidRPr="0080791C" w:rsidRDefault="00327F6C">
      <w:pPr>
        <w:pStyle w:val="Heading1"/>
        <w:rPr>
          <w:color w:val="auto"/>
          <w:szCs w:val="26"/>
        </w:rPr>
      </w:pPr>
      <w:r w:rsidRPr="0080791C">
        <w:rPr>
          <w:color w:val="auto"/>
          <w:szCs w:val="26"/>
        </w:rPr>
        <w:t>ORDER</w:t>
      </w:r>
    </w:p>
    <w:p w:rsidR="00327F6C" w:rsidRPr="0080791C" w:rsidRDefault="00327F6C">
      <w:pPr>
        <w:spacing w:line="360" w:lineRule="auto"/>
        <w:jc w:val="center"/>
        <w:rPr>
          <w:b/>
          <w:color w:val="auto"/>
          <w:sz w:val="26"/>
          <w:szCs w:val="26"/>
        </w:rPr>
      </w:pPr>
    </w:p>
    <w:p w:rsidR="00115910" w:rsidRPr="0080791C" w:rsidRDefault="00327F6C">
      <w:pPr>
        <w:spacing w:line="360" w:lineRule="auto"/>
        <w:rPr>
          <w:b/>
          <w:color w:val="auto"/>
          <w:sz w:val="26"/>
          <w:szCs w:val="26"/>
        </w:rPr>
      </w:pPr>
      <w:r w:rsidRPr="0080791C">
        <w:rPr>
          <w:b/>
          <w:color w:val="auto"/>
          <w:sz w:val="26"/>
          <w:szCs w:val="26"/>
        </w:rPr>
        <w:t>BY THE COMMISSION:</w:t>
      </w:r>
    </w:p>
    <w:p w:rsidR="00B51029" w:rsidRPr="0080791C" w:rsidRDefault="00B51029">
      <w:pPr>
        <w:spacing w:line="360" w:lineRule="auto"/>
        <w:rPr>
          <w:b/>
          <w:color w:val="auto"/>
          <w:sz w:val="26"/>
          <w:szCs w:val="26"/>
        </w:rPr>
      </w:pPr>
    </w:p>
    <w:p w:rsidR="00327F6C" w:rsidRPr="0080791C" w:rsidRDefault="00327F6C" w:rsidP="00385F6C">
      <w:pPr>
        <w:tabs>
          <w:tab w:val="left" w:pos="-1440"/>
          <w:tab w:val="left" w:pos="-720"/>
        </w:tabs>
        <w:suppressAutoHyphens/>
        <w:spacing w:line="360" w:lineRule="auto"/>
        <w:ind w:firstLine="1440"/>
        <w:rPr>
          <w:color w:val="auto"/>
          <w:sz w:val="26"/>
          <w:szCs w:val="26"/>
        </w:rPr>
      </w:pPr>
      <w:r w:rsidRPr="0080791C">
        <w:rPr>
          <w:color w:val="auto"/>
          <w:sz w:val="26"/>
          <w:szCs w:val="26"/>
        </w:rPr>
        <w:t xml:space="preserve">On </w:t>
      </w:r>
      <w:r w:rsidR="00326EA2" w:rsidRPr="0080791C">
        <w:rPr>
          <w:color w:val="auto"/>
          <w:sz w:val="26"/>
          <w:szCs w:val="26"/>
        </w:rPr>
        <w:t>June 17</w:t>
      </w:r>
      <w:r w:rsidR="007E6C04" w:rsidRPr="0080791C">
        <w:rPr>
          <w:color w:val="auto"/>
          <w:sz w:val="26"/>
          <w:szCs w:val="26"/>
        </w:rPr>
        <w:t>, 20</w:t>
      </w:r>
      <w:r w:rsidR="00326EA2" w:rsidRPr="0080791C">
        <w:rPr>
          <w:color w:val="auto"/>
          <w:sz w:val="26"/>
          <w:szCs w:val="26"/>
        </w:rPr>
        <w:t>11</w:t>
      </w:r>
      <w:r w:rsidRPr="0080791C">
        <w:rPr>
          <w:color w:val="auto"/>
          <w:sz w:val="26"/>
          <w:szCs w:val="26"/>
        </w:rPr>
        <w:t xml:space="preserve">, </w:t>
      </w:r>
      <w:r w:rsidR="0042099B" w:rsidRPr="0080791C">
        <w:rPr>
          <w:color w:val="auto"/>
          <w:sz w:val="26"/>
          <w:szCs w:val="26"/>
        </w:rPr>
        <w:t>Ener</w:t>
      </w:r>
      <w:r w:rsidR="00326EA2" w:rsidRPr="0080791C">
        <w:rPr>
          <w:color w:val="auto"/>
          <w:sz w:val="26"/>
          <w:szCs w:val="26"/>
        </w:rPr>
        <w:t>Penn USA, LLC d/b/a Y.E.P., d/b/a YEP Energy (EnerPenn)</w:t>
      </w:r>
      <w:r w:rsidRPr="0080791C">
        <w:rPr>
          <w:color w:val="auto"/>
          <w:sz w:val="26"/>
          <w:szCs w:val="26"/>
        </w:rPr>
        <w:t xml:space="preserve"> filed an application seeking to become a licensed electric generation supplier</w:t>
      </w:r>
      <w:r w:rsidR="00096F00" w:rsidRPr="0080791C">
        <w:rPr>
          <w:color w:val="auto"/>
          <w:sz w:val="26"/>
          <w:szCs w:val="26"/>
        </w:rPr>
        <w:t xml:space="preserve"> (EGS)</w:t>
      </w:r>
      <w:r w:rsidRPr="0080791C">
        <w:rPr>
          <w:color w:val="auto"/>
          <w:sz w:val="26"/>
          <w:szCs w:val="26"/>
        </w:rPr>
        <w:t xml:space="preserve"> in the</w:t>
      </w:r>
      <w:r w:rsidR="00F64821" w:rsidRPr="0080791C">
        <w:rPr>
          <w:color w:val="auto"/>
          <w:sz w:val="26"/>
          <w:szCs w:val="26"/>
        </w:rPr>
        <w:t xml:space="preserve"> </w:t>
      </w:r>
      <w:r w:rsidR="00626A95" w:rsidRPr="0080791C">
        <w:rPr>
          <w:color w:val="auto"/>
          <w:sz w:val="26"/>
          <w:szCs w:val="26"/>
        </w:rPr>
        <w:t xml:space="preserve">electric distribution company </w:t>
      </w:r>
      <w:r w:rsidR="00F64821" w:rsidRPr="0080791C">
        <w:rPr>
          <w:color w:val="auto"/>
          <w:sz w:val="26"/>
          <w:szCs w:val="26"/>
        </w:rPr>
        <w:t xml:space="preserve">service </w:t>
      </w:r>
      <w:r w:rsidR="0063636E" w:rsidRPr="0080791C">
        <w:rPr>
          <w:color w:val="auto"/>
          <w:sz w:val="26"/>
          <w:szCs w:val="26"/>
        </w:rPr>
        <w:t>territories</w:t>
      </w:r>
      <w:r w:rsidR="00FC7963" w:rsidRPr="0080791C">
        <w:rPr>
          <w:color w:val="auto"/>
          <w:sz w:val="26"/>
          <w:szCs w:val="26"/>
        </w:rPr>
        <w:t xml:space="preserve"> </w:t>
      </w:r>
      <w:r w:rsidR="007F39CF" w:rsidRPr="0080791C">
        <w:rPr>
          <w:color w:val="auto"/>
          <w:sz w:val="26"/>
          <w:szCs w:val="26"/>
        </w:rPr>
        <w:t xml:space="preserve">throughout the </w:t>
      </w:r>
      <w:r w:rsidRPr="0080791C">
        <w:rPr>
          <w:color w:val="auto"/>
          <w:sz w:val="26"/>
          <w:szCs w:val="26"/>
        </w:rPr>
        <w:t>Commonwealth of Pennsylvania.</w:t>
      </w:r>
      <w:r w:rsidR="007409D4" w:rsidRPr="0080791C">
        <w:rPr>
          <w:color w:val="auto"/>
          <w:sz w:val="26"/>
          <w:szCs w:val="26"/>
        </w:rPr>
        <w:t xml:space="preserve"> </w:t>
      </w:r>
      <w:r w:rsidRPr="0080791C">
        <w:rPr>
          <w:color w:val="auto"/>
          <w:sz w:val="26"/>
          <w:szCs w:val="26"/>
        </w:rPr>
        <w:t xml:space="preserve"> The application was filed pursuant to the Commission’s regulations at 52 Pa. Code §</w:t>
      </w:r>
      <w:r w:rsidR="00C22737" w:rsidRPr="0080791C">
        <w:rPr>
          <w:color w:val="auto"/>
          <w:sz w:val="26"/>
          <w:szCs w:val="26"/>
        </w:rPr>
        <w:t>§</w:t>
      </w:r>
      <w:r w:rsidRPr="0080791C">
        <w:rPr>
          <w:color w:val="auto"/>
          <w:sz w:val="26"/>
          <w:szCs w:val="26"/>
        </w:rPr>
        <w:t>54.31</w:t>
      </w:r>
      <w:r w:rsidR="007409D4" w:rsidRPr="0080791C">
        <w:rPr>
          <w:color w:val="auto"/>
          <w:sz w:val="26"/>
          <w:szCs w:val="26"/>
        </w:rPr>
        <w:t>-</w:t>
      </w:r>
      <w:r w:rsidRPr="0080791C">
        <w:rPr>
          <w:color w:val="auto"/>
          <w:sz w:val="26"/>
          <w:szCs w:val="26"/>
        </w:rPr>
        <w:t>54.43, which became effective on August 8, 1998</w:t>
      </w:r>
      <w:r w:rsidR="00D66464" w:rsidRPr="0080791C">
        <w:rPr>
          <w:color w:val="auto"/>
          <w:sz w:val="26"/>
          <w:szCs w:val="26"/>
        </w:rPr>
        <w:t>,</w:t>
      </w:r>
      <w:r w:rsidRPr="0080791C">
        <w:rPr>
          <w:color w:val="auto"/>
          <w:sz w:val="26"/>
          <w:szCs w:val="26"/>
        </w:rPr>
        <w:t xml:space="preserve"> and which were established under Section 2809 of the Public Utility Code, 66 Pa. C.S. §2809.</w:t>
      </w:r>
    </w:p>
    <w:p w:rsidR="00327F6C" w:rsidRPr="0080791C" w:rsidRDefault="00327F6C">
      <w:pPr>
        <w:tabs>
          <w:tab w:val="left" w:pos="-1440"/>
          <w:tab w:val="left" w:pos="-720"/>
        </w:tabs>
        <w:suppressAutoHyphens/>
        <w:spacing w:line="360" w:lineRule="auto"/>
        <w:rPr>
          <w:color w:val="auto"/>
          <w:spacing w:val="-3"/>
          <w:kern w:val="1"/>
          <w:sz w:val="26"/>
          <w:szCs w:val="26"/>
        </w:rPr>
      </w:pPr>
    </w:p>
    <w:p w:rsidR="00B51029" w:rsidRPr="0080791C" w:rsidRDefault="00B51029">
      <w:pPr>
        <w:tabs>
          <w:tab w:val="left" w:pos="-1440"/>
          <w:tab w:val="left" w:pos="-720"/>
        </w:tabs>
        <w:suppressAutoHyphens/>
        <w:spacing w:line="360" w:lineRule="auto"/>
        <w:rPr>
          <w:color w:val="auto"/>
          <w:spacing w:val="-3"/>
          <w:kern w:val="1"/>
          <w:sz w:val="26"/>
          <w:szCs w:val="26"/>
        </w:rPr>
      </w:pPr>
    </w:p>
    <w:p w:rsidR="00327F6C" w:rsidRPr="0080791C" w:rsidRDefault="00327F6C" w:rsidP="007409D4">
      <w:pPr>
        <w:tabs>
          <w:tab w:val="left" w:pos="-720"/>
        </w:tabs>
        <w:suppressAutoHyphens/>
        <w:spacing w:line="480" w:lineRule="auto"/>
        <w:ind w:firstLine="1440"/>
        <w:rPr>
          <w:color w:val="auto"/>
          <w:spacing w:val="-3"/>
          <w:kern w:val="1"/>
          <w:sz w:val="26"/>
          <w:szCs w:val="26"/>
        </w:rPr>
      </w:pPr>
      <w:r w:rsidRPr="0080791C">
        <w:rPr>
          <w:color w:val="auto"/>
          <w:spacing w:val="-3"/>
          <w:kern w:val="1"/>
          <w:sz w:val="26"/>
          <w:szCs w:val="26"/>
        </w:rPr>
        <w:lastRenderedPageBreak/>
        <w:t>§2809 provides in pertinent part that:</w:t>
      </w:r>
    </w:p>
    <w:p w:rsidR="00327F6C" w:rsidRPr="0080791C" w:rsidRDefault="00327F6C" w:rsidP="00626A95">
      <w:pPr>
        <w:pStyle w:val="BlockText"/>
        <w:ind w:left="1440" w:firstLine="0"/>
        <w:jc w:val="left"/>
        <w:rPr>
          <w:color w:val="auto"/>
          <w:szCs w:val="26"/>
        </w:rPr>
      </w:pPr>
      <w:r w:rsidRPr="0080791C">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80791C" w:rsidRDefault="00327F6C">
      <w:pPr>
        <w:tabs>
          <w:tab w:val="left" w:pos="0"/>
        </w:tabs>
        <w:suppressAutoHyphens/>
        <w:jc w:val="both"/>
        <w:rPr>
          <w:color w:val="auto"/>
          <w:spacing w:val="-3"/>
          <w:kern w:val="1"/>
          <w:sz w:val="26"/>
          <w:szCs w:val="26"/>
        </w:rPr>
      </w:pPr>
    </w:p>
    <w:p w:rsidR="00327F6C" w:rsidRPr="0080791C" w:rsidRDefault="00327F6C">
      <w:pPr>
        <w:tabs>
          <w:tab w:val="left" w:pos="0"/>
        </w:tabs>
        <w:suppressAutoHyphens/>
        <w:ind w:left="720" w:hanging="720"/>
        <w:jc w:val="both"/>
        <w:rPr>
          <w:color w:val="auto"/>
          <w:spacing w:val="-3"/>
          <w:kern w:val="1"/>
          <w:sz w:val="26"/>
          <w:szCs w:val="26"/>
        </w:rPr>
      </w:pPr>
      <w:r w:rsidRPr="0080791C">
        <w:rPr>
          <w:color w:val="auto"/>
          <w:spacing w:val="-3"/>
          <w:kern w:val="1"/>
          <w:sz w:val="26"/>
          <w:szCs w:val="26"/>
        </w:rPr>
        <w:t>An electric generation supplier is defined as:</w:t>
      </w:r>
    </w:p>
    <w:p w:rsidR="00327F6C" w:rsidRPr="0080791C" w:rsidRDefault="00327F6C">
      <w:pPr>
        <w:tabs>
          <w:tab w:val="left" w:pos="0"/>
        </w:tabs>
        <w:suppressAutoHyphens/>
        <w:ind w:left="720" w:hanging="720"/>
        <w:jc w:val="both"/>
        <w:rPr>
          <w:color w:val="auto"/>
          <w:spacing w:val="-3"/>
          <w:kern w:val="1"/>
          <w:sz w:val="26"/>
          <w:szCs w:val="26"/>
        </w:rPr>
      </w:pPr>
    </w:p>
    <w:p w:rsidR="00327F6C" w:rsidRPr="0080791C" w:rsidRDefault="00327F6C" w:rsidP="00626A95">
      <w:pPr>
        <w:tabs>
          <w:tab w:val="left" w:pos="0"/>
        </w:tabs>
        <w:suppressAutoHyphens/>
        <w:ind w:left="1440" w:right="806"/>
        <w:rPr>
          <w:color w:val="auto"/>
          <w:spacing w:val="-3"/>
          <w:kern w:val="1"/>
          <w:sz w:val="26"/>
          <w:szCs w:val="26"/>
        </w:rPr>
      </w:pPr>
      <w:r w:rsidRPr="0080791C">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80791C">
        <w:rPr>
          <w:color w:val="auto"/>
          <w:spacing w:val="-3"/>
          <w:kern w:val="1"/>
          <w:sz w:val="26"/>
          <w:szCs w:val="26"/>
        </w:rPr>
        <w:t xml:space="preserve"> electricity or related services</w:t>
      </w:r>
      <w:r w:rsidRPr="0080791C">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sidRPr="0080791C">
        <w:rPr>
          <w:color w:val="auto"/>
          <w:spacing w:val="-3"/>
          <w:kern w:val="1"/>
          <w:sz w:val="26"/>
          <w:szCs w:val="26"/>
        </w:rPr>
        <w:t>electric distribution company.</w:t>
      </w:r>
      <w:r w:rsidR="002465FA" w:rsidRPr="0080791C">
        <w:rPr>
          <w:color w:val="auto"/>
          <w:spacing w:val="-3"/>
          <w:kern w:val="1"/>
          <w:sz w:val="26"/>
          <w:szCs w:val="26"/>
        </w:rPr>
        <w:t xml:space="preserve">  </w:t>
      </w:r>
      <w:r w:rsidRPr="0080791C">
        <w:rPr>
          <w:color w:val="auto"/>
          <w:spacing w:val="-3"/>
          <w:kern w:val="1"/>
          <w:sz w:val="26"/>
          <w:szCs w:val="26"/>
        </w:rPr>
        <w:t>66 Pa. C.S. §2803.</w:t>
      </w:r>
    </w:p>
    <w:p w:rsidR="00327F6C" w:rsidRPr="0080791C" w:rsidRDefault="00327F6C">
      <w:pPr>
        <w:tabs>
          <w:tab w:val="left" w:pos="0"/>
        </w:tabs>
        <w:suppressAutoHyphens/>
        <w:spacing w:line="360" w:lineRule="auto"/>
        <w:jc w:val="both"/>
        <w:rPr>
          <w:color w:val="auto"/>
          <w:spacing w:val="-3"/>
          <w:kern w:val="1"/>
          <w:sz w:val="26"/>
          <w:szCs w:val="26"/>
        </w:rPr>
      </w:pPr>
    </w:p>
    <w:p w:rsidR="0083254A" w:rsidRPr="0080791C" w:rsidRDefault="0042099B" w:rsidP="0083254A">
      <w:pPr>
        <w:tabs>
          <w:tab w:val="left" w:pos="0"/>
        </w:tabs>
        <w:suppressAutoHyphens/>
        <w:spacing w:line="360" w:lineRule="auto"/>
        <w:ind w:firstLine="1440"/>
        <w:rPr>
          <w:color w:val="auto"/>
          <w:sz w:val="26"/>
          <w:szCs w:val="26"/>
        </w:rPr>
      </w:pPr>
      <w:r w:rsidRPr="0080791C">
        <w:rPr>
          <w:color w:val="auto"/>
          <w:sz w:val="26"/>
          <w:szCs w:val="26"/>
        </w:rPr>
        <w:t>Ener</w:t>
      </w:r>
      <w:r w:rsidR="007F39CF" w:rsidRPr="0080791C">
        <w:rPr>
          <w:color w:val="auto"/>
          <w:sz w:val="26"/>
          <w:szCs w:val="26"/>
        </w:rPr>
        <w:t>Penn</w:t>
      </w:r>
      <w:r w:rsidR="001431AD" w:rsidRPr="0080791C">
        <w:rPr>
          <w:color w:val="auto"/>
          <w:sz w:val="26"/>
          <w:szCs w:val="26"/>
        </w:rPr>
        <w:t xml:space="preserve"> </w:t>
      </w:r>
      <w:r w:rsidR="00DE7122" w:rsidRPr="0080791C">
        <w:rPr>
          <w:color w:val="auto"/>
          <w:sz w:val="26"/>
          <w:szCs w:val="26"/>
        </w:rPr>
        <w:t xml:space="preserve">is a </w:t>
      </w:r>
      <w:r w:rsidR="001E2FD9" w:rsidRPr="0080791C">
        <w:rPr>
          <w:color w:val="auto"/>
          <w:sz w:val="26"/>
          <w:szCs w:val="26"/>
        </w:rPr>
        <w:t xml:space="preserve">foreign </w:t>
      </w:r>
      <w:r w:rsidR="007F39CF" w:rsidRPr="0080791C">
        <w:rPr>
          <w:color w:val="auto"/>
          <w:sz w:val="26"/>
          <w:szCs w:val="26"/>
        </w:rPr>
        <w:t>limited liability company</w:t>
      </w:r>
      <w:r w:rsidR="001927B0" w:rsidRPr="0080791C">
        <w:rPr>
          <w:color w:val="auto"/>
          <w:sz w:val="26"/>
          <w:szCs w:val="26"/>
        </w:rPr>
        <w:t>,</w:t>
      </w:r>
      <w:r w:rsidR="00DE7122" w:rsidRPr="0080791C">
        <w:rPr>
          <w:color w:val="auto"/>
          <w:sz w:val="26"/>
          <w:szCs w:val="26"/>
        </w:rPr>
        <w:t xml:space="preserve"> </w:t>
      </w:r>
      <w:r w:rsidR="001A5F3C" w:rsidRPr="0080791C">
        <w:rPr>
          <w:color w:val="auto"/>
          <w:sz w:val="26"/>
          <w:szCs w:val="26"/>
        </w:rPr>
        <w:t>organized</w:t>
      </w:r>
      <w:r w:rsidR="00CB2837" w:rsidRPr="0080791C">
        <w:rPr>
          <w:color w:val="auto"/>
          <w:sz w:val="26"/>
          <w:szCs w:val="26"/>
        </w:rPr>
        <w:t xml:space="preserve"> in the </w:t>
      </w:r>
      <w:r w:rsidR="001E2FD9" w:rsidRPr="0080791C">
        <w:rPr>
          <w:color w:val="auto"/>
          <w:sz w:val="26"/>
          <w:szCs w:val="26"/>
        </w:rPr>
        <w:t xml:space="preserve">State of </w:t>
      </w:r>
      <w:r w:rsidR="007F39CF" w:rsidRPr="0080791C">
        <w:rPr>
          <w:color w:val="auto"/>
          <w:sz w:val="26"/>
          <w:szCs w:val="26"/>
        </w:rPr>
        <w:t>Texas</w:t>
      </w:r>
      <w:r w:rsidR="006D7FE8" w:rsidRPr="0080791C">
        <w:rPr>
          <w:color w:val="auto"/>
          <w:sz w:val="26"/>
          <w:szCs w:val="26"/>
        </w:rPr>
        <w:t xml:space="preserve"> </w:t>
      </w:r>
      <w:r w:rsidR="006F2526" w:rsidRPr="0080791C">
        <w:rPr>
          <w:color w:val="auto"/>
          <w:sz w:val="26"/>
          <w:szCs w:val="26"/>
        </w:rPr>
        <w:t xml:space="preserve">as of </w:t>
      </w:r>
      <w:r w:rsidR="007F39CF" w:rsidRPr="0080791C">
        <w:rPr>
          <w:color w:val="auto"/>
          <w:sz w:val="26"/>
          <w:szCs w:val="26"/>
        </w:rPr>
        <w:t>April 6, 2011</w:t>
      </w:r>
      <w:r w:rsidR="00FD31F9" w:rsidRPr="0080791C">
        <w:rPr>
          <w:color w:val="auto"/>
          <w:sz w:val="26"/>
          <w:szCs w:val="26"/>
        </w:rPr>
        <w:t>,</w:t>
      </w:r>
      <w:r w:rsidR="00B11E8F" w:rsidRPr="0080791C">
        <w:rPr>
          <w:color w:val="auto"/>
          <w:sz w:val="26"/>
          <w:szCs w:val="26"/>
        </w:rPr>
        <w:t xml:space="preserve"> and registered to do</w:t>
      </w:r>
      <w:r w:rsidR="00560908" w:rsidRPr="0080791C">
        <w:rPr>
          <w:color w:val="auto"/>
          <w:sz w:val="26"/>
          <w:szCs w:val="26"/>
        </w:rPr>
        <w:t xml:space="preserve"> business in Pennsylvania as of</w:t>
      </w:r>
      <w:r w:rsidR="00FD31F9" w:rsidRPr="0080791C">
        <w:rPr>
          <w:color w:val="auto"/>
          <w:sz w:val="26"/>
          <w:szCs w:val="26"/>
        </w:rPr>
        <w:t xml:space="preserve"> </w:t>
      </w:r>
      <w:r w:rsidR="007F39CF" w:rsidRPr="0080791C">
        <w:rPr>
          <w:color w:val="auto"/>
          <w:sz w:val="26"/>
          <w:szCs w:val="26"/>
        </w:rPr>
        <w:t>April 21, 2011</w:t>
      </w:r>
      <w:r w:rsidR="006F2526" w:rsidRPr="0080791C">
        <w:rPr>
          <w:color w:val="auto"/>
          <w:sz w:val="26"/>
          <w:szCs w:val="26"/>
        </w:rPr>
        <w:t>.</w:t>
      </w:r>
      <w:r w:rsidR="00646996" w:rsidRPr="0080791C">
        <w:rPr>
          <w:color w:val="auto"/>
          <w:sz w:val="26"/>
          <w:szCs w:val="26"/>
        </w:rPr>
        <w:t xml:space="preserve">  </w:t>
      </w:r>
      <w:r w:rsidRPr="0080791C">
        <w:rPr>
          <w:color w:val="auto"/>
          <w:sz w:val="26"/>
          <w:szCs w:val="26"/>
        </w:rPr>
        <w:t>Ener</w:t>
      </w:r>
      <w:r w:rsidR="007F39CF" w:rsidRPr="0080791C">
        <w:rPr>
          <w:color w:val="auto"/>
          <w:sz w:val="26"/>
          <w:szCs w:val="26"/>
        </w:rPr>
        <w:t>Penn</w:t>
      </w:r>
      <w:r w:rsidR="001431AD" w:rsidRPr="0080791C">
        <w:rPr>
          <w:color w:val="auto"/>
          <w:sz w:val="26"/>
          <w:szCs w:val="26"/>
        </w:rPr>
        <w:t xml:space="preserve"> </w:t>
      </w:r>
      <w:r w:rsidR="00E86964" w:rsidRPr="0080791C">
        <w:rPr>
          <w:color w:val="auto"/>
          <w:sz w:val="26"/>
          <w:szCs w:val="26"/>
        </w:rPr>
        <w:t>proposes to</w:t>
      </w:r>
      <w:r w:rsidR="00DE7122" w:rsidRPr="0080791C">
        <w:rPr>
          <w:color w:val="auto"/>
          <w:sz w:val="26"/>
          <w:szCs w:val="26"/>
        </w:rPr>
        <w:t xml:space="preserve"> </w:t>
      </w:r>
      <w:r w:rsidR="002957D5" w:rsidRPr="0080791C">
        <w:rPr>
          <w:color w:val="auto"/>
          <w:sz w:val="26"/>
          <w:szCs w:val="26"/>
        </w:rPr>
        <w:t xml:space="preserve">act as a </w:t>
      </w:r>
      <w:r w:rsidR="00FD31F9" w:rsidRPr="0080791C">
        <w:rPr>
          <w:color w:val="auto"/>
          <w:sz w:val="26"/>
          <w:szCs w:val="26"/>
        </w:rPr>
        <w:t>supplier of retail electric power</w:t>
      </w:r>
      <w:r w:rsidR="002957D5" w:rsidRPr="0080791C">
        <w:rPr>
          <w:color w:val="auto"/>
          <w:sz w:val="26"/>
          <w:szCs w:val="26"/>
        </w:rPr>
        <w:t xml:space="preserve"> </w:t>
      </w:r>
      <w:r w:rsidR="00DE7122" w:rsidRPr="0080791C">
        <w:rPr>
          <w:color w:val="auto"/>
          <w:sz w:val="26"/>
          <w:szCs w:val="26"/>
        </w:rPr>
        <w:t xml:space="preserve">to </w:t>
      </w:r>
      <w:r w:rsidR="001E022F" w:rsidRPr="0080791C">
        <w:rPr>
          <w:color w:val="auto"/>
          <w:sz w:val="26"/>
          <w:szCs w:val="26"/>
        </w:rPr>
        <w:t xml:space="preserve">residential, </w:t>
      </w:r>
      <w:r w:rsidR="0039633F" w:rsidRPr="0080791C">
        <w:rPr>
          <w:color w:val="auto"/>
          <w:sz w:val="26"/>
          <w:szCs w:val="26"/>
        </w:rPr>
        <w:t xml:space="preserve">small </w:t>
      </w:r>
      <w:r w:rsidR="00DE7122" w:rsidRPr="0080791C">
        <w:rPr>
          <w:color w:val="auto"/>
          <w:sz w:val="26"/>
          <w:szCs w:val="26"/>
        </w:rPr>
        <w:t>commercial</w:t>
      </w:r>
      <w:r w:rsidR="00503C79" w:rsidRPr="0080791C">
        <w:rPr>
          <w:color w:val="auto"/>
          <w:sz w:val="26"/>
          <w:szCs w:val="26"/>
        </w:rPr>
        <w:t xml:space="preserve"> (</w:t>
      </w:r>
      <w:r w:rsidR="00AF7E02" w:rsidRPr="0080791C">
        <w:rPr>
          <w:color w:val="auto"/>
          <w:sz w:val="26"/>
          <w:szCs w:val="26"/>
        </w:rPr>
        <w:t>25 k</w:t>
      </w:r>
      <w:r w:rsidR="00503C79" w:rsidRPr="0080791C">
        <w:rPr>
          <w:color w:val="auto"/>
          <w:sz w:val="26"/>
          <w:szCs w:val="26"/>
        </w:rPr>
        <w:t>w</w:t>
      </w:r>
      <w:r w:rsidR="00AF7E02" w:rsidRPr="0080791C">
        <w:rPr>
          <w:color w:val="auto"/>
          <w:sz w:val="26"/>
          <w:szCs w:val="26"/>
        </w:rPr>
        <w:t xml:space="preserve"> </w:t>
      </w:r>
      <w:r w:rsidR="00503C79" w:rsidRPr="0080791C">
        <w:rPr>
          <w:color w:val="auto"/>
          <w:sz w:val="26"/>
          <w:szCs w:val="26"/>
        </w:rPr>
        <w:t xml:space="preserve">and under </w:t>
      </w:r>
      <w:r w:rsidR="00AF7E02" w:rsidRPr="0080791C">
        <w:rPr>
          <w:color w:val="auto"/>
          <w:sz w:val="26"/>
          <w:szCs w:val="26"/>
        </w:rPr>
        <w:t>demand)</w:t>
      </w:r>
      <w:r w:rsidR="002D57B0" w:rsidRPr="0080791C">
        <w:rPr>
          <w:color w:val="auto"/>
          <w:sz w:val="26"/>
          <w:szCs w:val="26"/>
        </w:rPr>
        <w:t>, large commercial (over 25 kw demand)</w:t>
      </w:r>
      <w:r w:rsidR="00DE7122" w:rsidRPr="0080791C">
        <w:rPr>
          <w:color w:val="auto"/>
          <w:sz w:val="26"/>
          <w:szCs w:val="26"/>
        </w:rPr>
        <w:t xml:space="preserve">, industrial and governmental customers in the </w:t>
      </w:r>
      <w:r w:rsidR="00626A95" w:rsidRPr="0080791C">
        <w:rPr>
          <w:color w:val="auto"/>
          <w:sz w:val="26"/>
          <w:szCs w:val="26"/>
        </w:rPr>
        <w:t xml:space="preserve">electric distribution company </w:t>
      </w:r>
      <w:r w:rsidR="00DE7122" w:rsidRPr="0080791C">
        <w:rPr>
          <w:color w:val="auto"/>
          <w:sz w:val="26"/>
          <w:szCs w:val="26"/>
        </w:rPr>
        <w:t xml:space="preserve">service </w:t>
      </w:r>
      <w:r w:rsidR="00FD31F9" w:rsidRPr="0080791C">
        <w:rPr>
          <w:color w:val="auto"/>
          <w:sz w:val="26"/>
          <w:szCs w:val="26"/>
        </w:rPr>
        <w:t>territories throughout</w:t>
      </w:r>
      <w:r w:rsidR="00DE7122" w:rsidRPr="0080791C">
        <w:rPr>
          <w:color w:val="auto"/>
          <w:sz w:val="26"/>
          <w:szCs w:val="26"/>
        </w:rPr>
        <w:t xml:space="preserve"> the Commonwealth of Pennsylvania</w:t>
      </w:r>
      <w:r w:rsidR="0083254A" w:rsidRPr="0080791C">
        <w:rPr>
          <w:color w:val="auto"/>
          <w:sz w:val="26"/>
          <w:szCs w:val="26"/>
        </w:rPr>
        <w:t>.</w:t>
      </w:r>
      <w:r w:rsidR="00431426" w:rsidRPr="0080791C">
        <w:rPr>
          <w:color w:val="auto"/>
          <w:sz w:val="26"/>
          <w:szCs w:val="26"/>
        </w:rPr>
        <w:t xml:space="preserve">  </w:t>
      </w:r>
    </w:p>
    <w:p w:rsidR="001431AD" w:rsidRPr="0080791C" w:rsidRDefault="001431AD" w:rsidP="0083254A">
      <w:pPr>
        <w:tabs>
          <w:tab w:val="left" w:pos="0"/>
        </w:tabs>
        <w:suppressAutoHyphens/>
        <w:spacing w:line="360" w:lineRule="auto"/>
        <w:ind w:firstLine="1440"/>
        <w:rPr>
          <w:color w:val="auto"/>
          <w:sz w:val="26"/>
          <w:szCs w:val="26"/>
        </w:rPr>
      </w:pPr>
    </w:p>
    <w:p w:rsidR="00AD6D67" w:rsidRPr="0080791C" w:rsidRDefault="00DE7122" w:rsidP="00AD6D67">
      <w:pPr>
        <w:tabs>
          <w:tab w:val="left" w:pos="0"/>
        </w:tabs>
        <w:suppressAutoHyphens/>
        <w:spacing w:line="360" w:lineRule="auto"/>
        <w:ind w:right="90"/>
        <w:rPr>
          <w:color w:val="auto"/>
          <w:spacing w:val="-3"/>
          <w:kern w:val="2"/>
          <w:sz w:val="26"/>
        </w:rPr>
      </w:pPr>
      <w:r w:rsidRPr="0080791C">
        <w:rPr>
          <w:color w:val="auto"/>
          <w:spacing w:val="-3"/>
          <w:kern w:val="2"/>
          <w:sz w:val="26"/>
        </w:rPr>
        <w:tab/>
      </w:r>
      <w:r w:rsidRPr="0080791C">
        <w:rPr>
          <w:color w:val="auto"/>
          <w:spacing w:val="-3"/>
          <w:kern w:val="2"/>
          <w:sz w:val="26"/>
        </w:rPr>
        <w:tab/>
      </w:r>
      <w:r w:rsidR="0042099B" w:rsidRPr="0080791C">
        <w:rPr>
          <w:color w:val="auto"/>
          <w:spacing w:val="-3"/>
          <w:kern w:val="2"/>
          <w:sz w:val="26"/>
        </w:rPr>
        <w:t>Since En</w:t>
      </w:r>
      <w:r w:rsidR="002D57B0" w:rsidRPr="0080791C">
        <w:rPr>
          <w:color w:val="auto"/>
          <w:spacing w:val="-3"/>
          <w:kern w:val="2"/>
          <w:sz w:val="26"/>
        </w:rPr>
        <w:t>erPenn</w:t>
      </w:r>
      <w:r w:rsidR="001431AD" w:rsidRPr="0080791C">
        <w:rPr>
          <w:color w:val="auto"/>
          <w:spacing w:val="-3"/>
          <w:kern w:val="2"/>
          <w:sz w:val="26"/>
        </w:rPr>
        <w:t xml:space="preserve"> prop</w:t>
      </w:r>
      <w:r w:rsidR="00431426" w:rsidRPr="0080791C">
        <w:rPr>
          <w:color w:val="auto"/>
          <w:spacing w:val="-3"/>
          <w:kern w:val="2"/>
          <w:sz w:val="26"/>
        </w:rPr>
        <w:t>oses</w:t>
      </w:r>
      <w:r w:rsidR="0083254A" w:rsidRPr="0080791C">
        <w:rPr>
          <w:color w:val="auto"/>
          <w:spacing w:val="-3"/>
          <w:kern w:val="2"/>
          <w:sz w:val="26"/>
        </w:rPr>
        <w:t xml:space="preserve"> to provide </w:t>
      </w:r>
      <w:r w:rsidR="00431426" w:rsidRPr="0080791C">
        <w:rPr>
          <w:color w:val="auto"/>
          <w:spacing w:val="-3"/>
          <w:kern w:val="2"/>
          <w:sz w:val="26"/>
        </w:rPr>
        <w:t xml:space="preserve">electric generation supplier </w:t>
      </w:r>
      <w:r w:rsidR="0083254A" w:rsidRPr="0080791C">
        <w:rPr>
          <w:color w:val="auto"/>
          <w:spacing w:val="-3"/>
          <w:kern w:val="2"/>
          <w:sz w:val="26"/>
        </w:rPr>
        <w:t>services to residential customers</w:t>
      </w:r>
      <w:r w:rsidR="00431426" w:rsidRPr="0080791C">
        <w:rPr>
          <w:color w:val="auto"/>
          <w:spacing w:val="-3"/>
          <w:kern w:val="2"/>
          <w:sz w:val="26"/>
        </w:rPr>
        <w:t xml:space="preserve"> </w:t>
      </w:r>
      <w:r w:rsidR="00377004" w:rsidRPr="0080791C">
        <w:rPr>
          <w:color w:val="auto"/>
          <w:spacing w:val="-3"/>
          <w:kern w:val="2"/>
          <w:sz w:val="26"/>
        </w:rPr>
        <w:t xml:space="preserve">it is required </w:t>
      </w:r>
      <w:r w:rsidR="00431426" w:rsidRPr="0080791C">
        <w:rPr>
          <w:color w:val="auto"/>
          <w:spacing w:val="-3"/>
          <w:kern w:val="2"/>
          <w:sz w:val="26"/>
        </w:rPr>
        <w:t>to comply with, and be governed by,</w:t>
      </w:r>
      <w:r w:rsidR="00B51029" w:rsidRPr="0080791C">
        <w:rPr>
          <w:color w:val="auto"/>
          <w:spacing w:val="-3"/>
          <w:kern w:val="2"/>
          <w:sz w:val="26"/>
        </w:rPr>
        <w:t xml:space="preserve"> applicable Chapter </w:t>
      </w:r>
      <w:r w:rsidR="00AD6D67" w:rsidRPr="0080791C">
        <w:rPr>
          <w:color w:val="auto"/>
          <w:spacing w:val="-3"/>
          <w:kern w:val="2"/>
          <w:sz w:val="26"/>
        </w:rPr>
        <w:t xml:space="preserve">56 residential service regulations as set forth in the Commission Order </w:t>
      </w:r>
      <w:r w:rsidR="00AD6D67" w:rsidRPr="0080791C">
        <w:rPr>
          <w:i/>
          <w:color w:val="auto"/>
          <w:spacing w:val="-3"/>
          <w:kern w:val="2"/>
          <w:sz w:val="26"/>
        </w:rPr>
        <w:t xml:space="preserve">Guidelines for Maintaining Customer Service at the Same Level of Quality Pursuant </w:t>
      </w:r>
      <w:r w:rsidR="00E86964" w:rsidRPr="0080791C">
        <w:rPr>
          <w:i/>
          <w:color w:val="auto"/>
          <w:spacing w:val="-3"/>
          <w:kern w:val="2"/>
          <w:sz w:val="26"/>
        </w:rPr>
        <w:t>to 66</w:t>
      </w:r>
      <w:r w:rsidR="00AD6D67" w:rsidRPr="0080791C">
        <w:rPr>
          <w:i/>
          <w:color w:val="auto"/>
          <w:spacing w:val="-3"/>
          <w:kern w:val="2"/>
          <w:sz w:val="26"/>
        </w:rPr>
        <w:t xml:space="preserve"> Pa. C.S. §2</w:t>
      </w:r>
      <w:r w:rsidR="00EF4712" w:rsidRPr="0080791C">
        <w:rPr>
          <w:i/>
          <w:color w:val="auto"/>
          <w:spacing w:val="-3"/>
          <w:kern w:val="2"/>
          <w:sz w:val="26"/>
        </w:rPr>
        <w:t>8</w:t>
      </w:r>
      <w:r w:rsidR="00AD6D67" w:rsidRPr="0080791C">
        <w:rPr>
          <w:i/>
          <w:color w:val="auto"/>
          <w:spacing w:val="-3"/>
          <w:kern w:val="2"/>
          <w:sz w:val="26"/>
        </w:rPr>
        <w:t>0</w:t>
      </w:r>
      <w:r w:rsidR="00EF4712" w:rsidRPr="0080791C">
        <w:rPr>
          <w:i/>
          <w:color w:val="auto"/>
          <w:spacing w:val="-3"/>
          <w:kern w:val="2"/>
          <w:sz w:val="26"/>
        </w:rPr>
        <w:t>7</w:t>
      </w:r>
      <w:r w:rsidR="00AD6D67" w:rsidRPr="0080791C">
        <w:rPr>
          <w:i/>
          <w:color w:val="auto"/>
          <w:spacing w:val="-3"/>
          <w:kern w:val="2"/>
          <w:sz w:val="26"/>
        </w:rPr>
        <w:t>(</w:t>
      </w:r>
      <w:r w:rsidR="00EF4712" w:rsidRPr="0080791C">
        <w:rPr>
          <w:i/>
          <w:color w:val="auto"/>
          <w:spacing w:val="-3"/>
          <w:kern w:val="2"/>
          <w:sz w:val="26"/>
        </w:rPr>
        <w:t>d</w:t>
      </w:r>
      <w:r w:rsidR="00AD6D67" w:rsidRPr="0080791C">
        <w:rPr>
          <w:i/>
          <w:color w:val="auto"/>
          <w:spacing w:val="-3"/>
          <w:kern w:val="2"/>
          <w:sz w:val="26"/>
        </w:rPr>
        <w:t xml:space="preserve">), </w:t>
      </w:r>
      <w:r w:rsidR="00D41AFC" w:rsidRPr="0080791C">
        <w:rPr>
          <w:i/>
          <w:color w:val="auto"/>
          <w:spacing w:val="-3"/>
          <w:kern w:val="2"/>
          <w:sz w:val="26"/>
        </w:rPr>
        <w:t xml:space="preserve">and </w:t>
      </w:r>
      <w:r w:rsidR="00AD6D67" w:rsidRPr="0080791C">
        <w:rPr>
          <w:i/>
          <w:color w:val="auto"/>
          <w:spacing w:val="-3"/>
          <w:kern w:val="2"/>
          <w:sz w:val="26"/>
        </w:rPr>
        <w:t xml:space="preserve">Assuring Conformance with 52 Pa. Code Chapter 56 Pursuant </w:t>
      </w:r>
      <w:r w:rsidR="00E86964" w:rsidRPr="0080791C">
        <w:rPr>
          <w:i/>
          <w:color w:val="auto"/>
          <w:spacing w:val="-3"/>
          <w:kern w:val="2"/>
          <w:sz w:val="26"/>
        </w:rPr>
        <w:t>to 66</w:t>
      </w:r>
      <w:r w:rsidR="00AD6D67" w:rsidRPr="0080791C">
        <w:rPr>
          <w:i/>
          <w:color w:val="auto"/>
          <w:spacing w:val="-3"/>
          <w:kern w:val="2"/>
          <w:sz w:val="26"/>
        </w:rPr>
        <w:t xml:space="preserve"> Pa. </w:t>
      </w:r>
      <w:r w:rsidR="00AD6D67" w:rsidRPr="0080791C">
        <w:rPr>
          <w:i/>
          <w:color w:val="auto"/>
          <w:spacing w:val="-3"/>
          <w:kern w:val="2"/>
          <w:sz w:val="26"/>
        </w:rPr>
        <w:lastRenderedPageBreak/>
        <w:t>C</w:t>
      </w:r>
      <w:r w:rsidR="00D41AFC" w:rsidRPr="0080791C">
        <w:rPr>
          <w:i/>
          <w:color w:val="auto"/>
          <w:spacing w:val="-3"/>
          <w:kern w:val="2"/>
          <w:sz w:val="26"/>
        </w:rPr>
        <w:t xml:space="preserve">.S. </w:t>
      </w:r>
      <w:r w:rsidR="00AD6D67" w:rsidRPr="0080791C">
        <w:rPr>
          <w:i/>
          <w:color w:val="auto"/>
          <w:spacing w:val="-3"/>
          <w:kern w:val="2"/>
          <w:sz w:val="26"/>
        </w:rPr>
        <w:t>§2</w:t>
      </w:r>
      <w:r w:rsidR="00EF4712" w:rsidRPr="0080791C">
        <w:rPr>
          <w:i/>
          <w:color w:val="auto"/>
          <w:spacing w:val="-3"/>
          <w:kern w:val="2"/>
          <w:sz w:val="26"/>
        </w:rPr>
        <w:t>8</w:t>
      </w:r>
      <w:r w:rsidR="00AD6D67" w:rsidRPr="0080791C">
        <w:rPr>
          <w:i/>
          <w:color w:val="auto"/>
          <w:spacing w:val="-3"/>
          <w:kern w:val="2"/>
          <w:sz w:val="26"/>
        </w:rPr>
        <w:t>0</w:t>
      </w:r>
      <w:r w:rsidR="00EF4712" w:rsidRPr="0080791C">
        <w:rPr>
          <w:i/>
          <w:color w:val="auto"/>
          <w:spacing w:val="-3"/>
          <w:kern w:val="2"/>
          <w:sz w:val="26"/>
        </w:rPr>
        <w:t>9</w:t>
      </w:r>
      <w:r w:rsidR="00AD6D67" w:rsidRPr="0080791C">
        <w:rPr>
          <w:i/>
          <w:color w:val="auto"/>
          <w:spacing w:val="-3"/>
          <w:kern w:val="2"/>
          <w:sz w:val="26"/>
        </w:rPr>
        <w:t>(</w:t>
      </w:r>
      <w:r w:rsidR="00EF4712" w:rsidRPr="0080791C">
        <w:rPr>
          <w:i/>
          <w:color w:val="auto"/>
          <w:spacing w:val="-3"/>
          <w:kern w:val="2"/>
          <w:sz w:val="26"/>
        </w:rPr>
        <w:t>e</w:t>
      </w:r>
      <w:r w:rsidR="00D15984" w:rsidRPr="0080791C">
        <w:rPr>
          <w:i/>
          <w:color w:val="auto"/>
          <w:spacing w:val="-3"/>
          <w:kern w:val="2"/>
          <w:sz w:val="26"/>
        </w:rPr>
        <w:t>) and (f)</w:t>
      </w:r>
      <w:r w:rsidR="00D15984" w:rsidRPr="0080791C">
        <w:rPr>
          <w:color w:val="auto"/>
          <w:spacing w:val="-3"/>
          <w:kern w:val="2"/>
          <w:sz w:val="26"/>
        </w:rPr>
        <w:t xml:space="preserve">, at Docket No. </w:t>
      </w:r>
      <w:r w:rsidR="00AD6D67" w:rsidRPr="0080791C">
        <w:rPr>
          <w:color w:val="auto"/>
          <w:spacing w:val="-3"/>
          <w:kern w:val="2"/>
          <w:sz w:val="26"/>
        </w:rPr>
        <w:t>M-009</w:t>
      </w:r>
      <w:r w:rsidR="00EF4712" w:rsidRPr="0080791C">
        <w:rPr>
          <w:color w:val="auto"/>
          <w:spacing w:val="-3"/>
          <w:kern w:val="2"/>
          <w:sz w:val="26"/>
        </w:rPr>
        <w:t xml:space="preserve">60890 </w:t>
      </w:r>
      <w:r w:rsidR="00AD6D67" w:rsidRPr="0080791C">
        <w:rPr>
          <w:color w:val="auto"/>
          <w:spacing w:val="-3"/>
          <w:kern w:val="2"/>
          <w:sz w:val="26"/>
        </w:rPr>
        <w:t>F00</w:t>
      </w:r>
      <w:r w:rsidR="00EF4712" w:rsidRPr="0080791C">
        <w:rPr>
          <w:color w:val="auto"/>
          <w:spacing w:val="-3"/>
          <w:kern w:val="2"/>
          <w:sz w:val="26"/>
        </w:rPr>
        <w:t>11</w:t>
      </w:r>
      <w:r w:rsidR="00D74CC2" w:rsidRPr="0080791C">
        <w:rPr>
          <w:color w:val="auto"/>
          <w:spacing w:val="-3"/>
          <w:kern w:val="2"/>
          <w:sz w:val="26"/>
        </w:rPr>
        <w:t>, Order entered July 11, 1997</w:t>
      </w:r>
      <w:r w:rsidR="00AD6D67" w:rsidRPr="0080791C">
        <w:rPr>
          <w:i/>
          <w:color w:val="auto"/>
          <w:spacing w:val="-3"/>
          <w:kern w:val="2"/>
          <w:sz w:val="26"/>
        </w:rPr>
        <w:t>.</w:t>
      </w:r>
      <w:r w:rsidR="00AD6D67" w:rsidRPr="0080791C">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80791C">
        <w:rPr>
          <w:color w:val="auto"/>
          <w:spacing w:val="-3"/>
          <w:kern w:val="2"/>
          <w:sz w:val="26"/>
        </w:rPr>
        <w:t>;</w:t>
      </w:r>
      <w:r w:rsidR="00AD6D67" w:rsidRPr="0080791C">
        <w:rPr>
          <w:color w:val="auto"/>
          <w:spacing w:val="-3"/>
          <w:kern w:val="2"/>
          <w:sz w:val="26"/>
        </w:rPr>
        <w:t xml:space="preserve"> </w:t>
      </w:r>
      <w:r w:rsidR="00D66464" w:rsidRPr="0080791C">
        <w:rPr>
          <w:color w:val="auto"/>
          <w:spacing w:val="-3"/>
          <w:kern w:val="2"/>
          <w:sz w:val="26"/>
        </w:rPr>
        <w:t>therefore</w:t>
      </w:r>
      <w:r w:rsidR="00AD6D67" w:rsidRPr="0080791C">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80791C">
        <w:rPr>
          <w:color w:val="auto"/>
          <w:spacing w:val="-3"/>
          <w:kern w:val="2"/>
          <w:sz w:val="26"/>
        </w:rPr>
        <w:t>return</w:t>
      </w:r>
      <w:r w:rsidR="00AD6D67" w:rsidRPr="0080791C">
        <w:rPr>
          <w:color w:val="auto"/>
          <w:spacing w:val="-3"/>
          <w:kern w:val="2"/>
          <w:sz w:val="26"/>
        </w:rPr>
        <w:t xml:space="preserve"> to utility service at </w:t>
      </w:r>
      <w:r w:rsidR="0097132C" w:rsidRPr="0080791C">
        <w:rPr>
          <w:color w:val="auto"/>
          <w:spacing w:val="-3"/>
          <w:kern w:val="2"/>
          <w:sz w:val="26"/>
        </w:rPr>
        <w:t>default service</w:t>
      </w:r>
      <w:r w:rsidR="00AD6D67" w:rsidRPr="0080791C">
        <w:rPr>
          <w:color w:val="auto"/>
          <w:spacing w:val="-3"/>
          <w:kern w:val="2"/>
          <w:sz w:val="26"/>
        </w:rPr>
        <w:t xml:space="preserve"> rates in accordance with the utility's obligations under Section 2</w:t>
      </w:r>
      <w:r w:rsidR="00BB57BC" w:rsidRPr="0080791C">
        <w:rPr>
          <w:color w:val="auto"/>
          <w:spacing w:val="-3"/>
          <w:kern w:val="2"/>
          <w:sz w:val="26"/>
        </w:rPr>
        <w:t>8</w:t>
      </w:r>
      <w:r w:rsidR="00AD6D67" w:rsidRPr="0080791C">
        <w:rPr>
          <w:color w:val="auto"/>
          <w:spacing w:val="-3"/>
          <w:kern w:val="2"/>
          <w:sz w:val="26"/>
        </w:rPr>
        <w:t>07(</w:t>
      </w:r>
      <w:r w:rsidR="00BB57BC" w:rsidRPr="0080791C">
        <w:rPr>
          <w:color w:val="auto"/>
          <w:spacing w:val="-3"/>
          <w:kern w:val="2"/>
          <w:sz w:val="26"/>
        </w:rPr>
        <w:t>e</w:t>
      </w:r>
      <w:r w:rsidR="00AD6D67" w:rsidRPr="0080791C">
        <w:rPr>
          <w:color w:val="auto"/>
          <w:spacing w:val="-3"/>
          <w:kern w:val="2"/>
          <w:sz w:val="26"/>
        </w:rPr>
        <w:t>), 66 Pa. C.S. §2</w:t>
      </w:r>
      <w:r w:rsidR="00BB57BC" w:rsidRPr="0080791C">
        <w:rPr>
          <w:color w:val="auto"/>
          <w:spacing w:val="-3"/>
          <w:kern w:val="2"/>
          <w:sz w:val="26"/>
        </w:rPr>
        <w:t>8</w:t>
      </w:r>
      <w:r w:rsidR="00AD6D67" w:rsidRPr="0080791C">
        <w:rPr>
          <w:color w:val="auto"/>
          <w:spacing w:val="-3"/>
          <w:kern w:val="2"/>
          <w:sz w:val="26"/>
        </w:rPr>
        <w:t>07(</w:t>
      </w:r>
      <w:r w:rsidR="00BB57BC" w:rsidRPr="0080791C">
        <w:rPr>
          <w:color w:val="auto"/>
          <w:spacing w:val="-3"/>
          <w:kern w:val="2"/>
          <w:sz w:val="26"/>
        </w:rPr>
        <w:t>e</w:t>
      </w:r>
      <w:r w:rsidR="00AD6D67" w:rsidRPr="0080791C">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80791C">
        <w:rPr>
          <w:color w:val="auto"/>
          <w:spacing w:val="-3"/>
          <w:kern w:val="2"/>
          <w:sz w:val="26"/>
        </w:rPr>
        <w:t>that</w:t>
      </w:r>
      <w:r w:rsidR="00AD6D67" w:rsidRPr="0080791C">
        <w:rPr>
          <w:color w:val="auto"/>
          <w:spacing w:val="-3"/>
          <w:kern w:val="2"/>
          <w:sz w:val="26"/>
        </w:rPr>
        <w:t xml:space="preserve"> has been designated by the Commission as the provider of last resort.</w:t>
      </w:r>
    </w:p>
    <w:p w:rsidR="00327F6C" w:rsidRPr="0080791C" w:rsidRDefault="00327F6C">
      <w:pPr>
        <w:tabs>
          <w:tab w:val="left" w:pos="0"/>
        </w:tabs>
        <w:suppressAutoHyphens/>
        <w:spacing w:line="360" w:lineRule="auto"/>
        <w:rPr>
          <w:color w:val="auto"/>
          <w:spacing w:val="-3"/>
          <w:kern w:val="1"/>
          <w:sz w:val="26"/>
          <w:szCs w:val="26"/>
        </w:rPr>
      </w:pPr>
    </w:p>
    <w:p w:rsidR="00865587" w:rsidRPr="0080791C" w:rsidRDefault="00327F6C" w:rsidP="00626A95">
      <w:pPr>
        <w:tabs>
          <w:tab w:val="left" w:pos="0"/>
        </w:tabs>
        <w:suppressAutoHyphens/>
        <w:spacing w:line="360" w:lineRule="auto"/>
        <w:ind w:firstLine="1440"/>
        <w:rPr>
          <w:color w:val="auto"/>
          <w:spacing w:val="-3"/>
          <w:kern w:val="1"/>
          <w:sz w:val="26"/>
          <w:szCs w:val="26"/>
        </w:rPr>
      </w:pPr>
      <w:r w:rsidRPr="0080791C">
        <w:rPr>
          <w:color w:val="auto"/>
          <w:spacing w:val="-3"/>
          <w:kern w:val="1"/>
          <w:sz w:val="26"/>
          <w:szCs w:val="26"/>
        </w:rPr>
        <w:t xml:space="preserve">Additionally, we </w:t>
      </w:r>
      <w:r w:rsidR="00D74CC2" w:rsidRPr="0080791C">
        <w:rPr>
          <w:color w:val="auto"/>
          <w:spacing w:val="-3"/>
          <w:kern w:val="1"/>
          <w:sz w:val="26"/>
          <w:szCs w:val="26"/>
        </w:rPr>
        <w:t xml:space="preserve">specifically note that the </w:t>
      </w:r>
      <w:r w:rsidRPr="0080791C">
        <w:rPr>
          <w:color w:val="auto"/>
          <w:spacing w:val="-3"/>
          <w:kern w:val="1"/>
          <w:sz w:val="26"/>
          <w:szCs w:val="26"/>
        </w:rPr>
        <w:t xml:space="preserve">licensee </w:t>
      </w:r>
      <w:r w:rsidR="008A0791" w:rsidRPr="0080791C">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80791C">
        <w:rPr>
          <w:color w:val="auto"/>
          <w:spacing w:val="-3"/>
          <w:kern w:val="1"/>
          <w:sz w:val="26"/>
          <w:szCs w:val="26"/>
        </w:rPr>
        <w:t xml:space="preserve">54.43 that were enacted to protect consumers of this Commonwealth.  </w:t>
      </w:r>
      <w:r w:rsidR="005A0A0C" w:rsidRPr="0080791C">
        <w:rPr>
          <w:color w:val="auto"/>
          <w:spacing w:val="-3"/>
          <w:kern w:val="1"/>
          <w:sz w:val="26"/>
          <w:szCs w:val="26"/>
        </w:rPr>
        <w:t xml:space="preserve">These standards include, </w:t>
      </w:r>
      <w:r w:rsidR="005A0A0C" w:rsidRPr="0080791C">
        <w:rPr>
          <w:i/>
          <w:color w:val="auto"/>
          <w:spacing w:val="-3"/>
          <w:kern w:val="1"/>
          <w:sz w:val="26"/>
          <w:szCs w:val="26"/>
        </w:rPr>
        <w:t xml:space="preserve">inter alia, </w:t>
      </w:r>
      <w:r w:rsidR="005A0A0C" w:rsidRPr="0080791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sidRPr="0080791C">
        <w:rPr>
          <w:color w:val="auto"/>
          <w:spacing w:val="-3"/>
          <w:kern w:val="1"/>
          <w:sz w:val="26"/>
          <w:szCs w:val="26"/>
        </w:rPr>
        <w:t>Also, we take this opportunity to remind the licensee of its agreement to abide by, and to ensure that its employees</w:t>
      </w:r>
      <w:r w:rsidRPr="0080791C">
        <w:rPr>
          <w:color w:val="auto"/>
          <w:spacing w:val="-3"/>
          <w:kern w:val="1"/>
          <w:sz w:val="26"/>
          <w:szCs w:val="26"/>
        </w:rPr>
        <w:t>, representatives</w:t>
      </w:r>
      <w:r w:rsidR="000B269D" w:rsidRPr="0080791C">
        <w:rPr>
          <w:color w:val="auto"/>
          <w:spacing w:val="-3"/>
          <w:kern w:val="1"/>
          <w:sz w:val="26"/>
          <w:szCs w:val="26"/>
        </w:rPr>
        <w:t>, agents and independent contractors abide by all applicable federal and state laws,</w:t>
      </w:r>
      <w:r w:rsidRPr="0080791C">
        <w:rPr>
          <w:color w:val="auto"/>
          <w:spacing w:val="-3"/>
          <w:kern w:val="1"/>
          <w:sz w:val="26"/>
          <w:szCs w:val="26"/>
        </w:rPr>
        <w:t xml:space="preserve"> and Commission regulations, procedures and orders, including Emergency Orders</w:t>
      </w:r>
      <w:r w:rsidR="00D66464" w:rsidRPr="0080791C">
        <w:rPr>
          <w:color w:val="auto"/>
          <w:spacing w:val="-3"/>
          <w:kern w:val="1"/>
          <w:sz w:val="26"/>
          <w:szCs w:val="26"/>
        </w:rPr>
        <w:t>,</w:t>
      </w:r>
      <w:r w:rsidRPr="0080791C">
        <w:rPr>
          <w:color w:val="auto"/>
          <w:spacing w:val="-3"/>
          <w:kern w:val="1"/>
          <w:sz w:val="26"/>
          <w:szCs w:val="26"/>
        </w:rPr>
        <w:t xml:space="preserve"> which may be issued verbally or in writing during any emergency situations that may</w:t>
      </w:r>
      <w:r w:rsidR="00D66464" w:rsidRPr="0080791C">
        <w:rPr>
          <w:color w:val="auto"/>
          <w:spacing w:val="-3"/>
          <w:kern w:val="1"/>
          <w:sz w:val="26"/>
          <w:szCs w:val="26"/>
        </w:rPr>
        <w:t xml:space="preserve"> unexpectedly develop from time </w:t>
      </w:r>
      <w:r w:rsidRPr="0080791C">
        <w:rPr>
          <w:color w:val="auto"/>
          <w:spacing w:val="-3"/>
          <w:kern w:val="1"/>
          <w:sz w:val="26"/>
          <w:szCs w:val="26"/>
        </w:rPr>
        <w:t>to</w:t>
      </w:r>
      <w:r w:rsidR="00D66464" w:rsidRPr="0080791C">
        <w:rPr>
          <w:color w:val="auto"/>
          <w:spacing w:val="-3"/>
          <w:kern w:val="1"/>
          <w:sz w:val="26"/>
          <w:szCs w:val="26"/>
        </w:rPr>
        <w:t xml:space="preserve"> </w:t>
      </w:r>
      <w:r w:rsidRPr="0080791C">
        <w:rPr>
          <w:color w:val="auto"/>
          <w:spacing w:val="-3"/>
          <w:kern w:val="1"/>
          <w:sz w:val="26"/>
          <w:szCs w:val="26"/>
        </w:rPr>
        <w:t>time in the course of doing business in Pennsylvania.</w:t>
      </w:r>
    </w:p>
    <w:p w:rsidR="00865587" w:rsidRPr="0080791C" w:rsidRDefault="00865587">
      <w:pPr>
        <w:tabs>
          <w:tab w:val="left" w:pos="0"/>
        </w:tabs>
        <w:suppressAutoHyphens/>
        <w:spacing w:line="360" w:lineRule="auto"/>
        <w:rPr>
          <w:color w:val="auto"/>
          <w:spacing w:val="-3"/>
          <w:kern w:val="1"/>
          <w:sz w:val="26"/>
          <w:szCs w:val="26"/>
        </w:rPr>
      </w:pPr>
      <w:r w:rsidRPr="0080791C">
        <w:rPr>
          <w:color w:val="auto"/>
          <w:spacing w:val="-3"/>
          <w:kern w:val="1"/>
          <w:sz w:val="26"/>
          <w:szCs w:val="26"/>
        </w:rPr>
        <w:lastRenderedPageBreak/>
        <w:tab/>
      </w:r>
      <w:r w:rsidRPr="0080791C">
        <w:rPr>
          <w:color w:val="auto"/>
          <w:spacing w:val="-3"/>
          <w:kern w:val="1"/>
          <w:sz w:val="26"/>
          <w:szCs w:val="26"/>
        </w:rPr>
        <w:tab/>
        <w:t xml:space="preserve">We also note that the licensee must comply </w:t>
      </w:r>
      <w:r w:rsidR="00B51029" w:rsidRPr="0080791C">
        <w:rPr>
          <w:color w:val="auto"/>
          <w:spacing w:val="-3"/>
          <w:kern w:val="1"/>
          <w:sz w:val="26"/>
          <w:szCs w:val="26"/>
        </w:rPr>
        <w:t>with our decision in Docket No. </w:t>
      </w:r>
      <w:r w:rsidRPr="0080791C">
        <w:rPr>
          <w:color w:val="auto"/>
          <w:spacing w:val="-3"/>
          <w:kern w:val="1"/>
          <w:sz w:val="26"/>
          <w:szCs w:val="26"/>
        </w:rPr>
        <w:t>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w:t>
      </w:r>
      <w:r w:rsidR="00EC4989" w:rsidRPr="0080791C">
        <w:rPr>
          <w:color w:val="auto"/>
          <w:spacing w:val="-3"/>
          <w:kern w:val="1"/>
          <w:sz w:val="26"/>
          <w:szCs w:val="26"/>
        </w:rPr>
        <w:t xml:space="preserve"> operations.  Since EnerPenn</w:t>
      </w:r>
      <w:r w:rsidRPr="0080791C">
        <w:rPr>
          <w:color w:val="auto"/>
          <w:spacing w:val="-3"/>
          <w:kern w:val="1"/>
          <w:sz w:val="26"/>
          <w:szCs w:val="26"/>
        </w:rPr>
        <w:t xml:space="preserve"> is taking title to electricity, it is required to comply with this requirement.</w:t>
      </w:r>
    </w:p>
    <w:p w:rsidR="00865587" w:rsidRPr="0080791C" w:rsidRDefault="00865587">
      <w:pPr>
        <w:tabs>
          <w:tab w:val="left" w:pos="0"/>
        </w:tabs>
        <w:suppressAutoHyphens/>
        <w:spacing w:line="360" w:lineRule="auto"/>
        <w:rPr>
          <w:color w:val="auto"/>
          <w:spacing w:val="-3"/>
          <w:kern w:val="1"/>
          <w:sz w:val="26"/>
          <w:szCs w:val="26"/>
        </w:rPr>
      </w:pPr>
    </w:p>
    <w:p w:rsidR="00327F6C" w:rsidRPr="0080791C" w:rsidRDefault="0042099B" w:rsidP="00D44084">
      <w:pPr>
        <w:tabs>
          <w:tab w:val="left" w:pos="0"/>
        </w:tabs>
        <w:suppressAutoHyphens/>
        <w:spacing w:line="360" w:lineRule="auto"/>
        <w:ind w:firstLine="1440"/>
        <w:rPr>
          <w:color w:val="auto"/>
          <w:kern w:val="1"/>
          <w:sz w:val="26"/>
          <w:szCs w:val="26"/>
        </w:rPr>
      </w:pPr>
      <w:r w:rsidRPr="0080791C">
        <w:rPr>
          <w:color w:val="auto"/>
          <w:sz w:val="26"/>
          <w:szCs w:val="26"/>
        </w:rPr>
        <w:t>En</w:t>
      </w:r>
      <w:r w:rsidR="002D57B0" w:rsidRPr="0080791C">
        <w:rPr>
          <w:color w:val="auto"/>
          <w:sz w:val="26"/>
          <w:szCs w:val="26"/>
        </w:rPr>
        <w:t>erPenn</w:t>
      </w:r>
      <w:r w:rsidR="00865587" w:rsidRPr="0080791C">
        <w:rPr>
          <w:color w:val="auto"/>
          <w:sz w:val="26"/>
          <w:szCs w:val="26"/>
        </w:rPr>
        <w:t xml:space="preserve"> </w:t>
      </w:r>
      <w:r w:rsidR="001E400B" w:rsidRPr="0080791C">
        <w:rPr>
          <w:color w:val="auto"/>
          <w:sz w:val="26"/>
          <w:szCs w:val="26"/>
        </w:rPr>
        <w:t xml:space="preserve">has provided </w:t>
      </w:r>
      <w:r w:rsidR="001E400B" w:rsidRPr="0080791C">
        <w:rPr>
          <w:color w:val="auto"/>
          <w:kern w:val="1"/>
          <w:sz w:val="26"/>
          <w:szCs w:val="26"/>
        </w:rPr>
        <w:t xml:space="preserve">proofs of publication in Pennsylvania newspapers and proofs of service to the interested parties </w:t>
      </w:r>
      <w:r w:rsidR="00D44084" w:rsidRPr="0080791C">
        <w:rPr>
          <w:color w:val="auto"/>
          <w:kern w:val="1"/>
          <w:sz w:val="26"/>
          <w:szCs w:val="26"/>
        </w:rPr>
        <w:t>as required by the Commission.</w:t>
      </w:r>
    </w:p>
    <w:p w:rsidR="00327F6C" w:rsidRPr="0080791C" w:rsidRDefault="00327F6C">
      <w:pPr>
        <w:tabs>
          <w:tab w:val="left" w:pos="-720"/>
        </w:tabs>
        <w:suppressAutoHyphens/>
        <w:spacing w:line="360" w:lineRule="auto"/>
        <w:rPr>
          <w:color w:val="auto"/>
          <w:sz w:val="26"/>
          <w:szCs w:val="26"/>
        </w:rPr>
      </w:pPr>
    </w:p>
    <w:p w:rsidR="000F0C10" w:rsidRPr="0080791C" w:rsidRDefault="000F0C10" w:rsidP="00D44084">
      <w:pPr>
        <w:tabs>
          <w:tab w:val="left" w:pos="-720"/>
        </w:tabs>
        <w:suppressAutoHyphens/>
        <w:spacing w:line="360" w:lineRule="auto"/>
        <w:ind w:firstLine="1440"/>
        <w:rPr>
          <w:color w:val="auto"/>
          <w:kern w:val="1"/>
          <w:sz w:val="26"/>
          <w:szCs w:val="26"/>
        </w:rPr>
      </w:pPr>
      <w:r w:rsidRPr="0080791C">
        <w:rPr>
          <w:color w:val="auto"/>
          <w:kern w:val="1"/>
          <w:sz w:val="26"/>
          <w:szCs w:val="26"/>
        </w:rPr>
        <w:t xml:space="preserve">Regarding the financial and technical requirements of the license application, </w:t>
      </w:r>
      <w:r w:rsidR="0042099B" w:rsidRPr="0080791C">
        <w:rPr>
          <w:color w:val="auto"/>
          <w:kern w:val="1"/>
          <w:sz w:val="26"/>
          <w:szCs w:val="26"/>
        </w:rPr>
        <w:t>En</w:t>
      </w:r>
      <w:r w:rsidR="004724FD" w:rsidRPr="0080791C">
        <w:rPr>
          <w:color w:val="auto"/>
          <w:kern w:val="1"/>
          <w:sz w:val="26"/>
          <w:szCs w:val="26"/>
        </w:rPr>
        <w:t>erPenn</w:t>
      </w:r>
      <w:r w:rsidR="00434813" w:rsidRPr="0080791C">
        <w:rPr>
          <w:color w:val="auto"/>
          <w:kern w:val="1"/>
          <w:sz w:val="26"/>
          <w:szCs w:val="26"/>
        </w:rPr>
        <w:t xml:space="preserve"> </w:t>
      </w:r>
      <w:r w:rsidR="00AA5F85" w:rsidRPr="0080791C">
        <w:rPr>
          <w:color w:val="auto"/>
          <w:kern w:val="1"/>
          <w:sz w:val="26"/>
          <w:szCs w:val="26"/>
        </w:rPr>
        <w:t xml:space="preserve">submitted </w:t>
      </w:r>
      <w:r w:rsidR="004724FD" w:rsidRPr="0080791C">
        <w:rPr>
          <w:color w:val="auto"/>
          <w:kern w:val="1"/>
          <w:sz w:val="26"/>
          <w:szCs w:val="26"/>
        </w:rPr>
        <w:t>the</w:t>
      </w:r>
      <w:r w:rsidR="00BD358D" w:rsidRPr="0080791C">
        <w:rPr>
          <w:color w:val="auto"/>
          <w:kern w:val="1"/>
          <w:sz w:val="26"/>
          <w:szCs w:val="26"/>
        </w:rPr>
        <w:t xml:space="preserve"> audited</w:t>
      </w:r>
      <w:r w:rsidR="004724FD" w:rsidRPr="0080791C">
        <w:rPr>
          <w:color w:val="auto"/>
          <w:kern w:val="1"/>
          <w:sz w:val="26"/>
          <w:szCs w:val="26"/>
        </w:rPr>
        <w:t xml:space="preserve"> 2009</w:t>
      </w:r>
      <w:r w:rsidR="00BD358D" w:rsidRPr="0080791C">
        <w:rPr>
          <w:color w:val="auto"/>
          <w:kern w:val="1"/>
          <w:sz w:val="26"/>
          <w:szCs w:val="26"/>
        </w:rPr>
        <w:t xml:space="preserve"> and 2010</w:t>
      </w:r>
      <w:r w:rsidR="004724FD" w:rsidRPr="0080791C">
        <w:rPr>
          <w:color w:val="auto"/>
          <w:kern w:val="1"/>
          <w:sz w:val="26"/>
          <w:szCs w:val="26"/>
        </w:rPr>
        <w:t xml:space="preserve"> Balance Sheet</w:t>
      </w:r>
      <w:r w:rsidR="00F24F39">
        <w:rPr>
          <w:color w:val="auto"/>
          <w:kern w:val="1"/>
          <w:sz w:val="26"/>
          <w:szCs w:val="26"/>
        </w:rPr>
        <w:t>,</w:t>
      </w:r>
      <w:r w:rsidR="004724FD" w:rsidRPr="0080791C">
        <w:rPr>
          <w:color w:val="auto"/>
          <w:kern w:val="1"/>
          <w:sz w:val="26"/>
          <w:szCs w:val="26"/>
        </w:rPr>
        <w:t xml:space="preserve"> Statement of Operations, and the Statement of Cash Flows</w:t>
      </w:r>
      <w:r w:rsidR="00BD358D" w:rsidRPr="0080791C">
        <w:rPr>
          <w:color w:val="auto"/>
          <w:kern w:val="1"/>
          <w:sz w:val="26"/>
          <w:szCs w:val="26"/>
        </w:rPr>
        <w:t xml:space="preserve"> for Texpo Power, LP</w:t>
      </w:r>
      <w:r w:rsidR="00D350CB" w:rsidRPr="0080791C">
        <w:rPr>
          <w:color w:val="auto"/>
          <w:kern w:val="1"/>
          <w:sz w:val="26"/>
          <w:szCs w:val="26"/>
        </w:rPr>
        <w:t xml:space="preserve"> (Texpo)</w:t>
      </w:r>
      <w:r w:rsidR="00262BB6" w:rsidRPr="0080791C">
        <w:rPr>
          <w:color w:val="auto"/>
          <w:kern w:val="1"/>
          <w:sz w:val="26"/>
          <w:szCs w:val="26"/>
        </w:rPr>
        <w:t xml:space="preserve">.  </w:t>
      </w:r>
      <w:r w:rsidR="00D350CB" w:rsidRPr="0080791C">
        <w:rPr>
          <w:color w:val="auto"/>
          <w:kern w:val="1"/>
          <w:sz w:val="26"/>
          <w:szCs w:val="26"/>
        </w:rPr>
        <w:t>Texpo</w:t>
      </w:r>
      <w:r w:rsidR="0042099B" w:rsidRPr="0080791C">
        <w:rPr>
          <w:color w:val="auto"/>
          <w:kern w:val="1"/>
          <w:sz w:val="26"/>
          <w:szCs w:val="26"/>
        </w:rPr>
        <w:t xml:space="preserve"> is an affiliate of En</w:t>
      </w:r>
      <w:r w:rsidR="00262BB6" w:rsidRPr="0080791C">
        <w:rPr>
          <w:color w:val="auto"/>
          <w:kern w:val="1"/>
          <w:sz w:val="26"/>
          <w:szCs w:val="26"/>
        </w:rPr>
        <w:t>erPenn</w:t>
      </w:r>
      <w:r w:rsidR="00BD358D" w:rsidRPr="0080791C">
        <w:rPr>
          <w:color w:val="auto"/>
          <w:kern w:val="1"/>
          <w:sz w:val="26"/>
          <w:szCs w:val="26"/>
        </w:rPr>
        <w:t xml:space="preserve"> </w:t>
      </w:r>
      <w:r w:rsidR="00AA5DE8" w:rsidRPr="0080791C">
        <w:rPr>
          <w:color w:val="auto"/>
          <w:kern w:val="1"/>
          <w:sz w:val="26"/>
          <w:szCs w:val="26"/>
        </w:rPr>
        <w:t>which has the same or similar owners, and officers.</w:t>
      </w:r>
      <w:r w:rsidR="004724FD" w:rsidRPr="0080791C">
        <w:rPr>
          <w:color w:val="auto"/>
          <w:kern w:val="1"/>
          <w:sz w:val="26"/>
          <w:szCs w:val="26"/>
        </w:rPr>
        <w:t xml:space="preserve"> </w:t>
      </w:r>
      <w:r w:rsidR="00AA5DE8" w:rsidRPr="0080791C">
        <w:rPr>
          <w:color w:val="auto"/>
          <w:kern w:val="1"/>
          <w:sz w:val="26"/>
          <w:szCs w:val="26"/>
        </w:rPr>
        <w:t xml:space="preserve"> Texpo best reflects the market strength of EnerPenn.  EnerPenn</w:t>
      </w:r>
      <w:r w:rsidR="00134027" w:rsidRPr="0080791C">
        <w:rPr>
          <w:color w:val="auto"/>
          <w:kern w:val="1"/>
          <w:sz w:val="26"/>
          <w:szCs w:val="26"/>
        </w:rPr>
        <w:t xml:space="preserve"> has also supplied</w:t>
      </w:r>
      <w:r w:rsidR="006E0A67" w:rsidRPr="0080791C">
        <w:rPr>
          <w:color w:val="auto"/>
          <w:kern w:val="1"/>
          <w:sz w:val="26"/>
          <w:szCs w:val="26"/>
        </w:rPr>
        <w:t xml:space="preserve"> </w:t>
      </w:r>
      <w:r w:rsidR="00134027" w:rsidRPr="0080791C">
        <w:rPr>
          <w:color w:val="auto"/>
          <w:kern w:val="1"/>
          <w:sz w:val="26"/>
          <w:szCs w:val="26"/>
        </w:rPr>
        <w:t>resume data for</w:t>
      </w:r>
      <w:r w:rsidR="00396148" w:rsidRPr="0080791C">
        <w:rPr>
          <w:color w:val="auto"/>
          <w:kern w:val="1"/>
          <w:sz w:val="26"/>
          <w:szCs w:val="26"/>
        </w:rPr>
        <w:t xml:space="preserve"> its</w:t>
      </w:r>
      <w:r w:rsidR="00134027" w:rsidRPr="0080791C">
        <w:rPr>
          <w:color w:val="auto"/>
          <w:kern w:val="1"/>
          <w:sz w:val="26"/>
          <w:szCs w:val="26"/>
        </w:rPr>
        <w:t xml:space="preserve"> </w:t>
      </w:r>
      <w:r w:rsidR="006E0A67" w:rsidRPr="0080791C">
        <w:rPr>
          <w:color w:val="auto"/>
          <w:kern w:val="1"/>
          <w:sz w:val="26"/>
          <w:szCs w:val="26"/>
        </w:rPr>
        <w:t>chief officers</w:t>
      </w:r>
      <w:r w:rsidR="00134027" w:rsidRPr="0080791C">
        <w:rPr>
          <w:color w:val="auto"/>
          <w:kern w:val="1"/>
          <w:sz w:val="26"/>
          <w:szCs w:val="26"/>
        </w:rPr>
        <w:t xml:space="preserve">.  </w:t>
      </w:r>
      <w:r w:rsidR="00761CFC" w:rsidRPr="0080791C">
        <w:rPr>
          <w:color w:val="auto"/>
          <w:kern w:val="1"/>
          <w:sz w:val="26"/>
          <w:szCs w:val="26"/>
        </w:rPr>
        <w:t xml:space="preserve">Sufficient information has been provided by </w:t>
      </w:r>
      <w:r w:rsidR="0042099B" w:rsidRPr="0080791C">
        <w:rPr>
          <w:color w:val="auto"/>
          <w:kern w:val="1"/>
          <w:sz w:val="26"/>
          <w:szCs w:val="26"/>
        </w:rPr>
        <w:t>En</w:t>
      </w:r>
      <w:r w:rsidR="00262BB6" w:rsidRPr="0080791C">
        <w:rPr>
          <w:color w:val="auto"/>
          <w:kern w:val="1"/>
          <w:sz w:val="26"/>
          <w:szCs w:val="26"/>
        </w:rPr>
        <w:t>erPenn</w:t>
      </w:r>
      <w:r w:rsidR="00761CFC" w:rsidRPr="0080791C">
        <w:rPr>
          <w:color w:val="auto"/>
          <w:kern w:val="1"/>
          <w:sz w:val="26"/>
          <w:szCs w:val="26"/>
        </w:rPr>
        <w:t xml:space="preserve"> to demonstr</w:t>
      </w:r>
      <w:r w:rsidR="00E51A90" w:rsidRPr="0080791C">
        <w:rPr>
          <w:color w:val="auto"/>
          <w:kern w:val="1"/>
          <w:sz w:val="26"/>
          <w:szCs w:val="26"/>
        </w:rPr>
        <w:t xml:space="preserve">ate its financial </w:t>
      </w:r>
      <w:r w:rsidR="00761CFC" w:rsidRPr="0080791C">
        <w:rPr>
          <w:color w:val="auto"/>
          <w:kern w:val="1"/>
          <w:sz w:val="26"/>
          <w:szCs w:val="26"/>
        </w:rPr>
        <w:t xml:space="preserve">fitness in order to be licensed as a </w:t>
      </w:r>
      <w:r w:rsidR="00D229E1" w:rsidRPr="0080791C">
        <w:rPr>
          <w:color w:val="auto"/>
          <w:kern w:val="1"/>
          <w:sz w:val="26"/>
          <w:szCs w:val="26"/>
        </w:rPr>
        <w:t>supplier of retail electric power</w:t>
      </w:r>
      <w:r w:rsidR="00761CFC" w:rsidRPr="0080791C">
        <w:rPr>
          <w:color w:val="auto"/>
          <w:kern w:val="1"/>
          <w:sz w:val="26"/>
          <w:szCs w:val="26"/>
        </w:rPr>
        <w:t xml:space="preserve"> in</w:t>
      </w:r>
      <w:r w:rsidR="002C2425" w:rsidRPr="0080791C">
        <w:rPr>
          <w:color w:val="auto"/>
          <w:kern w:val="1"/>
          <w:sz w:val="26"/>
          <w:szCs w:val="26"/>
        </w:rPr>
        <w:t xml:space="preserve"> </w:t>
      </w:r>
      <w:r w:rsidR="00D96482" w:rsidRPr="0080791C">
        <w:rPr>
          <w:color w:val="auto"/>
          <w:kern w:val="1"/>
          <w:sz w:val="26"/>
          <w:szCs w:val="26"/>
        </w:rPr>
        <w:t xml:space="preserve">the </w:t>
      </w:r>
      <w:r w:rsidR="00FD31F9" w:rsidRPr="0080791C">
        <w:rPr>
          <w:color w:val="auto"/>
          <w:kern w:val="1"/>
          <w:sz w:val="26"/>
          <w:szCs w:val="26"/>
        </w:rPr>
        <w:t>service territories throughout</w:t>
      </w:r>
      <w:r w:rsidR="009B6D37" w:rsidRPr="0080791C">
        <w:rPr>
          <w:color w:val="auto"/>
          <w:kern w:val="1"/>
          <w:sz w:val="26"/>
          <w:szCs w:val="26"/>
        </w:rPr>
        <w:t xml:space="preserve"> the </w:t>
      </w:r>
      <w:r w:rsidR="00D96482" w:rsidRPr="0080791C">
        <w:rPr>
          <w:color w:val="auto"/>
          <w:kern w:val="1"/>
          <w:sz w:val="26"/>
          <w:szCs w:val="26"/>
        </w:rPr>
        <w:t xml:space="preserve">Commonwealth of </w:t>
      </w:r>
      <w:r w:rsidR="00761CFC" w:rsidRPr="0080791C">
        <w:rPr>
          <w:color w:val="auto"/>
          <w:kern w:val="1"/>
          <w:sz w:val="26"/>
          <w:szCs w:val="26"/>
        </w:rPr>
        <w:t>Pennsylvania.</w:t>
      </w:r>
    </w:p>
    <w:p w:rsidR="000377DA" w:rsidRPr="0080791C" w:rsidRDefault="000377DA" w:rsidP="00D44084">
      <w:pPr>
        <w:tabs>
          <w:tab w:val="left" w:pos="-720"/>
        </w:tabs>
        <w:suppressAutoHyphens/>
        <w:spacing w:line="360" w:lineRule="auto"/>
        <w:ind w:firstLine="1440"/>
        <w:rPr>
          <w:color w:val="auto"/>
          <w:kern w:val="1"/>
          <w:sz w:val="26"/>
          <w:szCs w:val="26"/>
        </w:rPr>
      </w:pPr>
    </w:p>
    <w:p w:rsidR="003C7B0F" w:rsidRPr="0080791C" w:rsidRDefault="0042099B" w:rsidP="003C7B0F">
      <w:pPr>
        <w:tabs>
          <w:tab w:val="left" w:pos="0"/>
        </w:tabs>
        <w:suppressAutoHyphens/>
        <w:spacing w:line="360" w:lineRule="auto"/>
        <w:rPr>
          <w:color w:val="auto"/>
          <w:sz w:val="26"/>
          <w:szCs w:val="26"/>
        </w:rPr>
      </w:pPr>
      <w:r w:rsidRPr="0080791C">
        <w:rPr>
          <w:color w:val="auto"/>
          <w:sz w:val="26"/>
          <w:szCs w:val="26"/>
        </w:rPr>
        <w:tab/>
      </w:r>
      <w:r w:rsidRPr="0080791C">
        <w:rPr>
          <w:color w:val="auto"/>
          <w:sz w:val="26"/>
          <w:szCs w:val="26"/>
        </w:rPr>
        <w:tab/>
        <w:t>En</w:t>
      </w:r>
      <w:r w:rsidR="003C7B0F" w:rsidRPr="0080791C">
        <w:rPr>
          <w:color w:val="auto"/>
          <w:sz w:val="26"/>
          <w:szCs w:val="26"/>
        </w:rPr>
        <w:t>erPenn has provided a $250,000 surety bond as required by the license application.</w:t>
      </w:r>
    </w:p>
    <w:p w:rsidR="00DB64E3" w:rsidRPr="0080791C" w:rsidRDefault="00DB64E3" w:rsidP="003C7B0F">
      <w:pPr>
        <w:tabs>
          <w:tab w:val="left" w:pos="0"/>
        </w:tabs>
        <w:suppressAutoHyphens/>
        <w:spacing w:line="360" w:lineRule="auto"/>
        <w:rPr>
          <w:color w:val="auto"/>
          <w:sz w:val="26"/>
          <w:szCs w:val="26"/>
        </w:rPr>
      </w:pPr>
    </w:p>
    <w:p w:rsidR="00DB64E3" w:rsidRPr="0080791C" w:rsidRDefault="0063636E" w:rsidP="00DB64E3">
      <w:pPr>
        <w:tabs>
          <w:tab w:val="left" w:pos="-720"/>
        </w:tabs>
        <w:suppressAutoHyphens/>
        <w:spacing w:line="360" w:lineRule="auto"/>
        <w:ind w:firstLine="1440"/>
        <w:rPr>
          <w:color w:val="auto"/>
          <w:kern w:val="1"/>
          <w:sz w:val="26"/>
          <w:szCs w:val="26"/>
        </w:rPr>
      </w:pPr>
      <w:r w:rsidRPr="0080791C">
        <w:rPr>
          <w:color w:val="auto"/>
          <w:sz w:val="26"/>
          <w:szCs w:val="26"/>
        </w:rPr>
        <w:t xml:space="preserve">As of November </w:t>
      </w:r>
      <w:r w:rsidR="00DB64E3" w:rsidRPr="0080791C">
        <w:rPr>
          <w:color w:val="auto"/>
          <w:sz w:val="26"/>
          <w:szCs w:val="26"/>
        </w:rPr>
        <w:t>1, 2011, no protests have been filed with the Commission.</w:t>
      </w:r>
    </w:p>
    <w:p w:rsidR="00DB64E3" w:rsidRPr="0080791C" w:rsidRDefault="00DB64E3" w:rsidP="003C7B0F">
      <w:pPr>
        <w:tabs>
          <w:tab w:val="left" w:pos="0"/>
        </w:tabs>
        <w:suppressAutoHyphens/>
        <w:spacing w:line="360" w:lineRule="auto"/>
        <w:rPr>
          <w:color w:val="auto"/>
          <w:sz w:val="26"/>
          <w:szCs w:val="26"/>
        </w:rPr>
      </w:pPr>
    </w:p>
    <w:p w:rsidR="0042099B" w:rsidRPr="0080791C" w:rsidRDefault="0042099B" w:rsidP="00D44084">
      <w:pPr>
        <w:tabs>
          <w:tab w:val="left" w:pos="-720"/>
        </w:tabs>
        <w:suppressAutoHyphens/>
        <w:spacing w:line="360" w:lineRule="auto"/>
        <w:ind w:firstLine="1440"/>
        <w:rPr>
          <w:color w:val="auto"/>
          <w:kern w:val="1"/>
          <w:sz w:val="26"/>
          <w:szCs w:val="26"/>
        </w:rPr>
      </w:pPr>
      <w:r w:rsidRPr="0080791C">
        <w:rPr>
          <w:color w:val="auto"/>
          <w:kern w:val="1"/>
          <w:sz w:val="26"/>
          <w:szCs w:val="26"/>
        </w:rPr>
        <w:t>In the course of staff review of the instant a</w:t>
      </w:r>
      <w:r w:rsidR="000D3185" w:rsidRPr="0080791C">
        <w:rPr>
          <w:color w:val="auto"/>
          <w:kern w:val="1"/>
          <w:sz w:val="26"/>
          <w:szCs w:val="26"/>
        </w:rPr>
        <w:t xml:space="preserve">pplication EnerPenn disclosed </w:t>
      </w:r>
      <w:r w:rsidR="005507EF" w:rsidRPr="0080791C">
        <w:rPr>
          <w:color w:val="auto"/>
          <w:kern w:val="1"/>
          <w:sz w:val="26"/>
          <w:szCs w:val="26"/>
        </w:rPr>
        <w:t>two court proceedings</w:t>
      </w:r>
      <w:r w:rsidR="0063636E" w:rsidRPr="0080791C">
        <w:rPr>
          <w:color w:val="auto"/>
          <w:kern w:val="1"/>
          <w:sz w:val="26"/>
          <w:szCs w:val="26"/>
        </w:rPr>
        <w:t xml:space="preserve"> that its affiliate was a party to in Texas:</w:t>
      </w:r>
      <w:r w:rsidR="005507EF" w:rsidRPr="0080791C">
        <w:rPr>
          <w:color w:val="auto"/>
          <w:kern w:val="1"/>
          <w:sz w:val="26"/>
          <w:szCs w:val="26"/>
        </w:rPr>
        <w:t xml:space="preserve"> </w:t>
      </w:r>
      <w:r w:rsidR="00626A95" w:rsidRPr="0080791C">
        <w:rPr>
          <w:color w:val="auto"/>
          <w:kern w:val="1"/>
          <w:sz w:val="26"/>
          <w:szCs w:val="26"/>
        </w:rPr>
        <w:t>a consumer/regulatory action and a criminal/civil p</w:t>
      </w:r>
      <w:r w:rsidR="000D3185" w:rsidRPr="0080791C">
        <w:rPr>
          <w:color w:val="auto"/>
          <w:kern w:val="1"/>
          <w:sz w:val="26"/>
          <w:szCs w:val="26"/>
        </w:rPr>
        <w:t>roceeding.</w:t>
      </w:r>
    </w:p>
    <w:p w:rsidR="000377DA" w:rsidRPr="0080791C" w:rsidRDefault="00645786" w:rsidP="00626A95">
      <w:pPr>
        <w:tabs>
          <w:tab w:val="left" w:pos="-720"/>
        </w:tabs>
        <w:suppressAutoHyphens/>
        <w:spacing w:line="360" w:lineRule="auto"/>
        <w:ind w:firstLine="1440"/>
        <w:rPr>
          <w:color w:val="auto"/>
          <w:kern w:val="1"/>
          <w:sz w:val="26"/>
          <w:szCs w:val="26"/>
        </w:rPr>
      </w:pPr>
      <w:r w:rsidRPr="0080791C">
        <w:rPr>
          <w:color w:val="auto"/>
          <w:kern w:val="1"/>
          <w:sz w:val="26"/>
          <w:szCs w:val="26"/>
        </w:rPr>
        <w:lastRenderedPageBreak/>
        <w:t xml:space="preserve">On January 4, 2011 </w:t>
      </w:r>
      <w:r w:rsidR="00626A95" w:rsidRPr="0080791C">
        <w:rPr>
          <w:color w:val="auto"/>
          <w:kern w:val="1"/>
          <w:sz w:val="26"/>
          <w:szCs w:val="26"/>
        </w:rPr>
        <w:t xml:space="preserve">the Public Utility Commission of Texas </w:t>
      </w:r>
      <w:r w:rsidRPr="0080791C">
        <w:rPr>
          <w:color w:val="auto"/>
          <w:kern w:val="1"/>
          <w:sz w:val="26"/>
          <w:szCs w:val="26"/>
        </w:rPr>
        <w:t>Docket No. 39046</w:t>
      </w:r>
      <w:r w:rsidR="00626A95" w:rsidRPr="0080791C">
        <w:rPr>
          <w:color w:val="auto"/>
          <w:kern w:val="1"/>
          <w:sz w:val="26"/>
          <w:szCs w:val="26"/>
        </w:rPr>
        <w:t>, issued an</w:t>
      </w:r>
      <w:r w:rsidRPr="0080791C">
        <w:rPr>
          <w:color w:val="auto"/>
          <w:kern w:val="1"/>
          <w:sz w:val="26"/>
          <w:szCs w:val="26"/>
        </w:rPr>
        <w:t xml:space="preserve"> order which approved the Settlement </w:t>
      </w:r>
      <w:r w:rsidR="00565779" w:rsidRPr="0080791C">
        <w:rPr>
          <w:color w:val="auto"/>
          <w:kern w:val="1"/>
          <w:sz w:val="26"/>
          <w:szCs w:val="26"/>
        </w:rPr>
        <w:t xml:space="preserve">Agreement and Report to </w:t>
      </w:r>
      <w:r w:rsidR="00626A95" w:rsidRPr="0080791C">
        <w:rPr>
          <w:color w:val="auto"/>
          <w:kern w:val="1"/>
          <w:sz w:val="26"/>
          <w:szCs w:val="26"/>
        </w:rPr>
        <w:t xml:space="preserve">the </w:t>
      </w:r>
      <w:r w:rsidR="00565779" w:rsidRPr="0080791C">
        <w:rPr>
          <w:color w:val="auto"/>
          <w:kern w:val="1"/>
          <w:sz w:val="26"/>
          <w:szCs w:val="26"/>
        </w:rPr>
        <w:t>Commission regarding Commission Staff’s investigation of Texpo Power</w:t>
      </w:r>
      <w:r w:rsidR="00626A95" w:rsidRPr="0080791C">
        <w:rPr>
          <w:color w:val="auto"/>
          <w:kern w:val="1"/>
          <w:sz w:val="26"/>
          <w:szCs w:val="26"/>
        </w:rPr>
        <w:t>, LP</w:t>
      </w:r>
      <w:r w:rsidR="00565779" w:rsidRPr="0080791C">
        <w:rPr>
          <w:color w:val="auto"/>
          <w:kern w:val="1"/>
          <w:sz w:val="26"/>
          <w:szCs w:val="26"/>
        </w:rPr>
        <w:t xml:space="preserve"> for violations of PURA</w:t>
      </w:r>
      <w:r w:rsidR="00565779" w:rsidRPr="0080791C">
        <w:rPr>
          <w:rStyle w:val="FootnoteReference"/>
          <w:color w:val="auto"/>
          <w:kern w:val="1"/>
          <w:sz w:val="26"/>
          <w:szCs w:val="26"/>
        </w:rPr>
        <w:footnoteReference w:id="1"/>
      </w:r>
      <w:r w:rsidR="00565779" w:rsidRPr="0080791C">
        <w:rPr>
          <w:color w:val="auto"/>
          <w:kern w:val="1"/>
          <w:sz w:val="26"/>
          <w:szCs w:val="26"/>
        </w:rPr>
        <w:t xml:space="preserve"> §§</w:t>
      </w:r>
      <w:r w:rsidR="00861578" w:rsidRPr="0080791C">
        <w:rPr>
          <w:color w:val="auto"/>
          <w:kern w:val="1"/>
          <w:sz w:val="26"/>
          <w:szCs w:val="26"/>
        </w:rPr>
        <w:t>17.004 and 39.101 and Subchapter R of the subs</w:t>
      </w:r>
      <w:r w:rsidR="00626A95" w:rsidRPr="0080791C">
        <w:rPr>
          <w:color w:val="auto"/>
          <w:kern w:val="1"/>
          <w:sz w:val="26"/>
          <w:szCs w:val="26"/>
        </w:rPr>
        <w:t>tantive rules of the Commission.</w:t>
      </w:r>
      <w:r w:rsidR="00861578" w:rsidRPr="0080791C">
        <w:rPr>
          <w:color w:val="auto"/>
          <w:kern w:val="1"/>
          <w:sz w:val="26"/>
          <w:szCs w:val="26"/>
        </w:rPr>
        <w:t xml:space="preserve"> </w:t>
      </w:r>
      <w:r w:rsidR="00B51029" w:rsidRPr="0080791C">
        <w:rPr>
          <w:color w:val="auto"/>
          <w:kern w:val="1"/>
          <w:sz w:val="26"/>
          <w:szCs w:val="26"/>
        </w:rPr>
        <w:t xml:space="preserve"> </w:t>
      </w:r>
      <w:r w:rsidR="00626A95" w:rsidRPr="0080791C">
        <w:rPr>
          <w:color w:val="auto"/>
          <w:kern w:val="1"/>
          <w:sz w:val="26"/>
          <w:szCs w:val="26"/>
        </w:rPr>
        <w:t xml:space="preserve">That order was the result of Audit 2010050005 for Texpo Power, LP which was part of an industry wide audit that requested documents and confirmation of compliance with Customer Protection Rules for retail electric service.  </w:t>
      </w:r>
      <w:r w:rsidR="00861578" w:rsidRPr="0080791C">
        <w:rPr>
          <w:color w:val="auto"/>
          <w:kern w:val="1"/>
          <w:sz w:val="26"/>
          <w:szCs w:val="26"/>
        </w:rPr>
        <w:t xml:space="preserve">Commission Staff recommended an administrative penalty of $19,000.  Texpo remitted payment to the Texas </w:t>
      </w:r>
      <w:r w:rsidR="00626A95" w:rsidRPr="0080791C">
        <w:rPr>
          <w:color w:val="auto"/>
          <w:kern w:val="1"/>
          <w:sz w:val="26"/>
          <w:szCs w:val="26"/>
        </w:rPr>
        <w:t xml:space="preserve">Commission </w:t>
      </w:r>
      <w:r w:rsidR="00861578" w:rsidRPr="0080791C">
        <w:rPr>
          <w:color w:val="auto"/>
          <w:kern w:val="1"/>
          <w:sz w:val="26"/>
          <w:szCs w:val="26"/>
        </w:rPr>
        <w:t xml:space="preserve">on March 2, 2011.  </w:t>
      </w:r>
    </w:p>
    <w:p w:rsidR="00FC336C" w:rsidRPr="0080791C" w:rsidRDefault="00FC336C" w:rsidP="00D44084">
      <w:pPr>
        <w:tabs>
          <w:tab w:val="left" w:pos="-720"/>
        </w:tabs>
        <w:suppressAutoHyphens/>
        <w:spacing w:line="360" w:lineRule="auto"/>
        <w:ind w:firstLine="1440"/>
        <w:rPr>
          <w:color w:val="auto"/>
          <w:kern w:val="1"/>
          <w:sz w:val="26"/>
          <w:szCs w:val="26"/>
        </w:rPr>
      </w:pPr>
    </w:p>
    <w:p w:rsidR="00DB64E3" w:rsidRPr="0080791C" w:rsidRDefault="00AD3A4F" w:rsidP="00F65EB0">
      <w:pPr>
        <w:tabs>
          <w:tab w:val="left" w:pos="-720"/>
        </w:tabs>
        <w:suppressAutoHyphens/>
        <w:spacing w:line="360" w:lineRule="auto"/>
        <w:ind w:firstLine="1440"/>
        <w:rPr>
          <w:color w:val="auto"/>
          <w:kern w:val="1"/>
          <w:sz w:val="26"/>
          <w:szCs w:val="26"/>
        </w:rPr>
      </w:pPr>
      <w:r w:rsidRPr="0080791C">
        <w:rPr>
          <w:color w:val="auto"/>
          <w:kern w:val="1"/>
          <w:sz w:val="26"/>
          <w:szCs w:val="26"/>
        </w:rPr>
        <w:t>Texpo Power, LP, En</w:t>
      </w:r>
      <w:r w:rsidR="008A55FD" w:rsidRPr="0080791C">
        <w:rPr>
          <w:color w:val="auto"/>
          <w:kern w:val="1"/>
          <w:sz w:val="26"/>
          <w:szCs w:val="26"/>
        </w:rPr>
        <w:t>erPenn’s affiliate</w:t>
      </w:r>
      <w:r w:rsidR="00F65EB0" w:rsidRPr="0080791C">
        <w:rPr>
          <w:color w:val="auto"/>
          <w:kern w:val="1"/>
          <w:sz w:val="26"/>
          <w:szCs w:val="26"/>
        </w:rPr>
        <w:t>, was involved as a defendant in a proceeding,</w:t>
      </w:r>
      <w:r w:rsidR="008A55FD" w:rsidRPr="0080791C">
        <w:rPr>
          <w:color w:val="auto"/>
          <w:kern w:val="1"/>
          <w:sz w:val="26"/>
          <w:szCs w:val="26"/>
        </w:rPr>
        <w:t xml:space="preserve"> </w:t>
      </w:r>
      <w:r w:rsidRPr="0080791C">
        <w:rPr>
          <w:color w:val="auto"/>
          <w:kern w:val="1"/>
          <w:sz w:val="26"/>
          <w:szCs w:val="26"/>
        </w:rPr>
        <w:t>at Case No. 1-11-425, in the 382</w:t>
      </w:r>
      <w:r w:rsidRPr="0080791C">
        <w:rPr>
          <w:color w:val="auto"/>
          <w:kern w:val="1"/>
          <w:sz w:val="26"/>
          <w:szCs w:val="26"/>
          <w:vertAlign w:val="superscript"/>
        </w:rPr>
        <w:t>nd</w:t>
      </w:r>
      <w:r w:rsidRPr="0080791C">
        <w:rPr>
          <w:color w:val="auto"/>
          <w:kern w:val="1"/>
          <w:sz w:val="26"/>
          <w:szCs w:val="26"/>
        </w:rPr>
        <w:t xml:space="preserve"> Judicial District of Rockwall County, TX.  The case is Donald Scott Mackenzie v Texpo Power, L.P. d/b/a Y.E.P.</w:t>
      </w:r>
      <w:r w:rsidR="00626A95" w:rsidRPr="0080791C">
        <w:rPr>
          <w:color w:val="auto"/>
          <w:kern w:val="1"/>
          <w:sz w:val="26"/>
          <w:szCs w:val="26"/>
        </w:rPr>
        <w:t xml:space="preserve">  </w:t>
      </w:r>
      <w:r w:rsidR="00FC336C" w:rsidRPr="0080791C">
        <w:rPr>
          <w:color w:val="auto"/>
          <w:kern w:val="1"/>
          <w:sz w:val="26"/>
          <w:szCs w:val="26"/>
        </w:rPr>
        <w:t>On April 20, 2011</w:t>
      </w:r>
      <w:r w:rsidR="00B51029" w:rsidRPr="0080791C">
        <w:rPr>
          <w:color w:val="auto"/>
          <w:kern w:val="1"/>
          <w:sz w:val="26"/>
          <w:szCs w:val="26"/>
        </w:rPr>
        <w:t>,</w:t>
      </w:r>
      <w:r w:rsidR="00FC336C" w:rsidRPr="0080791C">
        <w:rPr>
          <w:color w:val="auto"/>
          <w:kern w:val="1"/>
          <w:sz w:val="26"/>
          <w:szCs w:val="26"/>
        </w:rPr>
        <w:t xml:space="preserve"> Donald Scott Mackenzie</w:t>
      </w:r>
      <w:r w:rsidR="00D350CB" w:rsidRPr="0080791C">
        <w:rPr>
          <w:color w:val="auto"/>
          <w:kern w:val="1"/>
          <w:sz w:val="26"/>
          <w:szCs w:val="26"/>
        </w:rPr>
        <w:t xml:space="preserve"> (Plaintiff</w:t>
      </w:r>
      <w:r w:rsidR="00A22B12" w:rsidRPr="0080791C">
        <w:rPr>
          <w:color w:val="auto"/>
          <w:kern w:val="1"/>
          <w:sz w:val="26"/>
          <w:szCs w:val="26"/>
        </w:rPr>
        <w:t>)</w:t>
      </w:r>
      <w:r w:rsidR="00FC336C" w:rsidRPr="0080791C">
        <w:rPr>
          <w:color w:val="auto"/>
          <w:kern w:val="1"/>
          <w:sz w:val="26"/>
          <w:szCs w:val="26"/>
        </w:rPr>
        <w:t xml:space="preserve"> </w:t>
      </w:r>
      <w:r w:rsidR="00A22B12" w:rsidRPr="0080791C">
        <w:rPr>
          <w:color w:val="auto"/>
          <w:kern w:val="1"/>
          <w:sz w:val="26"/>
          <w:szCs w:val="26"/>
        </w:rPr>
        <w:t>submitted a Petition and Request for Disclosure to the 382 Judicial District of Rockwal</w:t>
      </w:r>
      <w:r w:rsidR="00D350CB" w:rsidRPr="0080791C">
        <w:rPr>
          <w:color w:val="auto"/>
          <w:kern w:val="1"/>
          <w:sz w:val="26"/>
          <w:szCs w:val="26"/>
        </w:rPr>
        <w:t>l County Texas wherein the Plaintiff</w:t>
      </w:r>
      <w:r w:rsidR="00A22B12" w:rsidRPr="0080791C">
        <w:rPr>
          <w:color w:val="auto"/>
          <w:kern w:val="1"/>
          <w:sz w:val="26"/>
          <w:szCs w:val="26"/>
        </w:rPr>
        <w:t xml:space="preserve"> asserts that Texpo </w:t>
      </w:r>
      <w:r w:rsidR="00D350CB" w:rsidRPr="0080791C">
        <w:rPr>
          <w:color w:val="auto"/>
          <w:kern w:val="1"/>
          <w:sz w:val="26"/>
          <w:szCs w:val="26"/>
        </w:rPr>
        <w:t xml:space="preserve">engaged </w:t>
      </w:r>
      <w:r w:rsidR="008A55FD" w:rsidRPr="0080791C">
        <w:rPr>
          <w:color w:val="auto"/>
          <w:kern w:val="1"/>
          <w:sz w:val="26"/>
          <w:szCs w:val="26"/>
        </w:rPr>
        <w:t>in deceptive business practices, common law f</w:t>
      </w:r>
      <w:r w:rsidR="00016635" w:rsidRPr="0080791C">
        <w:rPr>
          <w:color w:val="auto"/>
          <w:kern w:val="1"/>
          <w:sz w:val="26"/>
          <w:szCs w:val="26"/>
        </w:rPr>
        <w:t xml:space="preserve">raud </w:t>
      </w:r>
      <w:r w:rsidR="008A55FD" w:rsidRPr="0080791C">
        <w:rPr>
          <w:color w:val="auto"/>
          <w:kern w:val="1"/>
          <w:sz w:val="26"/>
          <w:szCs w:val="26"/>
        </w:rPr>
        <w:t>and, breach of c</w:t>
      </w:r>
      <w:r w:rsidR="00016635" w:rsidRPr="0080791C">
        <w:rPr>
          <w:color w:val="auto"/>
          <w:kern w:val="1"/>
          <w:sz w:val="26"/>
          <w:szCs w:val="26"/>
        </w:rPr>
        <w:t>ontract.</w:t>
      </w:r>
      <w:r w:rsidR="00F65EB0" w:rsidRPr="0080791C">
        <w:rPr>
          <w:color w:val="auto"/>
          <w:kern w:val="1"/>
          <w:sz w:val="26"/>
          <w:szCs w:val="26"/>
        </w:rPr>
        <w:t xml:space="preserve">  </w:t>
      </w:r>
      <w:r w:rsidR="00626A95" w:rsidRPr="0080791C">
        <w:rPr>
          <w:color w:val="auto"/>
          <w:kern w:val="1"/>
          <w:sz w:val="26"/>
          <w:szCs w:val="26"/>
        </w:rPr>
        <w:t>On May 25, 2011</w:t>
      </w:r>
      <w:r w:rsidR="00B51029" w:rsidRPr="0080791C">
        <w:rPr>
          <w:color w:val="auto"/>
          <w:kern w:val="1"/>
          <w:sz w:val="26"/>
          <w:szCs w:val="26"/>
        </w:rPr>
        <w:t>,</w:t>
      </w:r>
      <w:r w:rsidR="00626A95" w:rsidRPr="0080791C">
        <w:rPr>
          <w:color w:val="auto"/>
          <w:kern w:val="1"/>
          <w:sz w:val="26"/>
          <w:szCs w:val="26"/>
        </w:rPr>
        <w:t xml:space="preserve"> an</w:t>
      </w:r>
      <w:r w:rsidR="003B6FBC" w:rsidRPr="0080791C">
        <w:rPr>
          <w:color w:val="auto"/>
          <w:kern w:val="1"/>
          <w:sz w:val="26"/>
          <w:szCs w:val="26"/>
        </w:rPr>
        <w:t xml:space="preserve"> Order for Abating Lawsuit </w:t>
      </w:r>
      <w:r w:rsidR="00DB64E3" w:rsidRPr="0080791C">
        <w:rPr>
          <w:color w:val="auto"/>
          <w:kern w:val="1"/>
          <w:sz w:val="26"/>
          <w:szCs w:val="26"/>
        </w:rPr>
        <w:t xml:space="preserve">(1-11-425) </w:t>
      </w:r>
      <w:r w:rsidR="003B6FBC" w:rsidRPr="0080791C">
        <w:rPr>
          <w:color w:val="auto"/>
          <w:kern w:val="1"/>
          <w:sz w:val="26"/>
          <w:szCs w:val="26"/>
        </w:rPr>
        <w:t>was filed by Texpo</w:t>
      </w:r>
      <w:r w:rsidR="00DB64E3" w:rsidRPr="0080791C">
        <w:rPr>
          <w:color w:val="auto"/>
          <w:kern w:val="1"/>
          <w:sz w:val="26"/>
          <w:szCs w:val="26"/>
        </w:rPr>
        <w:t xml:space="preserve">.  </w:t>
      </w:r>
      <w:r w:rsidR="005507EF" w:rsidRPr="0080791C">
        <w:rPr>
          <w:color w:val="auto"/>
          <w:kern w:val="1"/>
          <w:sz w:val="26"/>
          <w:szCs w:val="26"/>
        </w:rPr>
        <w:t>On September 27, 2011</w:t>
      </w:r>
      <w:r w:rsidR="00B51029" w:rsidRPr="0080791C">
        <w:rPr>
          <w:color w:val="auto"/>
          <w:kern w:val="1"/>
          <w:sz w:val="26"/>
          <w:szCs w:val="26"/>
        </w:rPr>
        <w:t>,</w:t>
      </w:r>
      <w:r w:rsidR="005507EF" w:rsidRPr="0080791C">
        <w:rPr>
          <w:color w:val="auto"/>
          <w:kern w:val="1"/>
          <w:sz w:val="26"/>
          <w:szCs w:val="26"/>
        </w:rPr>
        <w:t xml:space="preserve"> the case </w:t>
      </w:r>
      <w:r w:rsidR="00DB64E3" w:rsidRPr="0080791C">
        <w:rPr>
          <w:color w:val="auto"/>
          <w:kern w:val="1"/>
          <w:sz w:val="26"/>
          <w:szCs w:val="26"/>
        </w:rPr>
        <w:t xml:space="preserve">(1-11-425) </w:t>
      </w:r>
      <w:r w:rsidR="005507EF" w:rsidRPr="0080791C">
        <w:rPr>
          <w:color w:val="auto"/>
          <w:kern w:val="1"/>
          <w:sz w:val="26"/>
          <w:szCs w:val="26"/>
        </w:rPr>
        <w:t>was dismissed with prejudice to the Plaintiff.</w:t>
      </w:r>
      <w:r w:rsidR="00DB64E3" w:rsidRPr="0080791C">
        <w:rPr>
          <w:color w:val="auto"/>
          <w:kern w:val="1"/>
          <w:sz w:val="26"/>
          <w:szCs w:val="26"/>
        </w:rPr>
        <w:t xml:space="preserve">  </w:t>
      </w:r>
    </w:p>
    <w:p w:rsidR="00DB64E3" w:rsidRPr="0080791C" w:rsidRDefault="00DB64E3" w:rsidP="00DB64E3">
      <w:pPr>
        <w:tabs>
          <w:tab w:val="left" w:pos="-720"/>
        </w:tabs>
        <w:suppressAutoHyphens/>
        <w:spacing w:line="360" w:lineRule="auto"/>
        <w:ind w:firstLine="1440"/>
        <w:rPr>
          <w:color w:val="auto"/>
          <w:kern w:val="1"/>
          <w:sz w:val="26"/>
          <w:szCs w:val="26"/>
        </w:rPr>
      </w:pPr>
    </w:p>
    <w:p w:rsidR="00F65EB0" w:rsidRPr="0080791C" w:rsidRDefault="00F65EB0" w:rsidP="003E3216">
      <w:pPr>
        <w:pStyle w:val="BodyText2"/>
        <w:tabs>
          <w:tab w:val="clear" w:pos="0"/>
          <w:tab w:val="clear" w:pos="1440"/>
        </w:tabs>
        <w:ind w:firstLine="1440"/>
        <w:jc w:val="left"/>
        <w:rPr>
          <w:color w:val="auto"/>
          <w:spacing w:val="-3"/>
          <w:kern w:val="1"/>
          <w:szCs w:val="26"/>
        </w:rPr>
      </w:pPr>
      <w:r w:rsidRPr="0080791C">
        <w:rPr>
          <w:color w:val="auto"/>
          <w:spacing w:val="-3"/>
          <w:kern w:val="1"/>
          <w:szCs w:val="26"/>
        </w:rPr>
        <w:t xml:space="preserve">Upon review of the information submitted by EnerPenn in support of its application we note that </w:t>
      </w:r>
      <w:r w:rsidR="00ED6845" w:rsidRPr="0080791C">
        <w:rPr>
          <w:color w:val="auto"/>
          <w:spacing w:val="-3"/>
          <w:kern w:val="1"/>
          <w:szCs w:val="26"/>
        </w:rPr>
        <w:t xml:space="preserve">the conduct of </w:t>
      </w:r>
      <w:r w:rsidR="003E3216" w:rsidRPr="0080791C">
        <w:rPr>
          <w:color w:val="auto"/>
          <w:spacing w:val="-3"/>
          <w:kern w:val="1"/>
          <w:szCs w:val="26"/>
        </w:rPr>
        <w:t>E</w:t>
      </w:r>
      <w:r w:rsidR="00ED6845" w:rsidRPr="0080791C">
        <w:rPr>
          <w:color w:val="auto"/>
          <w:spacing w:val="-3"/>
          <w:kern w:val="1"/>
          <w:szCs w:val="26"/>
        </w:rPr>
        <w:t xml:space="preserve">nerPenn’s affiliate in other states (particularly Texas) raises consumer protection concerns.  </w:t>
      </w:r>
      <w:r w:rsidR="003E3216" w:rsidRPr="0080791C">
        <w:rPr>
          <w:color w:val="auto"/>
          <w:spacing w:val="-3"/>
          <w:kern w:val="1"/>
          <w:szCs w:val="26"/>
        </w:rPr>
        <w:t>However, we believe that i</w:t>
      </w:r>
      <w:r w:rsidR="00ED6845" w:rsidRPr="0080791C">
        <w:rPr>
          <w:color w:val="auto"/>
          <w:spacing w:val="-3"/>
          <w:kern w:val="1"/>
          <w:szCs w:val="26"/>
        </w:rPr>
        <w:t xml:space="preserve">f </w:t>
      </w:r>
      <w:r w:rsidR="003E3216" w:rsidRPr="0080791C">
        <w:rPr>
          <w:color w:val="auto"/>
          <w:spacing w:val="-3"/>
          <w:kern w:val="1"/>
          <w:szCs w:val="26"/>
        </w:rPr>
        <w:t>we</w:t>
      </w:r>
      <w:r w:rsidR="00ED6845" w:rsidRPr="0080791C">
        <w:rPr>
          <w:color w:val="auto"/>
          <w:spacing w:val="-3"/>
          <w:kern w:val="1"/>
          <w:szCs w:val="26"/>
        </w:rPr>
        <w:t xml:space="preserve"> grant EnerPenn an EGS license </w:t>
      </w:r>
      <w:r w:rsidR="003E3216" w:rsidRPr="0080791C">
        <w:rPr>
          <w:color w:val="auto"/>
          <w:spacing w:val="-3"/>
          <w:kern w:val="1"/>
          <w:szCs w:val="26"/>
        </w:rPr>
        <w:t xml:space="preserve">subject to </w:t>
      </w:r>
      <w:r w:rsidR="00ED6845" w:rsidRPr="0080791C">
        <w:rPr>
          <w:color w:val="auto"/>
          <w:spacing w:val="-3"/>
          <w:kern w:val="1"/>
          <w:szCs w:val="26"/>
        </w:rPr>
        <w:t>similar conditions we imposed on Just Energy</w:t>
      </w:r>
      <w:r w:rsidR="003E3216" w:rsidRPr="0080791C">
        <w:rPr>
          <w:color w:val="auto"/>
          <w:spacing w:val="-3"/>
          <w:kern w:val="1"/>
          <w:szCs w:val="26"/>
        </w:rPr>
        <w:t>,</w:t>
      </w:r>
      <w:r w:rsidR="00ED6845" w:rsidRPr="0080791C">
        <w:rPr>
          <w:rStyle w:val="FootnoteReference"/>
          <w:color w:val="auto"/>
          <w:spacing w:val="-3"/>
          <w:kern w:val="1"/>
          <w:szCs w:val="26"/>
        </w:rPr>
        <w:footnoteReference w:id="2"/>
      </w:r>
      <w:r w:rsidR="00ED6845" w:rsidRPr="0080791C">
        <w:rPr>
          <w:color w:val="auto"/>
          <w:spacing w:val="-3"/>
          <w:kern w:val="1"/>
          <w:szCs w:val="26"/>
        </w:rPr>
        <w:t xml:space="preserve"> it is unlikely that EnerPenn would replicate the problematic history of its affiliates in other jurisdictions.  The</w:t>
      </w:r>
      <w:r w:rsidR="003E3216" w:rsidRPr="0080791C">
        <w:rPr>
          <w:color w:val="auto"/>
          <w:spacing w:val="-3"/>
          <w:kern w:val="1"/>
          <w:szCs w:val="26"/>
        </w:rPr>
        <w:t>se</w:t>
      </w:r>
      <w:r w:rsidR="00ED6845" w:rsidRPr="0080791C">
        <w:rPr>
          <w:color w:val="auto"/>
          <w:spacing w:val="-3"/>
          <w:kern w:val="1"/>
          <w:szCs w:val="26"/>
        </w:rPr>
        <w:t xml:space="preserve"> extensive conditions go a long way toward addressing our concerns regarding consumer protection.</w:t>
      </w:r>
    </w:p>
    <w:p w:rsidR="00F65EB0" w:rsidRPr="0080791C" w:rsidRDefault="00F65EB0" w:rsidP="00793F53">
      <w:pPr>
        <w:pStyle w:val="BodyText2"/>
        <w:tabs>
          <w:tab w:val="clear" w:pos="0"/>
          <w:tab w:val="clear" w:pos="1440"/>
        </w:tabs>
        <w:ind w:firstLine="1440"/>
        <w:rPr>
          <w:color w:val="auto"/>
          <w:spacing w:val="-3"/>
          <w:kern w:val="1"/>
          <w:szCs w:val="26"/>
        </w:rPr>
      </w:pPr>
    </w:p>
    <w:p w:rsidR="00327F6C" w:rsidRPr="0080791C" w:rsidRDefault="00DA06E2" w:rsidP="00793F53">
      <w:pPr>
        <w:pStyle w:val="BodyText2"/>
        <w:tabs>
          <w:tab w:val="clear" w:pos="0"/>
          <w:tab w:val="clear" w:pos="1440"/>
        </w:tabs>
        <w:ind w:firstLine="1440"/>
        <w:rPr>
          <w:color w:val="auto"/>
          <w:spacing w:val="-3"/>
          <w:kern w:val="1"/>
          <w:szCs w:val="26"/>
        </w:rPr>
      </w:pPr>
      <w:r w:rsidRPr="0080791C">
        <w:rPr>
          <w:color w:val="auto"/>
          <w:spacing w:val="-3"/>
          <w:kern w:val="1"/>
          <w:szCs w:val="26"/>
        </w:rPr>
        <w:lastRenderedPageBreak/>
        <w:t>B</w:t>
      </w:r>
      <w:r w:rsidR="00ED6845" w:rsidRPr="0080791C">
        <w:rPr>
          <w:color w:val="auto"/>
          <w:spacing w:val="-3"/>
          <w:kern w:val="1"/>
          <w:szCs w:val="26"/>
        </w:rPr>
        <w:t>ased on the</w:t>
      </w:r>
      <w:r w:rsidRPr="0080791C">
        <w:rPr>
          <w:color w:val="auto"/>
          <w:kern w:val="1"/>
          <w:szCs w:val="26"/>
        </w:rPr>
        <w:t xml:space="preserve"> above </w:t>
      </w:r>
      <w:r w:rsidR="003E3216" w:rsidRPr="0080791C">
        <w:rPr>
          <w:color w:val="auto"/>
          <w:kern w:val="1"/>
          <w:szCs w:val="26"/>
        </w:rPr>
        <w:t>we direct</w:t>
      </w:r>
      <w:r w:rsidRPr="0080791C">
        <w:rPr>
          <w:color w:val="auto"/>
          <w:kern w:val="1"/>
          <w:szCs w:val="26"/>
        </w:rPr>
        <w:t xml:space="preserve"> </w:t>
      </w:r>
      <w:r w:rsidR="003E3216" w:rsidRPr="0080791C">
        <w:rPr>
          <w:color w:val="auto"/>
          <w:kern w:val="1"/>
          <w:szCs w:val="26"/>
        </w:rPr>
        <w:t xml:space="preserve">that </w:t>
      </w:r>
      <w:r w:rsidRPr="0080791C">
        <w:rPr>
          <w:color w:val="auto"/>
          <w:kern w:val="1"/>
          <w:szCs w:val="26"/>
        </w:rPr>
        <w:t>the following conditions be applied</w:t>
      </w:r>
      <w:r w:rsidR="00327F6C" w:rsidRPr="0080791C">
        <w:rPr>
          <w:color w:val="auto"/>
          <w:spacing w:val="-3"/>
          <w:kern w:val="1"/>
          <w:szCs w:val="26"/>
        </w:rPr>
        <w:t>:</w:t>
      </w:r>
    </w:p>
    <w:p w:rsidR="00327F6C" w:rsidRPr="0080791C" w:rsidRDefault="00327F6C">
      <w:pPr>
        <w:tabs>
          <w:tab w:val="left" w:pos="0"/>
        </w:tabs>
        <w:suppressAutoHyphens/>
        <w:spacing w:line="360" w:lineRule="auto"/>
        <w:jc w:val="both"/>
        <w:rPr>
          <w:color w:val="auto"/>
          <w:spacing w:val="-3"/>
          <w:kern w:val="1"/>
          <w:sz w:val="26"/>
          <w:szCs w:val="26"/>
        </w:rPr>
      </w:pPr>
    </w:p>
    <w:p w:rsidR="00213117" w:rsidRPr="0080791C" w:rsidRDefault="00A90F0E" w:rsidP="00793F53">
      <w:pPr>
        <w:numPr>
          <w:ilvl w:val="0"/>
          <w:numId w:val="14"/>
        </w:numPr>
        <w:tabs>
          <w:tab w:val="clear" w:pos="1080"/>
          <w:tab w:val="left" w:pos="0"/>
        </w:tabs>
        <w:suppressAutoHyphens/>
        <w:spacing w:line="360" w:lineRule="auto"/>
        <w:ind w:left="2160" w:hanging="720"/>
        <w:rPr>
          <w:color w:val="auto"/>
          <w:sz w:val="26"/>
          <w:szCs w:val="26"/>
        </w:rPr>
      </w:pPr>
      <w:r w:rsidRPr="0080791C">
        <w:rPr>
          <w:color w:val="000000"/>
          <w:sz w:val="26"/>
          <w:szCs w:val="26"/>
        </w:rPr>
        <w:t>All</w:t>
      </w:r>
      <w:r w:rsidR="00213117" w:rsidRPr="0080791C">
        <w:rPr>
          <w:color w:val="000000"/>
          <w:sz w:val="26"/>
          <w:szCs w:val="26"/>
        </w:rPr>
        <w:t xml:space="preserve"> marketing materials to be used, including contracts and customer facing materials will be provided to Commission staff for </w:t>
      </w:r>
      <w:r w:rsidR="00B756CF" w:rsidRPr="0080791C">
        <w:rPr>
          <w:color w:val="000000"/>
          <w:sz w:val="26"/>
          <w:szCs w:val="26"/>
        </w:rPr>
        <w:t xml:space="preserve">informal </w:t>
      </w:r>
      <w:r w:rsidR="00213117" w:rsidRPr="0080791C">
        <w:rPr>
          <w:color w:val="000000"/>
          <w:sz w:val="26"/>
          <w:szCs w:val="26"/>
        </w:rPr>
        <w:t>comment 5 days pr</w:t>
      </w:r>
      <w:r w:rsidR="00E21FAB" w:rsidRPr="0080791C">
        <w:rPr>
          <w:color w:val="000000"/>
          <w:sz w:val="26"/>
          <w:szCs w:val="26"/>
        </w:rPr>
        <w:t>ior to use.  Bureau of Consumer Services review/comment does not relieve the supplier of complying with the relevant regulations and does not constitute a waiver/exemption fr</w:t>
      </w:r>
      <w:r w:rsidR="006819DE">
        <w:rPr>
          <w:color w:val="000000"/>
          <w:sz w:val="26"/>
          <w:szCs w:val="26"/>
        </w:rPr>
        <w:t>o</w:t>
      </w:r>
      <w:r w:rsidR="00E21FAB" w:rsidRPr="0080791C">
        <w:rPr>
          <w:color w:val="000000"/>
          <w:sz w:val="26"/>
          <w:szCs w:val="26"/>
        </w:rPr>
        <w:t>m possible Commission action.</w:t>
      </w:r>
    </w:p>
    <w:p w:rsidR="00461A7F" w:rsidRPr="0080791C" w:rsidRDefault="00461A7F" w:rsidP="00213117">
      <w:pPr>
        <w:tabs>
          <w:tab w:val="left" w:pos="0"/>
        </w:tabs>
        <w:suppressAutoHyphens/>
        <w:spacing w:line="360" w:lineRule="auto"/>
        <w:rPr>
          <w:color w:val="auto"/>
          <w:sz w:val="26"/>
          <w:szCs w:val="26"/>
        </w:rPr>
      </w:pPr>
    </w:p>
    <w:p w:rsidR="003A7BD0" w:rsidRPr="0080791C" w:rsidRDefault="0042099B" w:rsidP="00213117">
      <w:pPr>
        <w:numPr>
          <w:ilvl w:val="0"/>
          <w:numId w:val="14"/>
        </w:numPr>
        <w:tabs>
          <w:tab w:val="clear" w:pos="1080"/>
          <w:tab w:val="left" w:pos="0"/>
        </w:tabs>
        <w:suppressAutoHyphens/>
        <w:spacing w:line="360" w:lineRule="auto"/>
        <w:ind w:left="2160" w:hanging="720"/>
        <w:rPr>
          <w:color w:val="auto"/>
          <w:sz w:val="26"/>
          <w:szCs w:val="26"/>
        </w:rPr>
      </w:pPr>
      <w:r w:rsidRPr="0080791C">
        <w:rPr>
          <w:color w:val="000000"/>
          <w:sz w:val="26"/>
          <w:szCs w:val="26"/>
        </w:rPr>
        <w:t>En</w:t>
      </w:r>
      <w:r w:rsidR="00461A7F" w:rsidRPr="0080791C">
        <w:rPr>
          <w:color w:val="000000"/>
          <w:sz w:val="26"/>
          <w:szCs w:val="26"/>
        </w:rPr>
        <w:t>erPenn will provide a single point of contact and escalation contacts for Commission staff for resolution of consumer inquiries and/or complaints received by the Commission's Bureau of Consumer Services ("BCS") and will respond to all consumer inquiries and complaints</w:t>
      </w:r>
      <w:r w:rsidR="00D7744A" w:rsidRPr="0080791C">
        <w:rPr>
          <w:color w:val="000000"/>
          <w:sz w:val="26"/>
          <w:szCs w:val="26"/>
        </w:rPr>
        <w:t xml:space="preserve"> in accordance with Appendix 1</w:t>
      </w:r>
      <w:r w:rsidR="00461A7F" w:rsidRPr="0080791C">
        <w:rPr>
          <w:color w:val="000000"/>
          <w:sz w:val="26"/>
          <w:szCs w:val="26"/>
        </w:rPr>
        <w:t xml:space="preserve"> and any other BCS requirements, including providing all information regarding the customer and complaint as requested by Commission staff, including a copy of the contract and any audio recordings of th</w:t>
      </w:r>
      <w:r w:rsidRPr="0080791C">
        <w:rPr>
          <w:color w:val="000000"/>
          <w:sz w:val="26"/>
          <w:szCs w:val="26"/>
        </w:rPr>
        <w:t>e verification call.  En</w:t>
      </w:r>
      <w:r w:rsidR="003A7BD0" w:rsidRPr="0080791C">
        <w:rPr>
          <w:color w:val="000000"/>
          <w:sz w:val="26"/>
          <w:szCs w:val="26"/>
        </w:rPr>
        <w:t>erPenn</w:t>
      </w:r>
      <w:r w:rsidR="00461A7F" w:rsidRPr="0080791C">
        <w:rPr>
          <w:color w:val="000000"/>
          <w:sz w:val="26"/>
          <w:szCs w:val="26"/>
        </w:rPr>
        <w:t xml:space="preserve"> will also provide the Commission with the resolution of the complaint by the Company</w:t>
      </w:r>
      <w:r w:rsidR="003A7BD0" w:rsidRPr="0080791C">
        <w:rPr>
          <w:color w:val="000000"/>
          <w:sz w:val="26"/>
          <w:szCs w:val="26"/>
        </w:rPr>
        <w:t>.</w:t>
      </w:r>
    </w:p>
    <w:p w:rsidR="003A7BD0" w:rsidRPr="0080791C" w:rsidRDefault="003A7BD0" w:rsidP="003A7BD0">
      <w:pPr>
        <w:pStyle w:val="ListParagraph"/>
        <w:rPr>
          <w:color w:val="auto"/>
          <w:spacing w:val="-3"/>
          <w:kern w:val="1"/>
          <w:sz w:val="26"/>
          <w:szCs w:val="26"/>
        </w:rPr>
      </w:pPr>
    </w:p>
    <w:p w:rsidR="003A7BD0" w:rsidRPr="0080791C" w:rsidRDefault="003A7BD0" w:rsidP="00793F53">
      <w:pPr>
        <w:numPr>
          <w:ilvl w:val="0"/>
          <w:numId w:val="14"/>
        </w:numPr>
        <w:tabs>
          <w:tab w:val="clear" w:pos="1080"/>
          <w:tab w:val="left" w:pos="0"/>
        </w:tabs>
        <w:suppressAutoHyphens/>
        <w:spacing w:line="360" w:lineRule="auto"/>
        <w:ind w:left="2160" w:hanging="720"/>
        <w:rPr>
          <w:color w:val="auto"/>
          <w:sz w:val="26"/>
          <w:szCs w:val="26"/>
        </w:rPr>
      </w:pPr>
      <w:r w:rsidRPr="0080791C">
        <w:rPr>
          <w:color w:val="000000"/>
          <w:sz w:val="26"/>
          <w:szCs w:val="26"/>
        </w:rPr>
        <w:t>Any early termination or</w:t>
      </w:r>
      <w:r w:rsidR="00ED6845" w:rsidRPr="0080791C">
        <w:rPr>
          <w:color w:val="000000"/>
          <w:sz w:val="26"/>
          <w:szCs w:val="26"/>
        </w:rPr>
        <w:t xml:space="preserve"> exit fee imposed by EnerPenn</w:t>
      </w:r>
      <w:r w:rsidRPr="0080791C">
        <w:rPr>
          <w:color w:val="000000"/>
          <w:sz w:val="26"/>
          <w:szCs w:val="26"/>
        </w:rPr>
        <w:t xml:space="preserve"> will not exceed $50.00 per contract;</w:t>
      </w:r>
    </w:p>
    <w:p w:rsidR="003A7BD0" w:rsidRPr="0080791C" w:rsidRDefault="003A7BD0" w:rsidP="003A7BD0">
      <w:pPr>
        <w:pStyle w:val="ListParagraph"/>
        <w:rPr>
          <w:color w:val="auto"/>
          <w:spacing w:val="-3"/>
          <w:kern w:val="1"/>
          <w:sz w:val="26"/>
          <w:szCs w:val="26"/>
        </w:rPr>
      </w:pPr>
    </w:p>
    <w:p w:rsidR="00DC6B02" w:rsidRPr="0080791C" w:rsidRDefault="0042099B" w:rsidP="00793F53">
      <w:pPr>
        <w:numPr>
          <w:ilvl w:val="0"/>
          <w:numId w:val="14"/>
        </w:numPr>
        <w:tabs>
          <w:tab w:val="clear" w:pos="1080"/>
          <w:tab w:val="left" w:pos="0"/>
        </w:tabs>
        <w:suppressAutoHyphens/>
        <w:spacing w:line="360" w:lineRule="auto"/>
        <w:ind w:left="2160" w:hanging="720"/>
        <w:rPr>
          <w:color w:val="auto"/>
          <w:sz w:val="26"/>
          <w:szCs w:val="26"/>
        </w:rPr>
      </w:pPr>
      <w:r w:rsidRPr="0080791C">
        <w:rPr>
          <w:color w:val="000000"/>
          <w:sz w:val="26"/>
          <w:szCs w:val="26"/>
        </w:rPr>
        <w:t>En</w:t>
      </w:r>
      <w:r w:rsidR="00DC6B02" w:rsidRPr="0080791C">
        <w:rPr>
          <w:color w:val="000000"/>
          <w:sz w:val="26"/>
          <w:szCs w:val="26"/>
        </w:rPr>
        <w:t>erPenn will operate under the comm</w:t>
      </w:r>
      <w:r w:rsidR="00C34B60" w:rsidRPr="0080791C">
        <w:rPr>
          <w:color w:val="000000"/>
          <w:sz w:val="26"/>
          <w:szCs w:val="26"/>
        </w:rPr>
        <w:t>itments outlined in Appendi</w:t>
      </w:r>
      <w:r w:rsidR="00B51029" w:rsidRPr="0080791C">
        <w:rPr>
          <w:color w:val="000000"/>
          <w:sz w:val="26"/>
          <w:szCs w:val="26"/>
        </w:rPr>
        <w:t>x </w:t>
      </w:r>
      <w:r w:rsidR="00C34B60" w:rsidRPr="0080791C">
        <w:rPr>
          <w:color w:val="000000"/>
          <w:sz w:val="26"/>
          <w:szCs w:val="26"/>
        </w:rPr>
        <w:t>1</w:t>
      </w:r>
      <w:r w:rsidR="00213117" w:rsidRPr="0080791C">
        <w:rPr>
          <w:color w:val="000000"/>
          <w:sz w:val="26"/>
          <w:szCs w:val="26"/>
        </w:rPr>
        <w:t>.</w:t>
      </w:r>
    </w:p>
    <w:p w:rsidR="00DC6B02" w:rsidRPr="0080791C" w:rsidRDefault="00DC6B02" w:rsidP="00DC6B02">
      <w:pPr>
        <w:pStyle w:val="ListParagraph"/>
        <w:rPr>
          <w:color w:val="000000"/>
          <w:sz w:val="26"/>
          <w:szCs w:val="26"/>
        </w:rPr>
      </w:pPr>
    </w:p>
    <w:p w:rsidR="00C53B92" w:rsidRPr="0080791C" w:rsidRDefault="006B4542" w:rsidP="00436076">
      <w:pPr>
        <w:numPr>
          <w:ilvl w:val="0"/>
          <w:numId w:val="14"/>
        </w:numPr>
        <w:tabs>
          <w:tab w:val="clear" w:pos="1080"/>
          <w:tab w:val="left" w:pos="0"/>
        </w:tabs>
        <w:suppressAutoHyphens/>
        <w:spacing w:line="360" w:lineRule="auto"/>
        <w:ind w:left="2160" w:hanging="720"/>
        <w:rPr>
          <w:color w:val="auto"/>
          <w:sz w:val="26"/>
          <w:szCs w:val="26"/>
        </w:rPr>
      </w:pPr>
      <w:r w:rsidRPr="0080791C">
        <w:rPr>
          <w:color w:val="000000"/>
          <w:sz w:val="26"/>
          <w:szCs w:val="26"/>
        </w:rPr>
        <w:t>EnerPenn will use the disclosure statement developed in cooperation with the Commission’s BCS.</w:t>
      </w:r>
    </w:p>
    <w:p w:rsidR="0080791C" w:rsidRPr="0080791C" w:rsidRDefault="0080791C" w:rsidP="0080791C">
      <w:pPr>
        <w:rPr>
          <w:color w:val="auto"/>
          <w:sz w:val="26"/>
          <w:szCs w:val="26"/>
        </w:rPr>
      </w:pPr>
    </w:p>
    <w:p w:rsidR="0080791C" w:rsidRPr="0080791C" w:rsidRDefault="0080791C" w:rsidP="00436076">
      <w:pPr>
        <w:numPr>
          <w:ilvl w:val="0"/>
          <w:numId w:val="14"/>
        </w:numPr>
        <w:tabs>
          <w:tab w:val="clear" w:pos="1080"/>
          <w:tab w:val="left" w:pos="0"/>
        </w:tabs>
        <w:suppressAutoHyphens/>
        <w:spacing w:line="360" w:lineRule="auto"/>
        <w:ind w:left="2160" w:hanging="720"/>
        <w:rPr>
          <w:color w:val="auto"/>
          <w:sz w:val="26"/>
          <w:szCs w:val="26"/>
        </w:rPr>
      </w:pPr>
      <w:proofErr w:type="spellStart"/>
      <w:r w:rsidRPr="0080791C">
        <w:rPr>
          <w:color w:val="auto"/>
          <w:sz w:val="26"/>
          <w:szCs w:val="26"/>
        </w:rPr>
        <w:lastRenderedPageBreak/>
        <w:t>EnerPenn</w:t>
      </w:r>
      <w:proofErr w:type="spellEnd"/>
      <w:r w:rsidRPr="0080791C">
        <w:rPr>
          <w:color w:val="auto"/>
          <w:sz w:val="26"/>
          <w:szCs w:val="26"/>
        </w:rPr>
        <w:t xml:space="preserve"> shall file a status report with the Commission describing its compliance with the Public Utility Code, Commission Orders and Regulations, and the conditions set forth herein.  The status report shall also include updated information regarding lawsuits, investigations, and state commission proceedings involving its affiliates in other jurisdictions. </w:t>
      </w:r>
    </w:p>
    <w:p w:rsidR="00DA06E2" w:rsidRPr="0080791C" w:rsidRDefault="00DA06E2" w:rsidP="00DA06E2">
      <w:pPr>
        <w:tabs>
          <w:tab w:val="left" w:pos="0"/>
          <w:tab w:val="left" w:pos="720"/>
          <w:tab w:val="left" w:pos="1080"/>
          <w:tab w:val="left" w:pos="1440"/>
        </w:tabs>
        <w:suppressAutoHyphens/>
        <w:spacing w:line="360" w:lineRule="auto"/>
        <w:jc w:val="both"/>
        <w:rPr>
          <w:color w:val="auto"/>
          <w:spacing w:val="-3"/>
          <w:kern w:val="1"/>
          <w:sz w:val="26"/>
          <w:szCs w:val="26"/>
        </w:rPr>
      </w:pPr>
    </w:p>
    <w:p w:rsidR="00DA06E2" w:rsidRPr="0080791C" w:rsidRDefault="003E3216" w:rsidP="003E3216">
      <w:pPr>
        <w:suppressAutoHyphens/>
        <w:spacing w:line="360" w:lineRule="auto"/>
        <w:ind w:firstLine="1440"/>
        <w:rPr>
          <w:color w:val="auto"/>
          <w:spacing w:val="-3"/>
          <w:kern w:val="1"/>
          <w:sz w:val="26"/>
          <w:szCs w:val="26"/>
        </w:rPr>
      </w:pPr>
      <w:r w:rsidRPr="0080791C">
        <w:rPr>
          <w:color w:val="auto"/>
          <w:spacing w:val="-3"/>
          <w:kern w:val="1"/>
          <w:sz w:val="26"/>
          <w:szCs w:val="26"/>
        </w:rPr>
        <w:t xml:space="preserve">We direct </w:t>
      </w:r>
      <w:r w:rsidR="00DA06E2" w:rsidRPr="0080791C">
        <w:rPr>
          <w:color w:val="auto"/>
          <w:spacing w:val="-3"/>
          <w:kern w:val="1"/>
          <w:sz w:val="26"/>
          <w:szCs w:val="26"/>
        </w:rPr>
        <w:t>that the licens</w:t>
      </w:r>
      <w:r w:rsidR="00EA7A2A" w:rsidRPr="0080791C">
        <w:rPr>
          <w:color w:val="auto"/>
          <w:spacing w:val="-3"/>
          <w:kern w:val="1"/>
          <w:sz w:val="26"/>
          <w:szCs w:val="26"/>
        </w:rPr>
        <w:t>e</w:t>
      </w:r>
      <w:r w:rsidR="00DA06E2" w:rsidRPr="0080791C">
        <w:rPr>
          <w:color w:val="auto"/>
          <w:spacing w:val="-3"/>
          <w:kern w:val="1"/>
          <w:sz w:val="26"/>
          <w:szCs w:val="26"/>
        </w:rPr>
        <w:t xml:space="preserve">e be released from these conditions at the end of </w:t>
      </w:r>
      <w:r w:rsidR="002F528D">
        <w:rPr>
          <w:color w:val="auto"/>
          <w:spacing w:val="-3"/>
          <w:kern w:val="1"/>
          <w:sz w:val="26"/>
          <w:szCs w:val="26"/>
        </w:rPr>
        <w:t>an</w:t>
      </w:r>
      <w:r w:rsidR="00DA06E2" w:rsidRPr="0080791C">
        <w:rPr>
          <w:color w:val="auto"/>
          <w:spacing w:val="-3"/>
          <w:kern w:val="1"/>
          <w:sz w:val="26"/>
          <w:szCs w:val="26"/>
        </w:rPr>
        <w:t xml:space="preserve"> </w:t>
      </w:r>
      <w:r w:rsidR="008E2198">
        <w:rPr>
          <w:color w:val="auto"/>
          <w:spacing w:val="-3"/>
          <w:kern w:val="1"/>
          <w:sz w:val="26"/>
          <w:szCs w:val="26"/>
        </w:rPr>
        <w:t>eighteen</w:t>
      </w:r>
      <w:r w:rsidR="00DA06E2" w:rsidRPr="0080791C">
        <w:rPr>
          <w:color w:val="auto"/>
          <w:spacing w:val="-3"/>
          <w:kern w:val="1"/>
          <w:sz w:val="26"/>
          <w:szCs w:val="26"/>
        </w:rPr>
        <w:t>-month probationary period,</w:t>
      </w:r>
      <w:r w:rsidR="002F528D">
        <w:rPr>
          <w:color w:val="auto"/>
          <w:spacing w:val="-3"/>
          <w:kern w:val="1"/>
          <w:sz w:val="26"/>
          <w:szCs w:val="26"/>
        </w:rPr>
        <w:t xml:space="preserve"> </w:t>
      </w:r>
      <w:r w:rsidR="00DA06E2" w:rsidRPr="0080791C">
        <w:rPr>
          <w:color w:val="auto"/>
          <w:spacing w:val="-3"/>
          <w:kern w:val="1"/>
          <w:sz w:val="26"/>
          <w:szCs w:val="26"/>
        </w:rPr>
        <w:t>if it has:</w:t>
      </w:r>
    </w:p>
    <w:p w:rsidR="00DA06E2" w:rsidRPr="0080791C" w:rsidRDefault="00DA06E2" w:rsidP="00DA06E2">
      <w:pPr>
        <w:suppressAutoHyphens/>
        <w:spacing w:line="360" w:lineRule="auto"/>
        <w:ind w:firstLine="1440"/>
        <w:jc w:val="both"/>
        <w:rPr>
          <w:color w:val="auto"/>
          <w:spacing w:val="-3"/>
          <w:kern w:val="1"/>
          <w:sz w:val="26"/>
          <w:szCs w:val="26"/>
        </w:rPr>
      </w:pPr>
    </w:p>
    <w:p w:rsidR="00DA06E2" w:rsidRPr="0080791C" w:rsidRDefault="00DA06E2" w:rsidP="00DA06E2">
      <w:pPr>
        <w:ind w:left="2160" w:right="1440" w:hanging="720"/>
        <w:rPr>
          <w:color w:val="auto"/>
          <w:sz w:val="26"/>
        </w:rPr>
      </w:pPr>
      <w:r w:rsidRPr="0080791C">
        <w:rPr>
          <w:color w:val="auto"/>
          <w:sz w:val="26"/>
        </w:rPr>
        <w:t>a.</w:t>
      </w:r>
      <w:r w:rsidRPr="0080791C">
        <w:rPr>
          <w:color w:val="auto"/>
          <w:sz w:val="26"/>
        </w:rPr>
        <w:tab/>
        <w:t>Operated in good faith and compliance with the Conditions set forth and applicable Laws;</w:t>
      </w:r>
    </w:p>
    <w:p w:rsidR="00DA06E2" w:rsidRPr="0080791C" w:rsidRDefault="00DA06E2" w:rsidP="00DA06E2">
      <w:pPr>
        <w:ind w:left="2160" w:right="1440" w:hanging="720"/>
        <w:rPr>
          <w:color w:val="auto"/>
          <w:sz w:val="26"/>
        </w:rPr>
      </w:pPr>
    </w:p>
    <w:p w:rsidR="00DA06E2" w:rsidRPr="0080791C" w:rsidRDefault="00DA06E2" w:rsidP="00DA06E2">
      <w:pPr>
        <w:ind w:left="2160" w:right="1440" w:hanging="720"/>
        <w:rPr>
          <w:color w:val="000000"/>
          <w:sz w:val="26"/>
          <w:szCs w:val="26"/>
        </w:rPr>
      </w:pPr>
      <w:r w:rsidRPr="0080791C">
        <w:rPr>
          <w:color w:val="auto"/>
          <w:sz w:val="26"/>
        </w:rPr>
        <w:t>b.</w:t>
      </w:r>
      <w:r w:rsidRPr="0080791C">
        <w:rPr>
          <w:color w:val="auto"/>
          <w:sz w:val="26"/>
        </w:rPr>
        <w:tab/>
        <w:t xml:space="preserve">Maintained </w:t>
      </w:r>
      <w:r w:rsidRPr="0080791C">
        <w:rPr>
          <w:color w:val="auto"/>
          <w:sz w:val="26"/>
          <w:szCs w:val="26"/>
        </w:rPr>
        <w:t>a Complaint Ratio of less than 2% of sales</w:t>
      </w:r>
      <w:r w:rsidR="0080791C" w:rsidRPr="0080791C">
        <w:rPr>
          <w:color w:val="auto"/>
          <w:sz w:val="26"/>
          <w:szCs w:val="26"/>
        </w:rPr>
        <w:t xml:space="preserve"> over the 18</w:t>
      </w:r>
      <w:r w:rsidRPr="0080791C">
        <w:rPr>
          <w:color w:val="auto"/>
          <w:sz w:val="26"/>
          <w:szCs w:val="26"/>
        </w:rPr>
        <w:t>- month</w:t>
      </w:r>
      <w:r w:rsidRPr="0080791C">
        <w:rPr>
          <w:color w:val="000000"/>
          <w:sz w:val="26"/>
          <w:szCs w:val="26"/>
        </w:rPr>
        <w:t xml:space="preserve"> period;</w:t>
      </w:r>
    </w:p>
    <w:p w:rsidR="00DA06E2" w:rsidRPr="0080791C" w:rsidRDefault="00DA06E2" w:rsidP="00DA06E2">
      <w:pPr>
        <w:ind w:left="2160" w:right="1440" w:hanging="720"/>
        <w:rPr>
          <w:color w:val="000000"/>
          <w:sz w:val="26"/>
          <w:szCs w:val="26"/>
        </w:rPr>
      </w:pPr>
    </w:p>
    <w:p w:rsidR="00DA06E2" w:rsidRPr="0080791C" w:rsidRDefault="00DA06E2" w:rsidP="00DA06E2">
      <w:pPr>
        <w:ind w:left="2160" w:right="1440" w:hanging="720"/>
        <w:rPr>
          <w:color w:val="000000"/>
          <w:sz w:val="26"/>
          <w:szCs w:val="26"/>
        </w:rPr>
      </w:pPr>
      <w:r w:rsidRPr="0080791C">
        <w:rPr>
          <w:color w:val="000000"/>
          <w:sz w:val="26"/>
          <w:szCs w:val="26"/>
        </w:rPr>
        <w:t>c.</w:t>
      </w:r>
      <w:r w:rsidRPr="0080791C">
        <w:rPr>
          <w:color w:val="000000"/>
          <w:sz w:val="26"/>
          <w:szCs w:val="26"/>
        </w:rPr>
        <w:tab/>
        <w:t>Maintained the customer service l</w:t>
      </w:r>
      <w:r w:rsidR="0080791C" w:rsidRPr="0080791C">
        <w:rPr>
          <w:color w:val="000000"/>
          <w:sz w:val="26"/>
          <w:szCs w:val="26"/>
        </w:rPr>
        <w:t>evel commitments based on the 18</w:t>
      </w:r>
      <w:r w:rsidRPr="0080791C">
        <w:rPr>
          <w:color w:val="000000"/>
          <w:sz w:val="26"/>
          <w:szCs w:val="26"/>
        </w:rPr>
        <w:t>-month period (averaged across the period);</w:t>
      </w:r>
    </w:p>
    <w:p w:rsidR="00DA06E2" w:rsidRPr="0080791C" w:rsidRDefault="00DA06E2" w:rsidP="00DA06E2">
      <w:pPr>
        <w:ind w:left="2160" w:right="1440" w:hanging="720"/>
        <w:rPr>
          <w:color w:val="000000"/>
          <w:sz w:val="26"/>
          <w:szCs w:val="26"/>
        </w:rPr>
      </w:pPr>
    </w:p>
    <w:p w:rsidR="00DA06E2" w:rsidRPr="0080791C" w:rsidRDefault="00DA06E2" w:rsidP="00DA06E2">
      <w:pPr>
        <w:ind w:left="2160" w:right="1440" w:hanging="720"/>
        <w:rPr>
          <w:color w:val="000000"/>
          <w:sz w:val="26"/>
          <w:szCs w:val="26"/>
        </w:rPr>
      </w:pPr>
      <w:r w:rsidRPr="0080791C">
        <w:rPr>
          <w:color w:val="000000"/>
          <w:sz w:val="26"/>
          <w:szCs w:val="26"/>
        </w:rPr>
        <w:t>d.</w:t>
      </w:r>
      <w:r w:rsidRPr="0080791C">
        <w:rPr>
          <w:color w:val="000000"/>
          <w:sz w:val="26"/>
          <w:szCs w:val="26"/>
        </w:rPr>
        <w:tab/>
        <w:t>Obtained concurrence from Commission staff with the release from the aforementioned Conditions.</w:t>
      </w:r>
    </w:p>
    <w:p w:rsidR="00A64B53" w:rsidRPr="0080791C" w:rsidRDefault="00A64B53" w:rsidP="00793F53">
      <w:pPr>
        <w:suppressAutoHyphens/>
        <w:spacing w:line="360" w:lineRule="auto"/>
        <w:ind w:firstLine="1440"/>
        <w:jc w:val="both"/>
        <w:rPr>
          <w:color w:val="auto"/>
          <w:spacing w:val="-3"/>
          <w:kern w:val="1"/>
          <w:sz w:val="26"/>
          <w:szCs w:val="26"/>
        </w:rPr>
      </w:pPr>
    </w:p>
    <w:p w:rsidR="00327F6C" w:rsidRPr="0080791C" w:rsidRDefault="00C34B60" w:rsidP="008747FD">
      <w:pPr>
        <w:suppressAutoHyphens/>
        <w:spacing w:line="360" w:lineRule="auto"/>
        <w:ind w:firstLine="1440"/>
        <w:jc w:val="both"/>
        <w:rPr>
          <w:color w:val="auto"/>
          <w:spacing w:val="-3"/>
          <w:kern w:val="1"/>
          <w:sz w:val="26"/>
          <w:szCs w:val="26"/>
        </w:rPr>
      </w:pPr>
      <w:r w:rsidRPr="0080791C">
        <w:rPr>
          <w:color w:val="auto"/>
          <w:spacing w:val="-3"/>
          <w:kern w:val="1"/>
          <w:sz w:val="26"/>
          <w:szCs w:val="26"/>
        </w:rPr>
        <w:t>Based on the fo</w:t>
      </w:r>
      <w:r w:rsidR="008747FD" w:rsidRPr="0080791C">
        <w:rPr>
          <w:color w:val="auto"/>
          <w:spacing w:val="-3"/>
          <w:kern w:val="1"/>
          <w:sz w:val="26"/>
          <w:szCs w:val="26"/>
        </w:rPr>
        <w:t xml:space="preserve">regoing, we will grant the </w:t>
      </w:r>
      <w:r w:rsidR="00327F6C" w:rsidRPr="0080791C">
        <w:rPr>
          <w:color w:val="auto"/>
          <w:spacing w:val="-3"/>
          <w:kern w:val="1"/>
          <w:sz w:val="26"/>
          <w:szCs w:val="26"/>
        </w:rPr>
        <w:t xml:space="preserve">application </w:t>
      </w:r>
      <w:r w:rsidR="008747FD" w:rsidRPr="0080791C">
        <w:rPr>
          <w:color w:val="auto"/>
          <w:spacing w:val="-3"/>
          <w:kern w:val="1"/>
          <w:sz w:val="26"/>
          <w:szCs w:val="26"/>
        </w:rPr>
        <w:t xml:space="preserve">of </w:t>
      </w:r>
      <w:proofErr w:type="spellStart"/>
      <w:r w:rsidR="00016E9B" w:rsidRPr="0080791C">
        <w:rPr>
          <w:color w:val="auto"/>
          <w:sz w:val="26"/>
          <w:szCs w:val="26"/>
        </w:rPr>
        <w:t>EnerPenn</w:t>
      </w:r>
      <w:proofErr w:type="spellEnd"/>
      <w:r w:rsidR="00016E9B" w:rsidRPr="0080791C">
        <w:rPr>
          <w:color w:val="auto"/>
          <w:sz w:val="26"/>
          <w:szCs w:val="26"/>
        </w:rPr>
        <w:t xml:space="preserve"> USA, LLC d/b/a Y.E.P., d/b/a YEP Energy</w:t>
      </w:r>
      <w:r w:rsidR="00327F6C" w:rsidRPr="0080791C">
        <w:rPr>
          <w:color w:val="auto"/>
          <w:spacing w:val="-3"/>
          <w:kern w:val="1"/>
          <w:sz w:val="26"/>
          <w:szCs w:val="26"/>
        </w:rPr>
        <w:t>;</w:t>
      </w:r>
      <w:r w:rsidR="008747FD" w:rsidRPr="0080791C">
        <w:rPr>
          <w:color w:val="auto"/>
          <w:spacing w:val="-3"/>
          <w:kern w:val="1"/>
          <w:sz w:val="26"/>
          <w:szCs w:val="26"/>
        </w:rPr>
        <w:t xml:space="preserve"> subject to the conditions, consistent with the Opinion and Order</w:t>
      </w:r>
      <w:r w:rsidR="00327F6C" w:rsidRPr="0080791C">
        <w:rPr>
          <w:color w:val="auto"/>
          <w:spacing w:val="-3"/>
          <w:kern w:val="1"/>
          <w:sz w:val="26"/>
          <w:szCs w:val="26"/>
        </w:rPr>
        <w:t xml:space="preserve"> </w:t>
      </w:r>
      <w:r w:rsidR="00327F6C" w:rsidRPr="0080791C">
        <w:rPr>
          <w:b/>
          <w:color w:val="auto"/>
          <w:spacing w:val="-3"/>
          <w:kern w:val="1"/>
          <w:sz w:val="26"/>
          <w:szCs w:val="26"/>
        </w:rPr>
        <w:t>THEREFORE,</w:t>
      </w:r>
    </w:p>
    <w:p w:rsidR="0032783F" w:rsidRPr="0080791C" w:rsidRDefault="0032783F" w:rsidP="00793F53">
      <w:pPr>
        <w:suppressAutoHyphens/>
        <w:spacing w:line="360" w:lineRule="auto"/>
        <w:ind w:firstLine="1440"/>
        <w:jc w:val="both"/>
        <w:rPr>
          <w:b/>
          <w:color w:val="auto"/>
          <w:spacing w:val="-3"/>
          <w:kern w:val="1"/>
          <w:sz w:val="26"/>
          <w:szCs w:val="26"/>
        </w:rPr>
      </w:pPr>
    </w:p>
    <w:p w:rsidR="00327F6C" w:rsidRPr="0080791C" w:rsidRDefault="00327F6C" w:rsidP="00793F53">
      <w:pPr>
        <w:suppressAutoHyphens/>
        <w:spacing w:line="360" w:lineRule="auto"/>
        <w:ind w:firstLine="1440"/>
        <w:jc w:val="both"/>
        <w:rPr>
          <w:b/>
          <w:color w:val="auto"/>
          <w:spacing w:val="-3"/>
          <w:kern w:val="1"/>
          <w:sz w:val="26"/>
          <w:szCs w:val="26"/>
        </w:rPr>
      </w:pPr>
      <w:r w:rsidRPr="0080791C">
        <w:rPr>
          <w:b/>
          <w:color w:val="auto"/>
          <w:spacing w:val="-3"/>
          <w:kern w:val="1"/>
          <w:sz w:val="26"/>
          <w:szCs w:val="26"/>
        </w:rPr>
        <w:t>IT IS ORDERED:</w:t>
      </w:r>
    </w:p>
    <w:p w:rsidR="00327F6C" w:rsidRPr="0080791C" w:rsidRDefault="00327F6C">
      <w:pPr>
        <w:tabs>
          <w:tab w:val="left" w:pos="0"/>
        </w:tabs>
        <w:suppressAutoHyphens/>
        <w:spacing w:line="360" w:lineRule="auto"/>
        <w:jc w:val="both"/>
        <w:rPr>
          <w:color w:val="auto"/>
          <w:spacing w:val="-3"/>
          <w:kern w:val="1"/>
          <w:sz w:val="26"/>
          <w:szCs w:val="26"/>
        </w:rPr>
      </w:pPr>
    </w:p>
    <w:p w:rsidR="00327F6C" w:rsidRPr="0080791C" w:rsidRDefault="00327F6C" w:rsidP="00793F53">
      <w:pPr>
        <w:pStyle w:val="BodyText"/>
        <w:tabs>
          <w:tab w:val="clear" w:pos="0"/>
          <w:tab w:val="left" w:pos="2160"/>
        </w:tabs>
        <w:spacing w:line="360" w:lineRule="auto"/>
        <w:ind w:firstLine="1440"/>
        <w:rPr>
          <w:color w:val="auto"/>
          <w:szCs w:val="26"/>
        </w:rPr>
      </w:pPr>
      <w:r w:rsidRPr="0080791C">
        <w:rPr>
          <w:color w:val="auto"/>
          <w:szCs w:val="26"/>
        </w:rPr>
        <w:t>1.</w:t>
      </w:r>
      <w:r w:rsidR="00793F53" w:rsidRPr="0080791C">
        <w:rPr>
          <w:color w:val="auto"/>
          <w:szCs w:val="26"/>
        </w:rPr>
        <w:tab/>
      </w:r>
      <w:r w:rsidRPr="0080791C">
        <w:rPr>
          <w:color w:val="auto"/>
          <w:szCs w:val="26"/>
        </w:rPr>
        <w:t xml:space="preserve">That the application of </w:t>
      </w:r>
      <w:proofErr w:type="spellStart"/>
      <w:r w:rsidR="0080791C" w:rsidRPr="0080791C">
        <w:rPr>
          <w:color w:val="auto"/>
          <w:szCs w:val="26"/>
        </w:rPr>
        <w:t>EnerPenn</w:t>
      </w:r>
      <w:proofErr w:type="spellEnd"/>
      <w:r w:rsidR="0080791C" w:rsidRPr="0080791C">
        <w:rPr>
          <w:color w:val="auto"/>
          <w:szCs w:val="26"/>
        </w:rPr>
        <w:t xml:space="preserve"> USA, LLC d/b/a Y.E.P., d/b/a YEP Energy </w:t>
      </w:r>
      <w:r w:rsidRPr="0080791C">
        <w:rPr>
          <w:color w:val="auto"/>
          <w:szCs w:val="26"/>
        </w:rPr>
        <w:t>is hereby approved, consistent with this Order.</w:t>
      </w:r>
    </w:p>
    <w:p w:rsidR="00AB78E2" w:rsidRPr="0080791C" w:rsidRDefault="00AB78E2" w:rsidP="00793F53">
      <w:pPr>
        <w:pStyle w:val="BodyText"/>
        <w:tabs>
          <w:tab w:val="clear" w:pos="0"/>
          <w:tab w:val="left" w:pos="2160"/>
        </w:tabs>
        <w:spacing w:line="360" w:lineRule="auto"/>
        <w:ind w:firstLine="1440"/>
        <w:rPr>
          <w:color w:val="auto"/>
          <w:szCs w:val="26"/>
        </w:rPr>
      </w:pPr>
    </w:p>
    <w:p w:rsidR="009B15A3" w:rsidRPr="0080791C" w:rsidRDefault="009E185E" w:rsidP="00096F00">
      <w:pPr>
        <w:suppressAutoHyphens/>
        <w:spacing w:line="360" w:lineRule="auto"/>
        <w:rPr>
          <w:color w:val="auto"/>
          <w:sz w:val="26"/>
          <w:szCs w:val="26"/>
        </w:rPr>
      </w:pPr>
      <w:r w:rsidRPr="0080791C">
        <w:rPr>
          <w:color w:val="auto"/>
          <w:sz w:val="26"/>
          <w:szCs w:val="26"/>
        </w:rPr>
        <w:lastRenderedPageBreak/>
        <w:tab/>
      </w:r>
      <w:r w:rsidR="00096F00" w:rsidRPr="0080791C">
        <w:rPr>
          <w:color w:val="auto"/>
          <w:sz w:val="26"/>
          <w:szCs w:val="26"/>
        </w:rPr>
        <w:tab/>
      </w:r>
      <w:r w:rsidR="00911AE7" w:rsidRPr="0080791C">
        <w:rPr>
          <w:color w:val="auto"/>
          <w:sz w:val="26"/>
          <w:szCs w:val="26"/>
        </w:rPr>
        <w:t>2</w:t>
      </w:r>
      <w:r w:rsidR="009B15A3" w:rsidRPr="0080791C">
        <w:rPr>
          <w:color w:val="auto"/>
          <w:sz w:val="26"/>
          <w:szCs w:val="26"/>
        </w:rPr>
        <w:t>.</w:t>
      </w:r>
      <w:r w:rsidR="00793F53" w:rsidRPr="0080791C">
        <w:rPr>
          <w:color w:val="auto"/>
          <w:sz w:val="26"/>
          <w:szCs w:val="26"/>
        </w:rPr>
        <w:tab/>
      </w:r>
      <w:r w:rsidR="009B15A3" w:rsidRPr="0080791C">
        <w:rPr>
          <w:color w:val="auto"/>
          <w:sz w:val="26"/>
          <w:szCs w:val="26"/>
        </w:rPr>
        <w:t xml:space="preserve">That a license be issued authorizing </w:t>
      </w:r>
      <w:proofErr w:type="spellStart"/>
      <w:r w:rsidR="0080791C" w:rsidRPr="0080791C">
        <w:rPr>
          <w:color w:val="auto"/>
          <w:sz w:val="26"/>
          <w:szCs w:val="26"/>
        </w:rPr>
        <w:t>EnerPenn</w:t>
      </w:r>
      <w:proofErr w:type="spellEnd"/>
      <w:r w:rsidR="0080791C" w:rsidRPr="0080791C">
        <w:rPr>
          <w:color w:val="auto"/>
          <w:sz w:val="26"/>
          <w:szCs w:val="26"/>
        </w:rPr>
        <w:t xml:space="preserve"> USA, LLC d/b/a Y.E.P., d/b/a YEP Energy </w:t>
      </w:r>
      <w:r w:rsidR="009B15A3" w:rsidRPr="0080791C">
        <w:rPr>
          <w:color w:val="auto"/>
          <w:sz w:val="26"/>
          <w:szCs w:val="26"/>
        </w:rPr>
        <w:t>to begin to offer, render, furnish or supply electric generation supplier services to</w:t>
      </w:r>
      <w:r w:rsidR="006A7782" w:rsidRPr="0080791C">
        <w:rPr>
          <w:color w:val="auto"/>
          <w:sz w:val="26"/>
          <w:szCs w:val="26"/>
        </w:rPr>
        <w:t xml:space="preserve"> residential, small commercial</w:t>
      </w:r>
      <w:r w:rsidR="00900179" w:rsidRPr="0080791C">
        <w:rPr>
          <w:color w:val="auto"/>
          <w:sz w:val="26"/>
          <w:szCs w:val="26"/>
        </w:rPr>
        <w:t xml:space="preserve"> (</w:t>
      </w:r>
      <w:r w:rsidR="006A7782" w:rsidRPr="0080791C">
        <w:rPr>
          <w:color w:val="auto"/>
          <w:sz w:val="26"/>
          <w:szCs w:val="26"/>
        </w:rPr>
        <w:t>25 k</w:t>
      </w:r>
      <w:r w:rsidR="00670772" w:rsidRPr="0080791C">
        <w:rPr>
          <w:color w:val="auto"/>
          <w:sz w:val="26"/>
          <w:szCs w:val="26"/>
        </w:rPr>
        <w:t>w</w:t>
      </w:r>
      <w:r w:rsidR="006A7782" w:rsidRPr="0080791C">
        <w:rPr>
          <w:color w:val="auto"/>
          <w:sz w:val="26"/>
          <w:szCs w:val="26"/>
        </w:rPr>
        <w:t xml:space="preserve"> </w:t>
      </w:r>
      <w:r w:rsidR="00900179" w:rsidRPr="0080791C">
        <w:rPr>
          <w:color w:val="auto"/>
          <w:sz w:val="26"/>
          <w:szCs w:val="26"/>
        </w:rPr>
        <w:t xml:space="preserve">and under </w:t>
      </w:r>
      <w:r w:rsidR="006A7782" w:rsidRPr="0080791C">
        <w:rPr>
          <w:color w:val="auto"/>
          <w:sz w:val="26"/>
          <w:szCs w:val="26"/>
        </w:rPr>
        <w:t xml:space="preserve">demand), </w:t>
      </w:r>
      <w:r w:rsidR="00C53B92" w:rsidRPr="0080791C">
        <w:rPr>
          <w:color w:val="auto"/>
          <w:sz w:val="26"/>
          <w:szCs w:val="26"/>
        </w:rPr>
        <w:t xml:space="preserve">large commercial (over 25 kw demand), </w:t>
      </w:r>
      <w:r w:rsidR="006A7782" w:rsidRPr="0080791C">
        <w:rPr>
          <w:color w:val="auto"/>
          <w:sz w:val="26"/>
          <w:szCs w:val="26"/>
        </w:rPr>
        <w:t xml:space="preserve">industrial and governmental customers </w:t>
      </w:r>
      <w:r w:rsidR="00673EA9" w:rsidRPr="0080791C">
        <w:rPr>
          <w:color w:val="auto"/>
          <w:sz w:val="26"/>
          <w:szCs w:val="26"/>
        </w:rPr>
        <w:t xml:space="preserve">in the service </w:t>
      </w:r>
      <w:r w:rsidR="00B01BFF" w:rsidRPr="0080791C">
        <w:rPr>
          <w:color w:val="auto"/>
          <w:sz w:val="26"/>
          <w:szCs w:val="26"/>
        </w:rPr>
        <w:t xml:space="preserve">territories </w:t>
      </w:r>
      <w:r w:rsidR="00C53B92" w:rsidRPr="0080791C">
        <w:rPr>
          <w:color w:val="auto"/>
          <w:sz w:val="26"/>
          <w:szCs w:val="26"/>
        </w:rPr>
        <w:t xml:space="preserve">throughout the </w:t>
      </w:r>
      <w:r w:rsidR="009B15A3" w:rsidRPr="0080791C">
        <w:rPr>
          <w:color w:val="auto"/>
          <w:sz w:val="26"/>
          <w:szCs w:val="26"/>
        </w:rPr>
        <w:t>Comm</w:t>
      </w:r>
      <w:r w:rsidR="00FA23F5" w:rsidRPr="0080791C">
        <w:rPr>
          <w:color w:val="auto"/>
          <w:sz w:val="26"/>
          <w:szCs w:val="26"/>
        </w:rPr>
        <w:t xml:space="preserve">onwealth of Pennsylvania, subject to the following conditions, which will apply </w:t>
      </w:r>
      <w:r w:rsidR="000852B1">
        <w:rPr>
          <w:color w:val="auto"/>
          <w:sz w:val="26"/>
          <w:szCs w:val="26"/>
        </w:rPr>
        <w:t>for a probationary period</w:t>
      </w:r>
      <w:r w:rsidR="0042099B" w:rsidRPr="0080791C">
        <w:rPr>
          <w:color w:val="auto"/>
          <w:sz w:val="26"/>
          <w:szCs w:val="26"/>
        </w:rPr>
        <w:t xml:space="preserve"> of eighteen months f</w:t>
      </w:r>
      <w:r w:rsidR="00FA23F5" w:rsidRPr="0080791C">
        <w:rPr>
          <w:color w:val="auto"/>
          <w:sz w:val="26"/>
          <w:szCs w:val="26"/>
        </w:rPr>
        <w:t>r</w:t>
      </w:r>
      <w:r w:rsidR="0042099B" w:rsidRPr="0080791C">
        <w:rPr>
          <w:color w:val="auto"/>
          <w:sz w:val="26"/>
          <w:szCs w:val="26"/>
        </w:rPr>
        <w:t>o</w:t>
      </w:r>
      <w:r w:rsidR="00FA23F5" w:rsidRPr="0080791C">
        <w:rPr>
          <w:color w:val="auto"/>
          <w:sz w:val="26"/>
          <w:szCs w:val="26"/>
        </w:rPr>
        <w:t>m</w:t>
      </w:r>
      <w:r w:rsidR="0080791C">
        <w:rPr>
          <w:color w:val="auto"/>
          <w:sz w:val="26"/>
          <w:szCs w:val="26"/>
        </w:rPr>
        <w:t xml:space="preserve"> the date </w:t>
      </w:r>
      <w:proofErr w:type="spellStart"/>
      <w:r w:rsidR="0080791C" w:rsidRPr="0080791C">
        <w:rPr>
          <w:color w:val="auto"/>
          <w:sz w:val="26"/>
          <w:szCs w:val="26"/>
        </w:rPr>
        <w:t>EnerPenn</w:t>
      </w:r>
      <w:proofErr w:type="spellEnd"/>
      <w:r w:rsidR="0080791C" w:rsidRPr="0080791C">
        <w:rPr>
          <w:color w:val="auto"/>
          <w:sz w:val="26"/>
          <w:szCs w:val="26"/>
        </w:rPr>
        <w:t xml:space="preserve"> USA, LLC d/b/a Y.E.P., d/b/a YEP Energy</w:t>
      </w:r>
      <w:r w:rsidR="00444DB4">
        <w:rPr>
          <w:color w:val="auto"/>
          <w:sz w:val="26"/>
          <w:szCs w:val="26"/>
        </w:rPr>
        <w:t xml:space="preserve"> begins offering</w:t>
      </w:r>
      <w:r w:rsidR="0080791C">
        <w:rPr>
          <w:color w:val="auto"/>
          <w:sz w:val="26"/>
          <w:szCs w:val="26"/>
        </w:rPr>
        <w:t xml:space="preserve"> s</w:t>
      </w:r>
      <w:r w:rsidR="00444DB4">
        <w:rPr>
          <w:color w:val="auto"/>
          <w:sz w:val="26"/>
          <w:szCs w:val="26"/>
        </w:rPr>
        <w:t>ervice in Pennsylvania</w:t>
      </w:r>
      <w:r w:rsidR="00FA23F5" w:rsidRPr="0080791C">
        <w:rPr>
          <w:color w:val="auto"/>
          <w:sz w:val="26"/>
          <w:szCs w:val="26"/>
        </w:rPr>
        <w:t>.  To the maximum extent possible, these conditions shall be construed to be consisten</w:t>
      </w:r>
      <w:r w:rsidR="0042099B" w:rsidRPr="0080791C">
        <w:rPr>
          <w:color w:val="auto"/>
          <w:sz w:val="26"/>
          <w:szCs w:val="26"/>
        </w:rPr>
        <w:t>t</w:t>
      </w:r>
      <w:r w:rsidR="00FA23F5" w:rsidRPr="0080791C">
        <w:rPr>
          <w:color w:val="auto"/>
          <w:sz w:val="26"/>
          <w:szCs w:val="26"/>
        </w:rPr>
        <w:t xml:space="preserve"> with the Commission’s regulations.  In the event of a conflict the following conditions shall control:</w:t>
      </w:r>
    </w:p>
    <w:p w:rsidR="00DD55F5" w:rsidRPr="0080791C" w:rsidRDefault="006B4542" w:rsidP="00DD55F5">
      <w:pPr>
        <w:numPr>
          <w:ilvl w:val="0"/>
          <w:numId w:val="18"/>
        </w:numPr>
        <w:tabs>
          <w:tab w:val="left" w:pos="0"/>
        </w:tabs>
        <w:suppressAutoHyphens/>
        <w:spacing w:line="360" w:lineRule="auto"/>
        <w:rPr>
          <w:color w:val="auto"/>
          <w:sz w:val="26"/>
          <w:szCs w:val="26"/>
        </w:rPr>
      </w:pPr>
      <w:r w:rsidRPr="0080791C">
        <w:rPr>
          <w:color w:val="000000"/>
          <w:sz w:val="26"/>
          <w:szCs w:val="26"/>
        </w:rPr>
        <w:t xml:space="preserve">All </w:t>
      </w:r>
      <w:proofErr w:type="spellStart"/>
      <w:r w:rsidR="0080791C" w:rsidRPr="0080791C">
        <w:rPr>
          <w:color w:val="auto"/>
          <w:sz w:val="26"/>
          <w:szCs w:val="26"/>
        </w:rPr>
        <w:t>EnerPenn</w:t>
      </w:r>
      <w:proofErr w:type="spellEnd"/>
      <w:r w:rsidR="0080791C" w:rsidRPr="0080791C">
        <w:rPr>
          <w:color w:val="auto"/>
          <w:sz w:val="26"/>
          <w:szCs w:val="26"/>
        </w:rPr>
        <w:t xml:space="preserve"> USA, LLC d/b/a Y.E.P., d/b/a YEP Energy </w:t>
      </w:r>
      <w:r w:rsidR="00DD55F5" w:rsidRPr="0080791C">
        <w:rPr>
          <w:color w:val="000000"/>
          <w:sz w:val="26"/>
          <w:szCs w:val="26"/>
        </w:rPr>
        <w:t>marketing materials to be used, including contracts and customer facing materials will be provided to Commission staff for informal comment 5 days prior to use.  Bureau of Consumer Services review/comment does not relieve the supplier of complying with the relevant regulations and does not constitute a waiver/exemption form possible Commission action.</w:t>
      </w:r>
    </w:p>
    <w:p w:rsidR="00DD55F5" w:rsidRPr="0080791C" w:rsidRDefault="00DD55F5" w:rsidP="006B4542">
      <w:pPr>
        <w:tabs>
          <w:tab w:val="left" w:pos="0"/>
        </w:tabs>
        <w:suppressAutoHyphens/>
        <w:spacing w:line="360" w:lineRule="auto"/>
        <w:rPr>
          <w:color w:val="auto"/>
          <w:sz w:val="26"/>
          <w:szCs w:val="26"/>
        </w:rPr>
      </w:pPr>
    </w:p>
    <w:p w:rsidR="006B4542" w:rsidRPr="0080791C" w:rsidRDefault="0080791C" w:rsidP="006B4542">
      <w:pPr>
        <w:numPr>
          <w:ilvl w:val="0"/>
          <w:numId w:val="18"/>
        </w:numPr>
        <w:tabs>
          <w:tab w:val="left" w:pos="0"/>
        </w:tabs>
        <w:suppressAutoHyphens/>
        <w:spacing w:line="360" w:lineRule="auto"/>
        <w:rPr>
          <w:color w:val="auto"/>
          <w:sz w:val="26"/>
          <w:szCs w:val="26"/>
        </w:rPr>
      </w:pPr>
      <w:proofErr w:type="spellStart"/>
      <w:r w:rsidRPr="0080791C">
        <w:rPr>
          <w:color w:val="auto"/>
          <w:sz w:val="26"/>
          <w:szCs w:val="26"/>
        </w:rPr>
        <w:t>EnerPenn</w:t>
      </w:r>
      <w:proofErr w:type="spellEnd"/>
      <w:r w:rsidRPr="0080791C">
        <w:rPr>
          <w:color w:val="auto"/>
          <w:sz w:val="26"/>
          <w:szCs w:val="26"/>
        </w:rPr>
        <w:t xml:space="preserve"> USA, LLC d/b/a Y.E.P., d/b/a YEP Energy </w:t>
      </w:r>
      <w:r w:rsidR="006B4542" w:rsidRPr="0080791C">
        <w:rPr>
          <w:color w:val="000000"/>
          <w:sz w:val="26"/>
          <w:szCs w:val="26"/>
        </w:rPr>
        <w:t>will provide a single point of contact and escalation contacts for Commission staff for resolution of consumer inquiries and/or complaints received by the Commission's Bureau of Consumer Services ("BCS") and will respond to all consumer inquiries and complaints in accordance with Appendix 1 and any other BCS requirements, including providing all information regarding the customer and complaint as requested by Commission staff, including a copy of the contract and any audio recordings of the verification call.  EnerPenn will also provide the Commission with the resolution of the complaint by the Company.</w:t>
      </w:r>
    </w:p>
    <w:p w:rsidR="006B4542" w:rsidRPr="0080791C" w:rsidRDefault="006B4542" w:rsidP="006B4542">
      <w:pPr>
        <w:pStyle w:val="ListParagraph"/>
        <w:rPr>
          <w:color w:val="auto"/>
          <w:spacing w:val="-3"/>
          <w:kern w:val="1"/>
          <w:sz w:val="26"/>
          <w:szCs w:val="26"/>
        </w:rPr>
      </w:pPr>
    </w:p>
    <w:p w:rsidR="006B4542" w:rsidRPr="0080791C" w:rsidRDefault="006B4542" w:rsidP="006B4542">
      <w:pPr>
        <w:numPr>
          <w:ilvl w:val="0"/>
          <w:numId w:val="18"/>
        </w:numPr>
        <w:tabs>
          <w:tab w:val="left" w:pos="0"/>
        </w:tabs>
        <w:suppressAutoHyphens/>
        <w:spacing w:line="360" w:lineRule="auto"/>
        <w:rPr>
          <w:color w:val="auto"/>
          <w:sz w:val="26"/>
          <w:szCs w:val="26"/>
        </w:rPr>
      </w:pPr>
      <w:r w:rsidRPr="0080791C">
        <w:rPr>
          <w:color w:val="000000"/>
          <w:sz w:val="26"/>
          <w:szCs w:val="26"/>
        </w:rPr>
        <w:t xml:space="preserve">Any early termination or exit fee imposed by </w:t>
      </w:r>
      <w:proofErr w:type="spellStart"/>
      <w:r w:rsidR="0080791C" w:rsidRPr="0080791C">
        <w:rPr>
          <w:color w:val="auto"/>
          <w:sz w:val="26"/>
          <w:szCs w:val="26"/>
        </w:rPr>
        <w:t>EnerPenn</w:t>
      </w:r>
      <w:proofErr w:type="spellEnd"/>
      <w:r w:rsidR="0080791C" w:rsidRPr="0080791C">
        <w:rPr>
          <w:color w:val="auto"/>
          <w:sz w:val="26"/>
          <w:szCs w:val="26"/>
        </w:rPr>
        <w:t xml:space="preserve"> USA, LLC d/b/a Y.E.P., d/b/a YEP Energy </w:t>
      </w:r>
      <w:r w:rsidRPr="0080791C">
        <w:rPr>
          <w:color w:val="000000"/>
          <w:sz w:val="26"/>
          <w:szCs w:val="26"/>
        </w:rPr>
        <w:t>will not exceed $50.00 per contract;</w:t>
      </w:r>
    </w:p>
    <w:p w:rsidR="006B4542" w:rsidRPr="0080791C" w:rsidRDefault="006B4542" w:rsidP="006B4542">
      <w:pPr>
        <w:pStyle w:val="ListParagraph"/>
        <w:rPr>
          <w:color w:val="auto"/>
          <w:spacing w:val="-3"/>
          <w:kern w:val="1"/>
          <w:sz w:val="26"/>
          <w:szCs w:val="26"/>
        </w:rPr>
      </w:pPr>
    </w:p>
    <w:p w:rsidR="006B4542" w:rsidRPr="0080791C" w:rsidRDefault="0080791C" w:rsidP="006B4542">
      <w:pPr>
        <w:numPr>
          <w:ilvl w:val="0"/>
          <w:numId w:val="18"/>
        </w:numPr>
        <w:tabs>
          <w:tab w:val="left" w:pos="0"/>
        </w:tabs>
        <w:suppressAutoHyphens/>
        <w:spacing w:line="360" w:lineRule="auto"/>
        <w:rPr>
          <w:color w:val="auto"/>
          <w:sz w:val="26"/>
          <w:szCs w:val="26"/>
        </w:rPr>
      </w:pPr>
      <w:proofErr w:type="spellStart"/>
      <w:r w:rsidRPr="0080791C">
        <w:rPr>
          <w:color w:val="auto"/>
          <w:sz w:val="26"/>
          <w:szCs w:val="26"/>
        </w:rPr>
        <w:t>EnerPenn</w:t>
      </w:r>
      <w:proofErr w:type="spellEnd"/>
      <w:r w:rsidRPr="0080791C">
        <w:rPr>
          <w:color w:val="auto"/>
          <w:sz w:val="26"/>
          <w:szCs w:val="26"/>
        </w:rPr>
        <w:t xml:space="preserve"> USA, LLC d/b/a Y.E.P., d/b/a YEP Energy </w:t>
      </w:r>
      <w:r w:rsidR="006B4542" w:rsidRPr="0080791C">
        <w:rPr>
          <w:color w:val="000000"/>
          <w:sz w:val="26"/>
          <w:szCs w:val="26"/>
        </w:rPr>
        <w:t>will operate under the commitments outlined in Appendix 1.</w:t>
      </w:r>
    </w:p>
    <w:p w:rsidR="006B4542" w:rsidRPr="0080791C" w:rsidRDefault="006B4542" w:rsidP="006B4542">
      <w:pPr>
        <w:pStyle w:val="ListParagraph"/>
        <w:rPr>
          <w:color w:val="000000"/>
          <w:sz w:val="26"/>
          <w:szCs w:val="26"/>
        </w:rPr>
      </w:pPr>
    </w:p>
    <w:p w:rsidR="006B4542" w:rsidRPr="0080791C" w:rsidRDefault="0080791C" w:rsidP="006B4542">
      <w:pPr>
        <w:numPr>
          <w:ilvl w:val="0"/>
          <w:numId w:val="18"/>
        </w:numPr>
        <w:tabs>
          <w:tab w:val="left" w:pos="0"/>
        </w:tabs>
        <w:suppressAutoHyphens/>
        <w:spacing w:line="360" w:lineRule="auto"/>
        <w:rPr>
          <w:color w:val="auto"/>
          <w:sz w:val="26"/>
          <w:szCs w:val="26"/>
        </w:rPr>
      </w:pPr>
      <w:proofErr w:type="spellStart"/>
      <w:r w:rsidRPr="0080791C">
        <w:rPr>
          <w:color w:val="auto"/>
          <w:sz w:val="26"/>
          <w:szCs w:val="26"/>
        </w:rPr>
        <w:t>EnerPenn</w:t>
      </w:r>
      <w:proofErr w:type="spellEnd"/>
      <w:r w:rsidRPr="0080791C">
        <w:rPr>
          <w:color w:val="auto"/>
          <w:sz w:val="26"/>
          <w:szCs w:val="26"/>
        </w:rPr>
        <w:t xml:space="preserve"> USA, LLC d/b/a Y.E.P., d/b/a YEP Energy </w:t>
      </w:r>
      <w:r w:rsidR="006B4542" w:rsidRPr="0080791C">
        <w:rPr>
          <w:color w:val="000000"/>
          <w:sz w:val="26"/>
          <w:szCs w:val="26"/>
        </w:rPr>
        <w:t>will use the disclosure statement developed in cooperation with the Commission’s BCS.</w:t>
      </w:r>
    </w:p>
    <w:p w:rsidR="0080791C" w:rsidRPr="0080791C" w:rsidRDefault="0080791C" w:rsidP="0080791C">
      <w:pPr>
        <w:pStyle w:val="ListParagraph"/>
        <w:rPr>
          <w:color w:val="auto"/>
          <w:sz w:val="26"/>
          <w:szCs w:val="26"/>
        </w:rPr>
      </w:pPr>
    </w:p>
    <w:p w:rsidR="0080791C" w:rsidRPr="0080791C" w:rsidRDefault="0080791C" w:rsidP="006B4542">
      <w:pPr>
        <w:numPr>
          <w:ilvl w:val="0"/>
          <w:numId w:val="18"/>
        </w:numPr>
        <w:tabs>
          <w:tab w:val="left" w:pos="0"/>
        </w:tabs>
        <w:suppressAutoHyphens/>
        <w:spacing w:line="360" w:lineRule="auto"/>
        <w:rPr>
          <w:color w:val="auto"/>
          <w:sz w:val="26"/>
          <w:szCs w:val="26"/>
        </w:rPr>
      </w:pPr>
      <w:r w:rsidRPr="0080791C">
        <w:rPr>
          <w:color w:val="auto"/>
          <w:sz w:val="26"/>
          <w:szCs w:val="26"/>
        </w:rPr>
        <w:t xml:space="preserve">Not less than sixty days before the expiration of the </w:t>
      </w:r>
      <w:r w:rsidR="00444DB4">
        <w:rPr>
          <w:color w:val="auto"/>
          <w:sz w:val="26"/>
          <w:szCs w:val="26"/>
        </w:rPr>
        <w:t>probationary period,</w:t>
      </w:r>
      <w:r w:rsidRPr="0080791C">
        <w:rPr>
          <w:color w:val="auto"/>
          <w:sz w:val="26"/>
          <w:szCs w:val="26"/>
        </w:rPr>
        <w:t xml:space="preserve"> </w:t>
      </w:r>
      <w:proofErr w:type="spellStart"/>
      <w:r w:rsidRPr="0080791C">
        <w:rPr>
          <w:color w:val="auto"/>
          <w:sz w:val="26"/>
          <w:szCs w:val="26"/>
        </w:rPr>
        <w:t>EnerPenn</w:t>
      </w:r>
      <w:proofErr w:type="spellEnd"/>
      <w:r w:rsidRPr="0080791C">
        <w:rPr>
          <w:color w:val="auto"/>
          <w:sz w:val="26"/>
          <w:szCs w:val="26"/>
        </w:rPr>
        <w:t xml:space="preserve"> USA, LLC d/b/a Y.E.P., d/b/a YEP Energy shall file a status report with the Commission describing its compliance with the Public Utility Code, Commission Orders and Regulations, and the conditions set forth herein.  The status report shall also include updated information regarding lawsuits, investigations, and state commission proceedings involving its</w:t>
      </w:r>
      <w:r w:rsidRPr="0080791C">
        <w:rPr>
          <w:sz w:val="26"/>
          <w:szCs w:val="26"/>
        </w:rPr>
        <w:t xml:space="preserve"> </w:t>
      </w:r>
      <w:r w:rsidRPr="0080791C">
        <w:rPr>
          <w:color w:val="000000"/>
          <w:sz w:val="26"/>
          <w:szCs w:val="26"/>
        </w:rPr>
        <w:t xml:space="preserve">affiliates in other jurisdictions.  A copy of this status report shall be provided to Paul Diskin in </w:t>
      </w:r>
      <w:r w:rsidR="00016E9B">
        <w:rPr>
          <w:color w:val="000000"/>
          <w:sz w:val="26"/>
          <w:szCs w:val="26"/>
        </w:rPr>
        <w:t>the Commission’s Bureau of Technical</w:t>
      </w:r>
      <w:r w:rsidRPr="0080791C">
        <w:rPr>
          <w:color w:val="000000"/>
          <w:sz w:val="26"/>
          <w:szCs w:val="26"/>
        </w:rPr>
        <w:t xml:space="preserve"> Utility Services and David Mick in the Commission’s Bureau of Consumer Services.</w:t>
      </w:r>
    </w:p>
    <w:p w:rsidR="00FA23F5" w:rsidRPr="0080791C" w:rsidRDefault="00FA23F5" w:rsidP="00096F00">
      <w:pPr>
        <w:suppressAutoHyphens/>
        <w:spacing w:line="360" w:lineRule="auto"/>
        <w:rPr>
          <w:color w:val="auto"/>
          <w:sz w:val="26"/>
          <w:szCs w:val="26"/>
        </w:rPr>
      </w:pPr>
    </w:p>
    <w:p w:rsidR="00013C2F" w:rsidRPr="0080791C" w:rsidRDefault="000F4B0E" w:rsidP="00850F28">
      <w:pPr>
        <w:suppressAutoHyphens/>
        <w:spacing w:line="360" w:lineRule="auto"/>
        <w:ind w:left="90" w:firstLine="1350"/>
        <w:rPr>
          <w:color w:val="auto"/>
          <w:sz w:val="26"/>
          <w:szCs w:val="26"/>
        </w:rPr>
      </w:pPr>
      <w:r w:rsidRPr="0080791C">
        <w:rPr>
          <w:color w:val="auto"/>
          <w:sz w:val="26"/>
          <w:szCs w:val="26"/>
        </w:rPr>
        <w:t>3.</w:t>
      </w:r>
      <w:r w:rsidRPr="0080791C">
        <w:rPr>
          <w:color w:val="auto"/>
          <w:sz w:val="26"/>
          <w:szCs w:val="26"/>
        </w:rPr>
        <w:tab/>
      </w:r>
      <w:r w:rsidR="00013C2F" w:rsidRPr="0080791C">
        <w:rPr>
          <w:color w:val="auto"/>
          <w:sz w:val="26"/>
          <w:szCs w:val="26"/>
        </w:rPr>
        <w:t>That the Commission’s Bureau of Con</w:t>
      </w:r>
      <w:r w:rsidR="0042099B" w:rsidRPr="0080791C">
        <w:rPr>
          <w:color w:val="auto"/>
          <w:sz w:val="26"/>
          <w:szCs w:val="26"/>
        </w:rPr>
        <w:t xml:space="preserve">sumer Services shall monitor </w:t>
      </w:r>
      <w:proofErr w:type="spellStart"/>
      <w:r w:rsidR="00016E9B" w:rsidRPr="0080791C">
        <w:rPr>
          <w:color w:val="auto"/>
          <w:sz w:val="26"/>
          <w:szCs w:val="26"/>
        </w:rPr>
        <w:t>EnerPenn</w:t>
      </w:r>
      <w:proofErr w:type="spellEnd"/>
      <w:r w:rsidR="00016E9B" w:rsidRPr="0080791C">
        <w:rPr>
          <w:color w:val="auto"/>
          <w:sz w:val="26"/>
          <w:szCs w:val="26"/>
        </w:rPr>
        <w:t xml:space="preserve"> USA, LLC</w:t>
      </w:r>
      <w:r w:rsidR="00016E9B">
        <w:rPr>
          <w:color w:val="auto"/>
          <w:sz w:val="26"/>
          <w:szCs w:val="26"/>
        </w:rPr>
        <w:t xml:space="preserve"> d/b/a Y.E.P., d/b/a YEP Energy’</w:t>
      </w:r>
      <w:r w:rsidR="00013C2F" w:rsidRPr="0080791C">
        <w:rPr>
          <w:color w:val="auto"/>
          <w:sz w:val="26"/>
          <w:szCs w:val="26"/>
        </w:rPr>
        <w:t>s compliance with the conditions set forth in this Order.</w:t>
      </w:r>
    </w:p>
    <w:p w:rsidR="00CB2FE9" w:rsidRPr="0080791C" w:rsidRDefault="00CB2FE9" w:rsidP="00850F28">
      <w:pPr>
        <w:pStyle w:val="ListParagraph"/>
        <w:suppressAutoHyphens/>
        <w:spacing w:line="360" w:lineRule="auto"/>
        <w:ind w:left="0" w:hanging="540"/>
        <w:rPr>
          <w:color w:val="auto"/>
          <w:sz w:val="26"/>
          <w:szCs w:val="26"/>
        </w:rPr>
      </w:pPr>
    </w:p>
    <w:p w:rsidR="00CB2FE9" w:rsidRPr="0080791C" w:rsidRDefault="000F4B0E" w:rsidP="00850F28">
      <w:pPr>
        <w:pStyle w:val="ListParagraph"/>
        <w:suppressAutoHyphens/>
        <w:spacing w:line="360" w:lineRule="auto"/>
        <w:ind w:left="0"/>
        <w:rPr>
          <w:color w:val="auto"/>
          <w:sz w:val="26"/>
          <w:szCs w:val="26"/>
        </w:rPr>
      </w:pPr>
      <w:r w:rsidRPr="0080791C">
        <w:rPr>
          <w:color w:val="auto"/>
          <w:sz w:val="26"/>
          <w:szCs w:val="26"/>
        </w:rPr>
        <w:tab/>
      </w:r>
      <w:r w:rsidR="00850F28" w:rsidRPr="0080791C">
        <w:rPr>
          <w:color w:val="auto"/>
          <w:sz w:val="26"/>
          <w:szCs w:val="26"/>
        </w:rPr>
        <w:tab/>
        <w:t xml:space="preserve">4. </w:t>
      </w:r>
      <w:r w:rsidR="00850F28" w:rsidRPr="0080791C">
        <w:rPr>
          <w:color w:val="auto"/>
          <w:sz w:val="26"/>
          <w:szCs w:val="26"/>
        </w:rPr>
        <w:tab/>
      </w:r>
      <w:r w:rsidR="00CB2FE9" w:rsidRPr="0080791C">
        <w:rPr>
          <w:color w:val="auto"/>
          <w:sz w:val="26"/>
          <w:szCs w:val="26"/>
        </w:rPr>
        <w:t>Upon receipt of the status report directed in Paragra</w:t>
      </w:r>
      <w:r w:rsidR="0042099B" w:rsidRPr="0080791C">
        <w:rPr>
          <w:color w:val="auto"/>
          <w:sz w:val="26"/>
          <w:szCs w:val="26"/>
        </w:rPr>
        <w:t xml:space="preserve">ph 2. </w:t>
      </w:r>
      <w:proofErr w:type="gramStart"/>
      <w:r w:rsidR="0042099B" w:rsidRPr="0080791C">
        <w:rPr>
          <w:color w:val="auto"/>
          <w:sz w:val="26"/>
          <w:szCs w:val="26"/>
        </w:rPr>
        <w:t>above</w:t>
      </w:r>
      <w:proofErr w:type="gramEnd"/>
      <w:r w:rsidR="0042099B" w:rsidRPr="0080791C">
        <w:rPr>
          <w:color w:val="auto"/>
          <w:sz w:val="26"/>
          <w:szCs w:val="26"/>
        </w:rPr>
        <w:t>, the Bureau of Technical</w:t>
      </w:r>
      <w:r w:rsidR="00CB2FE9" w:rsidRPr="0080791C">
        <w:rPr>
          <w:color w:val="auto"/>
          <w:sz w:val="26"/>
          <w:szCs w:val="26"/>
        </w:rPr>
        <w:t xml:space="preserve"> Utility Services, with assistance from the Bureau of Consumer Services and the Law Bureau, shall prepare a Staff recommendation regarding appropriate license conditions</w:t>
      </w:r>
      <w:r w:rsidR="002F528D">
        <w:rPr>
          <w:color w:val="auto"/>
          <w:sz w:val="26"/>
          <w:szCs w:val="26"/>
        </w:rPr>
        <w:t xml:space="preserve"> after the expiration of the eighteen month probationary period</w:t>
      </w:r>
      <w:r w:rsidR="00CB2FE9" w:rsidRPr="0080791C">
        <w:rPr>
          <w:color w:val="auto"/>
          <w:sz w:val="26"/>
          <w:szCs w:val="26"/>
        </w:rPr>
        <w:t>.  The Commission shall consider the recommendation at a subsequent Public Meeting.  In making their recommendation, Commission staff shall consider all relevant factors, including whether</w:t>
      </w:r>
      <w:r w:rsidR="00016E9B" w:rsidRPr="00016E9B">
        <w:rPr>
          <w:color w:val="auto"/>
          <w:sz w:val="26"/>
          <w:szCs w:val="26"/>
        </w:rPr>
        <w:t xml:space="preserve"> </w:t>
      </w:r>
      <w:proofErr w:type="spellStart"/>
      <w:r w:rsidR="00016E9B" w:rsidRPr="0080791C">
        <w:rPr>
          <w:color w:val="auto"/>
          <w:sz w:val="26"/>
          <w:szCs w:val="26"/>
        </w:rPr>
        <w:t>EnerPenn</w:t>
      </w:r>
      <w:proofErr w:type="spellEnd"/>
      <w:r w:rsidR="00016E9B" w:rsidRPr="0080791C">
        <w:rPr>
          <w:color w:val="auto"/>
          <w:sz w:val="26"/>
          <w:szCs w:val="26"/>
        </w:rPr>
        <w:t xml:space="preserve"> USA, LLC d/b/a Y.E.P., d/b/a YEP Energy</w:t>
      </w:r>
      <w:r w:rsidR="00CB2FE9" w:rsidRPr="0080791C">
        <w:rPr>
          <w:color w:val="auto"/>
          <w:sz w:val="26"/>
          <w:szCs w:val="26"/>
        </w:rPr>
        <w:t>:</w:t>
      </w:r>
      <w:r w:rsidR="00CB2FE9" w:rsidRPr="0080791C">
        <w:rPr>
          <w:color w:val="auto"/>
          <w:sz w:val="26"/>
        </w:rPr>
        <w:t xml:space="preserve"> </w:t>
      </w:r>
    </w:p>
    <w:p w:rsidR="00CB2FE9" w:rsidRPr="0080791C" w:rsidRDefault="00CB2FE9" w:rsidP="000F4B0E">
      <w:pPr>
        <w:ind w:left="810" w:right="1440"/>
        <w:rPr>
          <w:color w:val="auto"/>
          <w:sz w:val="26"/>
        </w:rPr>
      </w:pPr>
    </w:p>
    <w:p w:rsidR="00CB2FE9" w:rsidRPr="0080791C" w:rsidRDefault="00CB2FE9" w:rsidP="000F4B0E">
      <w:pPr>
        <w:ind w:left="810" w:right="1440"/>
        <w:rPr>
          <w:color w:val="auto"/>
          <w:sz w:val="26"/>
        </w:rPr>
      </w:pPr>
      <w:r w:rsidRPr="0080791C">
        <w:rPr>
          <w:color w:val="auto"/>
          <w:sz w:val="26"/>
        </w:rPr>
        <w:lastRenderedPageBreak/>
        <w:t>a.</w:t>
      </w:r>
      <w:r w:rsidRPr="0080791C">
        <w:rPr>
          <w:color w:val="auto"/>
          <w:sz w:val="26"/>
        </w:rPr>
        <w:tab/>
        <w:t>Operated in good faith and compliance with the Conditions set forth in Paragraph 2 and applicable Laws;</w:t>
      </w:r>
    </w:p>
    <w:p w:rsidR="00CB2FE9" w:rsidRPr="0080791C" w:rsidRDefault="00CB2FE9" w:rsidP="000F4B0E">
      <w:pPr>
        <w:ind w:left="810" w:right="1440"/>
        <w:rPr>
          <w:color w:val="auto"/>
          <w:sz w:val="26"/>
        </w:rPr>
      </w:pPr>
    </w:p>
    <w:p w:rsidR="00CB2FE9" w:rsidRPr="0080791C" w:rsidRDefault="00CB2FE9" w:rsidP="000F4B0E">
      <w:pPr>
        <w:ind w:left="810" w:right="1440"/>
        <w:rPr>
          <w:color w:val="auto"/>
          <w:sz w:val="26"/>
          <w:szCs w:val="26"/>
        </w:rPr>
      </w:pPr>
      <w:r w:rsidRPr="0080791C">
        <w:rPr>
          <w:color w:val="auto"/>
          <w:sz w:val="26"/>
        </w:rPr>
        <w:t>b.</w:t>
      </w:r>
      <w:r w:rsidRPr="0080791C">
        <w:rPr>
          <w:color w:val="auto"/>
          <w:sz w:val="26"/>
        </w:rPr>
        <w:tab/>
        <w:t xml:space="preserve">Maintained </w:t>
      </w:r>
      <w:r w:rsidRPr="0080791C">
        <w:rPr>
          <w:color w:val="auto"/>
          <w:sz w:val="26"/>
          <w:szCs w:val="26"/>
        </w:rPr>
        <w:t>a Complaint Ratio of les</w:t>
      </w:r>
      <w:r w:rsidR="007542DB">
        <w:rPr>
          <w:color w:val="auto"/>
          <w:sz w:val="26"/>
          <w:szCs w:val="26"/>
        </w:rPr>
        <w:t>s than 2% of sales over the 18-</w:t>
      </w:r>
      <w:r w:rsidRPr="0080791C">
        <w:rPr>
          <w:color w:val="auto"/>
          <w:sz w:val="26"/>
          <w:szCs w:val="26"/>
        </w:rPr>
        <w:t xml:space="preserve">month </w:t>
      </w:r>
      <w:r w:rsidR="007542DB">
        <w:rPr>
          <w:color w:val="auto"/>
          <w:sz w:val="26"/>
          <w:szCs w:val="26"/>
        </w:rPr>
        <w:t xml:space="preserve">probationary </w:t>
      </w:r>
      <w:r w:rsidRPr="0080791C">
        <w:rPr>
          <w:color w:val="auto"/>
          <w:sz w:val="26"/>
          <w:szCs w:val="26"/>
        </w:rPr>
        <w:t>period; and</w:t>
      </w:r>
    </w:p>
    <w:p w:rsidR="00CB2FE9" w:rsidRPr="0080791C" w:rsidRDefault="00CB2FE9" w:rsidP="000F4B0E">
      <w:pPr>
        <w:ind w:left="810" w:right="1440"/>
        <w:rPr>
          <w:color w:val="auto"/>
          <w:sz w:val="26"/>
          <w:szCs w:val="26"/>
        </w:rPr>
      </w:pPr>
    </w:p>
    <w:p w:rsidR="00CB2FE9" w:rsidRPr="0080791C" w:rsidRDefault="00CB2FE9" w:rsidP="000F4B0E">
      <w:pPr>
        <w:ind w:left="810" w:right="1440"/>
        <w:rPr>
          <w:color w:val="000000"/>
          <w:sz w:val="26"/>
          <w:szCs w:val="26"/>
        </w:rPr>
      </w:pPr>
      <w:r w:rsidRPr="0080791C">
        <w:rPr>
          <w:color w:val="000000"/>
          <w:sz w:val="26"/>
          <w:szCs w:val="26"/>
        </w:rPr>
        <w:t>c.</w:t>
      </w:r>
      <w:r w:rsidRPr="0080791C">
        <w:rPr>
          <w:color w:val="000000"/>
          <w:sz w:val="26"/>
          <w:szCs w:val="26"/>
        </w:rPr>
        <w:tab/>
        <w:t xml:space="preserve">Maintained the customer service level commitments based on the 18-month </w:t>
      </w:r>
      <w:r w:rsidR="007542DB">
        <w:rPr>
          <w:color w:val="000000"/>
          <w:sz w:val="26"/>
          <w:szCs w:val="26"/>
        </w:rPr>
        <w:t xml:space="preserve">probationary </w:t>
      </w:r>
      <w:r w:rsidRPr="0080791C">
        <w:rPr>
          <w:color w:val="000000"/>
          <w:sz w:val="26"/>
          <w:szCs w:val="26"/>
        </w:rPr>
        <w:t>period (averaged across the period).</w:t>
      </w:r>
    </w:p>
    <w:p w:rsidR="0005064F" w:rsidRPr="0080791C" w:rsidRDefault="0005064F" w:rsidP="000F4B0E">
      <w:pPr>
        <w:ind w:left="630" w:right="1440" w:hanging="540"/>
        <w:rPr>
          <w:color w:val="000000"/>
          <w:sz w:val="26"/>
          <w:szCs w:val="26"/>
        </w:rPr>
      </w:pPr>
    </w:p>
    <w:p w:rsidR="00013C2F" w:rsidRPr="0080791C" w:rsidRDefault="00850F28" w:rsidP="00850F28">
      <w:pPr>
        <w:suppressAutoHyphens/>
        <w:spacing w:line="360" w:lineRule="auto"/>
        <w:ind w:firstLine="1440"/>
        <w:rPr>
          <w:color w:val="auto"/>
          <w:sz w:val="26"/>
          <w:szCs w:val="26"/>
        </w:rPr>
      </w:pPr>
      <w:r w:rsidRPr="0080791C">
        <w:rPr>
          <w:color w:val="auto"/>
          <w:sz w:val="26"/>
          <w:szCs w:val="26"/>
        </w:rPr>
        <w:t>5.</w:t>
      </w:r>
      <w:r w:rsidRPr="0080791C">
        <w:rPr>
          <w:color w:val="auto"/>
          <w:sz w:val="26"/>
          <w:szCs w:val="26"/>
        </w:rPr>
        <w:tab/>
      </w:r>
      <w:r w:rsidR="00CB2FE9" w:rsidRPr="0080791C">
        <w:rPr>
          <w:color w:val="auto"/>
          <w:sz w:val="26"/>
          <w:szCs w:val="26"/>
        </w:rPr>
        <w:t>That a copy of this Order be served on the Department of Revenue, Bureau of Corporation Taxes.</w:t>
      </w:r>
    </w:p>
    <w:p w:rsidR="00013C2F" w:rsidRPr="0080791C" w:rsidRDefault="00013C2F" w:rsidP="002C2F3E">
      <w:pPr>
        <w:suppressAutoHyphens/>
        <w:spacing w:line="360" w:lineRule="auto"/>
        <w:rPr>
          <w:color w:val="auto"/>
          <w:sz w:val="26"/>
          <w:szCs w:val="26"/>
        </w:rPr>
      </w:pPr>
    </w:p>
    <w:p w:rsidR="009B15A3" w:rsidRPr="0080791C" w:rsidRDefault="009B15A3">
      <w:pPr>
        <w:tabs>
          <w:tab w:val="left" w:pos="0"/>
        </w:tabs>
        <w:suppressAutoHyphens/>
        <w:spacing w:line="360" w:lineRule="auto"/>
        <w:jc w:val="both"/>
        <w:rPr>
          <w:color w:val="auto"/>
          <w:spacing w:val="-3"/>
          <w:sz w:val="26"/>
          <w:szCs w:val="26"/>
        </w:rPr>
      </w:pPr>
    </w:p>
    <w:p w:rsidR="00327F6C" w:rsidRPr="0080791C" w:rsidRDefault="00635035"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017C8D34" wp14:editId="2241A7A2">
            <wp:simplePos x="0" y="0"/>
            <wp:positionH relativeFrom="column">
              <wp:posOffset>2305050</wp:posOffset>
            </wp:positionH>
            <wp:positionV relativeFrom="paragraph">
              <wp:posOffset>85725</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80791C">
        <w:rPr>
          <w:color w:val="auto"/>
          <w:sz w:val="26"/>
          <w:szCs w:val="26"/>
        </w:rPr>
        <w:tab/>
      </w:r>
      <w:r w:rsidR="00327F6C" w:rsidRPr="0080791C">
        <w:rPr>
          <w:b/>
          <w:color w:val="auto"/>
          <w:sz w:val="26"/>
          <w:szCs w:val="26"/>
        </w:rPr>
        <w:t>BY THE COMMISSION,</w:t>
      </w:r>
    </w:p>
    <w:p w:rsidR="00327F6C" w:rsidRPr="0080791C" w:rsidRDefault="00327F6C" w:rsidP="00212333">
      <w:pPr>
        <w:tabs>
          <w:tab w:val="left" w:pos="4320"/>
        </w:tabs>
        <w:rPr>
          <w:color w:val="auto"/>
          <w:sz w:val="26"/>
          <w:szCs w:val="26"/>
        </w:rPr>
      </w:pPr>
    </w:p>
    <w:p w:rsidR="00327F6C" w:rsidRPr="0080791C" w:rsidRDefault="00327F6C" w:rsidP="00212333">
      <w:pPr>
        <w:tabs>
          <w:tab w:val="left" w:pos="4320"/>
        </w:tabs>
        <w:rPr>
          <w:color w:val="auto"/>
          <w:sz w:val="26"/>
          <w:szCs w:val="26"/>
        </w:rPr>
      </w:pPr>
    </w:p>
    <w:p w:rsidR="00327F6C" w:rsidRPr="0080791C" w:rsidRDefault="00327F6C" w:rsidP="00212333">
      <w:pPr>
        <w:tabs>
          <w:tab w:val="left" w:pos="4320"/>
        </w:tabs>
        <w:rPr>
          <w:color w:val="auto"/>
          <w:sz w:val="26"/>
          <w:szCs w:val="26"/>
        </w:rPr>
      </w:pPr>
    </w:p>
    <w:p w:rsidR="00327F6C" w:rsidRPr="0080791C" w:rsidRDefault="00327F6C" w:rsidP="00212333">
      <w:pPr>
        <w:tabs>
          <w:tab w:val="left" w:pos="4320"/>
        </w:tabs>
        <w:rPr>
          <w:color w:val="auto"/>
          <w:sz w:val="26"/>
          <w:szCs w:val="26"/>
        </w:rPr>
      </w:pPr>
      <w:r w:rsidRPr="0080791C">
        <w:rPr>
          <w:color w:val="auto"/>
          <w:sz w:val="26"/>
          <w:szCs w:val="26"/>
        </w:rPr>
        <w:tab/>
      </w:r>
      <w:r w:rsidR="00B60C78" w:rsidRPr="0080791C">
        <w:rPr>
          <w:color w:val="auto"/>
          <w:sz w:val="26"/>
          <w:szCs w:val="26"/>
        </w:rPr>
        <w:t>Rosemary Chiavetta</w:t>
      </w:r>
    </w:p>
    <w:p w:rsidR="00327F6C" w:rsidRPr="0080791C" w:rsidRDefault="00327F6C" w:rsidP="00212333">
      <w:pPr>
        <w:tabs>
          <w:tab w:val="left" w:pos="4320"/>
        </w:tabs>
        <w:rPr>
          <w:color w:val="auto"/>
          <w:sz w:val="26"/>
          <w:szCs w:val="26"/>
        </w:rPr>
      </w:pPr>
      <w:r w:rsidRPr="0080791C">
        <w:rPr>
          <w:color w:val="auto"/>
          <w:sz w:val="26"/>
          <w:szCs w:val="26"/>
        </w:rPr>
        <w:tab/>
        <w:t>Secretary</w:t>
      </w:r>
    </w:p>
    <w:p w:rsidR="00327F6C" w:rsidRPr="0080791C" w:rsidRDefault="00327F6C" w:rsidP="00212333">
      <w:pPr>
        <w:tabs>
          <w:tab w:val="left" w:pos="4320"/>
        </w:tabs>
        <w:rPr>
          <w:color w:val="auto"/>
          <w:sz w:val="26"/>
          <w:szCs w:val="26"/>
        </w:rPr>
      </w:pPr>
    </w:p>
    <w:p w:rsidR="00327F6C" w:rsidRPr="0080791C" w:rsidRDefault="00327F6C" w:rsidP="00212333">
      <w:pPr>
        <w:tabs>
          <w:tab w:val="left" w:pos="4320"/>
        </w:tabs>
        <w:rPr>
          <w:color w:val="auto"/>
          <w:sz w:val="26"/>
          <w:szCs w:val="26"/>
        </w:rPr>
      </w:pPr>
      <w:r w:rsidRPr="0080791C">
        <w:rPr>
          <w:color w:val="auto"/>
          <w:sz w:val="26"/>
          <w:szCs w:val="26"/>
        </w:rPr>
        <w:t>(SEAL)</w:t>
      </w:r>
    </w:p>
    <w:p w:rsidR="00327F6C" w:rsidRPr="0080791C" w:rsidRDefault="00327F6C" w:rsidP="00212333">
      <w:pPr>
        <w:tabs>
          <w:tab w:val="left" w:pos="4320"/>
        </w:tabs>
        <w:rPr>
          <w:color w:val="auto"/>
          <w:sz w:val="26"/>
          <w:szCs w:val="26"/>
        </w:rPr>
      </w:pPr>
    </w:p>
    <w:p w:rsidR="00793F53" w:rsidRPr="0080791C" w:rsidRDefault="00793F53" w:rsidP="00212333">
      <w:pPr>
        <w:tabs>
          <w:tab w:val="left" w:pos="4320"/>
        </w:tabs>
        <w:rPr>
          <w:color w:val="auto"/>
          <w:sz w:val="26"/>
          <w:szCs w:val="26"/>
        </w:rPr>
      </w:pPr>
    </w:p>
    <w:p w:rsidR="00327F6C" w:rsidRPr="0080791C" w:rsidRDefault="00327F6C" w:rsidP="00212333">
      <w:pPr>
        <w:tabs>
          <w:tab w:val="left" w:pos="4320"/>
        </w:tabs>
        <w:rPr>
          <w:color w:val="auto"/>
          <w:sz w:val="26"/>
          <w:szCs w:val="26"/>
        </w:rPr>
      </w:pPr>
      <w:r w:rsidRPr="0080791C">
        <w:rPr>
          <w:color w:val="auto"/>
          <w:sz w:val="26"/>
          <w:szCs w:val="26"/>
        </w:rPr>
        <w:t xml:space="preserve">ORDER ADOPTED: </w:t>
      </w:r>
      <w:r w:rsidR="00850F28" w:rsidRPr="0080791C">
        <w:rPr>
          <w:color w:val="auto"/>
          <w:sz w:val="26"/>
          <w:szCs w:val="26"/>
        </w:rPr>
        <w:t xml:space="preserve"> November 10, 2011</w:t>
      </w:r>
    </w:p>
    <w:p w:rsidR="00327F6C" w:rsidRPr="0080791C" w:rsidRDefault="00327F6C" w:rsidP="00212333">
      <w:pPr>
        <w:tabs>
          <w:tab w:val="left" w:pos="4320"/>
        </w:tabs>
        <w:rPr>
          <w:color w:val="auto"/>
          <w:sz w:val="26"/>
          <w:szCs w:val="26"/>
        </w:rPr>
      </w:pPr>
    </w:p>
    <w:p w:rsidR="00327F6C" w:rsidRPr="0080791C" w:rsidRDefault="00583778" w:rsidP="00212333">
      <w:pPr>
        <w:tabs>
          <w:tab w:val="left" w:pos="4320"/>
        </w:tabs>
        <w:rPr>
          <w:color w:val="auto"/>
          <w:sz w:val="26"/>
          <w:szCs w:val="26"/>
        </w:rPr>
      </w:pPr>
      <w:r w:rsidRPr="0080791C">
        <w:rPr>
          <w:color w:val="auto"/>
          <w:sz w:val="26"/>
          <w:szCs w:val="26"/>
        </w:rPr>
        <w:t xml:space="preserve">ORDER ENTERED: </w:t>
      </w:r>
      <w:r w:rsidR="00873C30" w:rsidRPr="0080791C">
        <w:rPr>
          <w:color w:val="auto"/>
          <w:sz w:val="26"/>
          <w:szCs w:val="26"/>
        </w:rPr>
        <w:t xml:space="preserve"> </w:t>
      </w:r>
      <w:r w:rsidR="00635035">
        <w:rPr>
          <w:color w:val="auto"/>
          <w:sz w:val="26"/>
          <w:szCs w:val="26"/>
        </w:rPr>
        <w:t>November 14, 2011</w:t>
      </w:r>
      <w:bookmarkStart w:id="0" w:name="_GoBack"/>
      <w:bookmarkEnd w:id="0"/>
    </w:p>
    <w:p w:rsidR="00C34B60" w:rsidRPr="0080791C" w:rsidRDefault="00C34B60" w:rsidP="00212333">
      <w:pPr>
        <w:tabs>
          <w:tab w:val="left" w:pos="4320"/>
        </w:tabs>
        <w:rPr>
          <w:color w:val="auto"/>
          <w:sz w:val="26"/>
          <w:szCs w:val="26"/>
        </w:rPr>
      </w:pPr>
    </w:p>
    <w:p w:rsidR="00C34B60" w:rsidRPr="0080791C" w:rsidRDefault="00C34B60">
      <w:pPr>
        <w:rPr>
          <w:color w:val="auto"/>
          <w:sz w:val="26"/>
          <w:szCs w:val="26"/>
        </w:rPr>
      </w:pPr>
      <w:r w:rsidRPr="0080791C">
        <w:rPr>
          <w:color w:val="auto"/>
          <w:sz w:val="26"/>
          <w:szCs w:val="26"/>
        </w:rPr>
        <w:br w:type="page"/>
      </w:r>
    </w:p>
    <w:p w:rsidR="00C34B60" w:rsidRPr="0080791C" w:rsidRDefault="00C34B60" w:rsidP="00212333">
      <w:pPr>
        <w:tabs>
          <w:tab w:val="left" w:pos="4320"/>
        </w:tabs>
        <w:rPr>
          <w:color w:val="auto"/>
          <w:sz w:val="26"/>
          <w:szCs w:val="26"/>
        </w:rPr>
      </w:pPr>
    </w:p>
    <w:p w:rsidR="00EE121E" w:rsidRPr="0080791C" w:rsidRDefault="00EE121E" w:rsidP="00EE121E">
      <w:pPr>
        <w:tabs>
          <w:tab w:val="left" w:pos="-720"/>
        </w:tabs>
        <w:suppressAutoHyphens/>
        <w:spacing w:line="360" w:lineRule="auto"/>
        <w:jc w:val="center"/>
        <w:rPr>
          <w:b/>
          <w:color w:val="auto"/>
          <w:sz w:val="26"/>
        </w:rPr>
      </w:pPr>
      <w:r w:rsidRPr="0080791C">
        <w:rPr>
          <w:b/>
          <w:color w:val="auto"/>
          <w:sz w:val="26"/>
        </w:rPr>
        <w:t>Appendix</w:t>
      </w:r>
      <w:r w:rsidR="00C34B60" w:rsidRPr="0080791C">
        <w:rPr>
          <w:b/>
          <w:color w:val="auto"/>
          <w:sz w:val="26"/>
        </w:rPr>
        <w:t xml:space="preserve"> 1</w:t>
      </w:r>
      <w:r w:rsidRPr="0080791C">
        <w:rPr>
          <w:b/>
          <w:color w:val="auto"/>
          <w:sz w:val="26"/>
        </w:rPr>
        <w:t>:</w:t>
      </w:r>
    </w:p>
    <w:p w:rsidR="00EE121E" w:rsidRPr="0080791C" w:rsidRDefault="00EE121E" w:rsidP="00EE121E">
      <w:pPr>
        <w:tabs>
          <w:tab w:val="left" w:pos="-720"/>
        </w:tabs>
        <w:suppressAutoHyphens/>
        <w:spacing w:line="360" w:lineRule="auto"/>
        <w:jc w:val="center"/>
        <w:rPr>
          <w:b/>
          <w:color w:val="auto"/>
          <w:sz w:val="26"/>
        </w:rPr>
      </w:pPr>
    </w:p>
    <w:p w:rsidR="00EE121E" w:rsidRPr="0080791C" w:rsidRDefault="00EE121E" w:rsidP="00212333">
      <w:pPr>
        <w:tabs>
          <w:tab w:val="left" w:pos="4320"/>
        </w:tabs>
        <w:rPr>
          <w:color w:val="auto"/>
          <w:sz w:val="26"/>
          <w:szCs w:val="26"/>
        </w:rPr>
      </w:pPr>
      <w:r w:rsidRPr="0080791C">
        <w:rPr>
          <w:noProof/>
          <w:color w:val="auto"/>
          <w:sz w:val="26"/>
          <w:szCs w:val="26"/>
        </w:rPr>
        <w:drawing>
          <wp:inline distT="0" distB="0" distL="0" distR="0" wp14:anchorId="5B560B53" wp14:editId="0EFD5D27">
            <wp:extent cx="5943600" cy="7439025"/>
            <wp:effectExtent l="19050" t="0" r="0" b="0"/>
            <wp:docPr id="2" name="Picture 1" descr="20091202140235074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1202140235074_0001.TIF"/>
                    <pic:cNvPicPr>
                      <a:picLocks noChangeAspect="1" noChangeArrowheads="1"/>
                    </pic:cNvPicPr>
                  </pic:nvPicPr>
                  <pic:blipFill>
                    <a:blip r:embed="rId10" cstate="print"/>
                    <a:srcRect/>
                    <a:stretch>
                      <a:fillRect/>
                    </a:stretch>
                  </pic:blipFill>
                  <pic:spPr bwMode="auto">
                    <a:xfrm>
                      <a:off x="0" y="0"/>
                      <a:ext cx="5943600" cy="7439025"/>
                    </a:xfrm>
                    <a:prstGeom prst="rect">
                      <a:avLst/>
                    </a:prstGeom>
                    <a:noFill/>
                    <a:ln w="9525">
                      <a:noFill/>
                      <a:miter lim="800000"/>
                      <a:headEnd/>
                      <a:tailEnd/>
                    </a:ln>
                  </pic:spPr>
                </pic:pic>
              </a:graphicData>
            </a:graphic>
          </wp:inline>
        </w:drawing>
      </w:r>
    </w:p>
    <w:p w:rsidR="00EE121E" w:rsidRPr="0080791C" w:rsidRDefault="007773A7" w:rsidP="00212333">
      <w:pPr>
        <w:tabs>
          <w:tab w:val="left" w:pos="4320"/>
        </w:tabs>
        <w:rPr>
          <w:color w:val="auto"/>
          <w:sz w:val="26"/>
          <w:szCs w:val="26"/>
        </w:rPr>
      </w:pPr>
      <w:r w:rsidRPr="0080791C">
        <w:rPr>
          <w:noProof/>
          <w:color w:val="auto"/>
          <w:sz w:val="26"/>
          <w:szCs w:val="26"/>
        </w:rPr>
        <w:lastRenderedPageBreak/>
        <w:drawing>
          <wp:inline distT="0" distB="0" distL="0" distR="0" wp14:anchorId="28EB4729" wp14:editId="6515A6E4">
            <wp:extent cx="5943600" cy="7686675"/>
            <wp:effectExtent l="19050" t="0" r="0" b="0"/>
            <wp:docPr id="3" name="Picture 2" descr="2009120214024836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1202140248361_0001.TIF"/>
                    <pic:cNvPicPr>
                      <a:picLocks noChangeAspect="1" noChangeArrowheads="1"/>
                    </pic:cNvPicPr>
                  </pic:nvPicPr>
                  <pic:blipFill>
                    <a:blip r:embed="rId11"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7773A7" w:rsidRPr="0080791C" w:rsidRDefault="007773A7" w:rsidP="00212333">
      <w:pPr>
        <w:tabs>
          <w:tab w:val="left" w:pos="4320"/>
        </w:tabs>
        <w:rPr>
          <w:color w:val="auto"/>
          <w:sz w:val="26"/>
          <w:szCs w:val="26"/>
        </w:rPr>
      </w:pPr>
      <w:r w:rsidRPr="0080791C">
        <w:rPr>
          <w:noProof/>
          <w:color w:val="auto"/>
          <w:sz w:val="26"/>
          <w:szCs w:val="26"/>
        </w:rPr>
        <w:lastRenderedPageBreak/>
        <w:drawing>
          <wp:inline distT="0" distB="0" distL="0" distR="0" wp14:anchorId="0AB05F1C" wp14:editId="2B3D6654">
            <wp:extent cx="5943600" cy="7686675"/>
            <wp:effectExtent l="19050" t="0" r="0" b="0"/>
            <wp:docPr id="4" name="Picture 4" descr="2009120214025553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1202140255533_0001.TIF"/>
                    <pic:cNvPicPr>
                      <a:picLocks noChangeAspect="1" noChangeArrowheads="1"/>
                    </pic:cNvPicPr>
                  </pic:nvPicPr>
                  <pic:blipFill>
                    <a:blip r:embed="rId12"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7773A7" w:rsidRPr="0080791C" w:rsidRDefault="007773A7" w:rsidP="00212333">
      <w:pPr>
        <w:tabs>
          <w:tab w:val="left" w:pos="4320"/>
        </w:tabs>
        <w:rPr>
          <w:color w:val="auto"/>
          <w:sz w:val="26"/>
          <w:szCs w:val="26"/>
        </w:rPr>
      </w:pPr>
      <w:r w:rsidRPr="0080791C">
        <w:rPr>
          <w:noProof/>
          <w:color w:val="auto"/>
          <w:sz w:val="26"/>
          <w:szCs w:val="26"/>
        </w:rPr>
        <w:lastRenderedPageBreak/>
        <w:drawing>
          <wp:inline distT="0" distB="0" distL="0" distR="0" wp14:anchorId="6D8B5DFC" wp14:editId="16A1729A">
            <wp:extent cx="5943600" cy="7686675"/>
            <wp:effectExtent l="19050" t="0" r="0" b="0"/>
            <wp:docPr id="5" name="Picture 5" descr="2009120214030016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1202140300161_0001.TIF"/>
                    <pic:cNvPicPr>
                      <a:picLocks noChangeAspect="1" noChangeArrowheads="1"/>
                    </pic:cNvPicPr>
                  </pic:nvPicPr>
                  <pic:blipFill>
                    <a:blip r:embed="rId13"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7773A7" w:rsidRPr="0080791C" w:rsidRDefault="007773A7" w:rsidP="00212333">
      <w:pPr>
        <w:tabs>
          <w:tab w:val="left" w:pos="4320"/>
        </w:tabs>
        <w:rPr>
          <w:color w:val="auto"/>
          <w:sz w:val="26"/>
          <w:szCs w:val="26"/>
        </w:rPr>
      </w:pPr>
      <w:r w:rsidRPr="0080791C">
        <w:rPr>
          <w:noProof/>
          <w:color w:val="auto"/>
          <w:sz w:val="26"/>
          <w:szCs w:val="26"/>
        </w:rPr>
        <w:lastRenderedPageBreak/>
        <w:drawing>
          <wp:inline distT="0" distB="0" distL="0" distR="0" wp14:anchorId="4AB640B5" wp14:editId="4CDD3386">
            <wp:extent cx="5943600" cy="7686675"/>
            <wp:effectExtent l="19050" t="0" r="0" b="0"/>
            <wp:docPr id="6" name="Picture 6" descr="2009120214030547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91202140305473_0001.TIF"/>
                    <pic:cNvPicPr>
                      <a:picLocks noChangeAspect="1" noChangeArrowheads="1"/>
                    </pic:cNvPicPr>
                  </pic:nvPicPr>
                  <pic:blipFill>
                    <a:blip r:embed="rId14"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7773A7" w:rsidRPr="0080791C" w:rsidRDefault="007773A7">
      <w:pPr>
        <w:rPr>
          <w:color w:val="auto"/>
          <w:sz w:val="26"/>
          <w:szCs w:val="26"/>
        </w:rPr>
      </w:pPr>
      <w:r w:rsidRPr="0080791C">
        <w:rPr>
          <w:color w:val="auto"/>
          <w:sz w:val="26"/>
          <w:szCs w:val="26"/>
        </w:rPr>
        <w:br w:type="page"/>
      </w:r>
    </w:p>
    <w:p w:rsidR="007773A7" w:rsidRPr="0080791C" w:rsidRDefault="007773A7" w:rsidP="00212333">
      <w:pPr>
        <w:tabs>
          <w:tab w:val="left" w:pos="4320"/>
        </w:tabs>
        <w:rPr>
          <w:color w:val="auto"/>
          <w:sz w:val="26"/>
          <w:szCs w:val="26"/>
        </w:rPr>
      </w:pPr>
      <w:r w:rsidRPr="0080791C">
        <w:rPr>
          <w:noProof/>
          <w:color w:val="auto"/>
          <w:sz w:val="26"/>
          <w:szCs w:val="26"/>
        </w:rPr>
        <w:lastRenderedPageBreak/>
        <w:drawing>
          <wp:inline distT="0" distB="0" distL="0" distR="0" wp14:anchorId="5D0E785D" wp14:editId="0F2C7C14">
            <wp:extent cx="5943600" cy="7686675"/>
            <wp:effectExtent l="19050" t="0" r="0" b="0"/>
            <wp:docPr id="7" name="Picture 7" descr="2009120214031319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91202140313197_0001.TIF"/>
                    <pic:cNvPicPr>
                      <a:picLocks noChangeAspect="1" noChangeArrowheads="1"/>
                    </pic:cNvPicPr>
                  </pic:nvPicPr>
                  <pic:blipFill>
                    <a:blip r:embed="rId15"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7773A7" w:rsidRPr="0080791C" w:rsidRDefault="007773A7" w:rsidP="00212333">
      <w:pPr>
        <w:tabs>
          <w:tab w:val="left" w:pos="4320"/>
        </w:tabs>
        <w:rPr>
          <w:color w:val="auto"/>
          <w:sz w:val="26"/>
          <w:szCs w:val="26"/>
        </w:rPr>
      </w:pPr>
    </w:p>
    <w:p w:rsidR="007773A7" w:rsidRPr="0080791C" w:rsidRDefault="007773A7">
      <w:pPr>
        <w:rPr>
          <w:color w:val="auto"/>
          <w:sz w:val="26"/>
          <w:szCs w:val="26"/>
        </w:rPr>
      </w:pPr>
      <w:r w:rsidRPr="0080791C">
        <w:rPr>
          <w:color w:val="auto"/>
          <w:sz w:val="26"/>
          <w:szCs w:val="26"/>
        </w:rPr>
        <w:br w:type="page"/>
      </w:r>
    </w:p>
    <w:p w:rsidR="007773A7" w:rsidRPr="0080791C" w:rsidRDefault="007773A7" w:rsidP="00212333">
      <w:pPr>
        <w:tabs>
          <w:tab w:val="left" w:pos="4320"/>
        </w:tabs>
        <w:rPr>
          <w:color w:val="auto"/>
          <w:sz w:val="26"/>
          <w:szCs w:val="26"/>
        </w:rPr>
      </w:pPr>
      <w:r w:rsidRPr="0080791C">
        <w:rPr>
          <w:noProof/>
          <w:color w:val="auto"/>
          <w:sz w:val="26"/>
          <w:szCs w:val="26"/>
        </w:rPr>
        <w:lastRenderedPageBreak/>
        <w:drawing>
          <wp:inline distT="0" distB="0" distL="0" distR="0" wp14:anchorId="38A0BB25" wp14:editId="093856E8">
            <wp:extent cx="5943600" cy="7686675"/>
            <wp:effectExtent l="19050" t="0" r="0" b="0"/>
            <wp:docPr id="8" name="Picture 8" descr="2009120214031804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91202140318047_0001.TIF"/>
                    <pic:cNvPicPr>
                      <a:picLocks noChangeAspect="1" noChangeArrowheads="1"/>
                    </pic:cNvPicPr>
                  </pic:nvPicPr>
                  <pic:blipFill>
                    <a:blip r:embed="rId16"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7773A7" w:rsidRPr="0080791C" w:rsidRDefault="007773A7">
      <w:pPr>
        <w:rPr>
          <w:color w:val="auto"/>
          <w:sz w:val="26"/>
          <w:szCs w:val="26"/>
        </w:rPr>
      </w:pPr>
      <w:r w:rsidRPr="0080791C">
        <w:rPr>
          <w:color w:val="auto"/>
          <w:sz w:val="26"/>
          <w:szCs w:val="26"/>
        </w:rPr>
        <w:br w:type="page"/>
      </w:r>
    </w:p>
    <w:p w:rsidR="007773A7" w:rsidRPr="0080791C" w:rsidRDefault="00461A7F" w:rsidP="00212333">
      <w:pPr>
        <w:tabs>
          <w:tab w:val="left" w:pos="4320"/>
        </w:tabs>
        <w:rPr>
          <w:color w:val="auto"/>
          <w:sz w:val="26"/>
          <w:szCs w:val="26"/>
        </w:rPr>
      </w:pPr>
      <w:r w:rsidRPr="0080791C">
        <w:rPr>
          <w:noProof/>
          <w:color w:val="auto"/>
          <w:sz w:val="26"/>
          <w:szCs w:val="26"/>
        </w:rPr>
        <w:lastRenderedPageBreak/>
        <w:drawing>
          <wp:inline distT="0" distB="0" distL="0" distR="0" wp14:anchorId="516ABB4D" wp14:editId="06A05B95">
            <wp:extent cx="5943600" cy="7686675"/>
            <wp:effectExtent l="19050" t="0" r="0" b="0"/>
            <wp:docPr id="9" name="Picture 9" descr="20091202140322642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91202140322642_0001.TIF"/>
                    <pic:cNvPicPr>
                      <a:picLocks noChangeAspect="1" noChangeArrowheads="1"/>
                    </pic:cNvPicPr>
                  </pic:nvPicPr>
                  <pic:blipFill>
                    <a:blip r:embed="rId17"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461A7F" w:rsidRPr="0080791C" w:rsidRDefault="00461A7F" w:rsidP="00212333">
      <w:pPr>
        <w:tabs>
          <w:tab w:val="left" w:pos="4320"/>
        </w:tabs>
        <w:rPr>
          <w:color w:val="auto"/>
          <w:sz w:val="26"/>
          <w:szCs w:val="26"/>
        </w:rPr>
      </w:pPr>
    </w:p>
    <w:p w:rsidR="00461A7F" w:rsidRPr="0080791C" w:rsidRDefault="00461A7F">
      <w:pPr>
        <w:rPr>
          <w:color w:val="auto"/>
          <w:sz w:val="26"/>
          <w:szCs w:val="26"/>
        </w:rPr>
      </w:pPr>
      <w:r w:rsidRPr="0080791C">
        <w:rPr>
          <w:color w:val="auto"/>
          <w:sz w:val="26"/>
          <w:szCs w:val="26"/>
        </w:rPr>
        <w:br w:type="page"/>
      </w:r>
    </w:p>
    <w:p w:rsidR="00461A7F" w:rsidRPr="0080791C" w:rsidRDefault="00461A7F" w:rsidP="00212333">
      <w:pPr>
        <w:tabs>
          <w:tab w:val="left" w:pos="4320"/>
        </w:tabs>
        <w:rPr>
          <w:color w:val="auto"/>
          <w:sz w:val="26"/>
          <w:szCs w:val="26"/>
        </w:rPr>
      </w:pPr>
      <w:r w:rsidRPr="0080791C">
        <w:rPr>
          <w:noProof/>
          <w:color w:val="auto"/>
          <w:sz w:val="26"/>
          <w:szCs w:val="26"/>
        </w:rPr>
        <w:lastRenderedPageBreak/>
        <w:drawing>
          <wp:inline distT="0" distB="0" distL="0" distR="0" wp14:anchorId="50E6181A" wp14:editId="26378765">
            <wp:extent cx="5943600" cy="7686675"/>
            <wp:effectExtent l="19050" t="0" r="0" b="0"/>
            <wp:docPr id="10" name="Picture 10" descr="2009120214032785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91202140327851_0001.TIF"/>
                    <pic:cNvPicPr>
                      <a:picLocks noChangeAspect="1" noChangeArrowheads="1"/>
                    </pic:cNvPicPr>
                  </pic:nvPicPr>
                  <pic:blipFill>
                    <a:blip r:embed="rId18"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461A7F" w:rsidRPr="0080791C" w:rsidRDefault="00461A7F" w:rsidP="00212333">
      <w:pPr>
        <w:tabs>
          <w:tab w:val="left" w:pos="4320"/>
        </w:tabs>
        <w:rPr>
          <w:color w:val="auto"/>
          <w:sz w:val="26"/>
          <w:szCs w:val="26"/>
        </w:rPr>
      </w:pPr>
    </w:p>
    <w:p w:rsidR="00461A7F" w:rsidRPr="0080791C" w:rsidRDefault="00461A7F">
      <w:pPr>
        <w:rPr>
          <w:color w:val="auto"/>
          <w:sz w:val="26"/>
          <w:szCs w:val="26"/>
        </w:rPr>
      </w:pPr>
      <w:r w:rsidRPr="0080791C">
        <w:rPr>
          <w:color w:val="auto"/>
          <w:sz w:val="26"/>
          <w:szCs w:val="26"/>
        </w:rPr>
        <w:br w:type="page"/>
      </w:r>
    </w:p>
    <w:p w:rsidR="00461A7F" w:rsidRPr="0080791C" w:rsidRDefault="00461A7F" w:rsidP="00212333">
      <w:pPr>
        <w:tabs>
          <w:tab w:val="left" w:pos="4320"/>
        </w:tabs>
        <w:rPr>
          <w:color w:val="auto"/>
          <w:sz w:val="26"/>
          <w:szCs w:val="26"/>
        </w:rPr>
      </w:pPr>
      <w:r w:rsidRPr="0080791C">
        <w:rPr>
          <w:noProof/>
          <w:color w:val="auto"/>
          <w:sz w:val="26"/>
          <w:szCs w:val="26"/>
        </w:rPr>
        <w:lastRenderedPageBreak/>
        <w:drawing>
          <wp:inline distT="0" distB="0" distL="0" distR="0" wp14:anchorId="3B520163" wp14:editId="540C08AF">
            <wp:extent cx="5943600" cy="7686675"/>
            <wp:effectExtent l="19050" t="0" r="0" b="0"/>
            <wp:docPr id="12" name="Picture 11" descr="2009120214033349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1202140333493_0001.TIF"/>
                    <pic:cNvPicPr>
                      <a:picLocks noChangeAspect="1" noChangeArrowheads="1"/>
                    </pic:cNvPicPr>
                  </pic:nvPicPr>
                  <pic:blipFill>
                    <a:blip r:embed="rId19"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p w:rsidR="00461A7F" w:rsidRPr="0080791C" w:rsidRDefault="00461A7F" w:rsidP="00212333">
      <w:pPr>
        <w:tabs>
          <w:tab w:val="left" w:pos="4320"/>
        </w:tabs>
        <w:rPr>
          <w:color w:val="auto"/>
          <w:sz w:val="26"/>
          <w:szCs w:val="26"/>
        </w:rPr>
      </w:pPr>
    </w:p>
    <w:p w:rsidR="00461A7F" w:rsidRPr="0080791C" w:rsidRDefault="00461A7F">
      <w:pPr>
        <w:rPr>
          <w:color w:val="auto"/>
          <w:sz w:val="26"/>
          <w:szCs w:val="26"/>
        </w:rPr>
      </w:pPr>
      <w:r w:rsidRPr="0080791C">
        <w:rPr>
          <w:color w:val="auto"/>
          <w:sz w:val="26"/>
          <w:szCs w:val="26"/>
        </w:rPr>
        <w:br w:type="page"/>
      </w:r>
    </w:p>
    <w:p w:rsidR="00461A7F" w:rsidRPr="00BA16B1" w:rsidRDefault="00461A7F" w:rsidP="00212333">
      <w:pPr>
        <w:tabs>
          <w:tab w:val="left" w:pos="4320"/>
        </w:tabs>
        <w:rPr>
          <w:color w:val="auto"/>
          <w:sz w:val="26"/>
          <w:szCs w:val="26"/>
        </w:rPr>
      </w:pPr>
      <w:r w:rsidRPr="0080791C">
        <w:rPr>
          <w:noProof/>
          <w:color w:val="auto"/>
          <w:sz w:val="26"/>
          <w:szCs w:val="26"/>
        </w:rPr>
        <w:lastRenderedPageBreak/>
        <w:drawing>
          <wp:inline distT="0" distB="0" distL="0" distR="0" wp14:anchorId="6CB5F39E" wp14:editId="1B4FF0A2">
            <wp:extent cx="5943600" cy="7686675"/>
            <wp:effectExtent l="19050" t="0" r="0" b="0"/>
            <wp:docPr id="13" name="Picture 0" descr="2009120214033902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91202140339021_0001.TIF"/>
                    <pic:cNvPicPr>
                      <a:picLocks noChangeAspect="1" noChangeArrowheads="1"/>
                    </pic:cNvPicPr>
                  </pic:nvPicPr>
                  <pic:blipFill>
                    <a:blip r:embed="rId20"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sectPr w:rsidR="00461A7F" w:rsidRPr="00BA16B1" w:rsidSect="004B515C">
      <w:footerReference w:type="even" r:id="rId21"/>
      <w:footerReference w:type="defaul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BB" w:rsidRDefault="008D2BBB">
      <w:r>
        <w:separator/>
      </w:r>
    </w:p>
  </w:endnote>
  <w:endnote w:type="continuationSeparator" w:id="0">
    <w:p w:rsidR="008D2BBB" w:rsidRDefault="008D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C" w:rsidRDefault="00807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791C" w:rsidRDefault="00807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C" w:rsidRDefault="00807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035">
      <w:rPr>
        <w:rStyle w:val="PageNumber"/>
        <w:noProof/>
      </w:rPr>
      <w:t>21</w:t>
    </w:r>
    <w:r>
      <w:rPr>
        <w:rStyle w:val="PageNumber"/>
      </w:rPr>
      <w:fldChar w:fldCharType="end"/>
    </w:r>
  </w:p>
  <w:p w:rsidR="0080791C" w:rsidRDefault="0080791C">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BB" w:rsidRDefault="008D2BBB">
      <w:r>
        <w:separator/>
      </w:r>
    </w:p>
  </w:footnote>
  <w:footnote w:type="continuationSeparator" w:id="0">
    <w:p w:rsidR="008D2BBB" w:rsidRDefault="008D2BBB">
      <w:r>
        <w:continuationSeparator/>
      </w:r>
    </w:p>
  </w:footnote>
  <w:footnote w:id="1">
    <w:p w:rsidR="0080791C" w:rsidRDefault="0080791C">
      <w:pPr>
        <w:pStyle w:val="FootnoteText"/>
      </w:pPr>
      <w:r>
        <w:rPr>
          <w:rStyle w:val="FootnoteReference"/>
        </w:rPr>
        <w:footnoteRef/>
      </w:r>
      <w:r>
        <w:t xml:space="preserve"> Public Utility Regulatory Act, TEX. UTIL. CODE ANN. §§ 11.01-66.016 (Vernon 2007 &amp; Supp 2010)( PURA)</w:t>
      </w:r>
    </w:p>
  </w:footnote>
  <w:footnote w:id="2">
    <w:p w:rsidR="0080791C" w:rsidRDefault="0080791C">
      <w:pPr>
        <w:pStyle w:val="FootnoteText"/>
      </w:pPr>
      <w:r>
        <w:rPr>
          <w:rStyle w:val="FootnoteReference"/>
        </w:rPr>
        <w:footnoteRef/>
      </w:r>
      <w:r>
        <w:t xml:space="preserve"> Docket No. A-2009-2097544, order entered December 23,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8F0152"/>
    <w:multiLevelType w:val="singleLevel"/>
    <w:tmpl w:val="FDA4162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15047F2A"/>
    <w:multiLevelType w:val="hybridMultilevel"/>
    <w:tmpl w:val="F9CC8AD6"/>
    <w:lvl w:ilvl="0" w:tplc="498E5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1F77BB"/>
    <w:multiLevelType w:val="hybridMultilevel"/>
    <w:tmpl w:val="33D83F2C"/>
    <w:lvl w:ilvl="0" w:tplc="203AA95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2C39473B"/>
    <w:multiLevelType w:val="singleLevel"/>
    <w:tmpl w:val="04090019"/>
    <w:lvl w:ilvl="0">
      <w:start w:val="1"/>
      <w:numFmt w:val="lowerLetter"/>
      <w:lvlText w:val="%1."/>
      <w:lvlJc w:val="left"/>
      <w:pPr>
        <w:ind w:left="1080" w:hanging="360"/>
      </w:pPr>
      <w:rPr>
        <w:rFonts w:hint="default"/>
      </w:rPr>
    </w:lvl>
  </w:abstractNum>
  <w:abstractNum w:abstractNumId="7">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38B000FA"/>
    <w:multiLevelType w:val="hybridMultilevel"/>
    <w:tmpl w:val="29A61DD2"/>
    <w:lvl w:ilvl="0" w:tplc="10CEF2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461B443E"/>
    <w:multiLevelType w:val="singleLevel"/>
    <w:tmpl w:val="0409000F"/>
    <w:lvl w:ilvl="0">
      <w:start w:val="1"/>
      <w:numFmt w:val="decimal"/>
      <w:lvlText w:val="%1."/>
      <w:lvlJc w:val="left"/>
      <w:pPr>
        <w:tabs>
          <w:tab w:val="num" w:pos="360"/>
        </w:tabs>
        <w:ind w:left="360" w:hanging="360"/>
      </w:pPr>
    </w:lvl>
  </w:abstractNum>
  <w:abstractNum w:abstractNumId="12">
    <w:nsid w:val="52A83517"/>
    <w:multiLevelType w:val="singleLevel"/>
    <w:tmpl w:val="0409000F"/>
    <w:lvl w:ilvl="0">
      <w:start w:val="1"/>
      <w:numFmt w:val="decimal"/>
      <w:lvlText w:val="%1."/>
      <w:lvlJc w:val="left"/>
      <w:pPr>
        <w:tabs>
          <w:tab w:val="num" w:pos="360"/>
        </w:tabs>
        <w:ind w:left="360" w:hanging="360"/>
      </w:pPr>
    </w:lvl>
  </w:abstractNum>
  <w:abstractNum w:abstractNumId="13">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62F47842"/>
    <w:multiLevelType w:val="singleLevel"/>
    <w:tmpl w:val="0409000F"/>
    <w:lvl w:ilvl="0">
      <w:start w:val="1"/>
      <w:numFmt w:val="decimal"/>
      <w:lvlText w:val="%1."/>
      <w:lvlJc w:val="left"/>
      <w:pPr>
        <w:tabs>
          <w:tab w:val="num" w:pos="360"/>
        </w:tabs>
        <w:ind w:left="360" w:hanging="360"/>
      </w:pPr>
    </w:lvl>
  </w:abstractNum>
  <w:abstractNum w:abstractNumId="17">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8">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9">
    <w:nsid w:val="74FE0CD7"/>
    <w:multiLevelType w:val="singleLevel"/>
    <w:tmpl w:val="387C36EC"/>
    <w:lvl w:ilvl="0">
      <w:start w:val="1"/>
      <w:numFmt w:val="decimal"/>
      <w:lvlText w:val="%1."/>
      <w:lvlJc w:val="left"/>
      <w:pPr>
        <w:tabs>
          <w:tab w:val="num" w:pos="1080"/>
        </w:tabs>
        <w:ind w:left="1080" w:hanging="360"/>
      </w:pPr>
      <w:rPr>
        <w:rFonts w:hint="default"/>
      </w:rPr>
    </w:lvl>
  </w:abstractNum>
  <w:abstractNum w:abstractNumId="2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8"/>
  </w:num>
  <w:num w:numId="2">
    <w:abstractNumId w:val="2"/>
  </w:num>
  <w:num w:numId="3">
    <w:abstractNumId w:val="8"/>
  </w:num>
  <w:num w:numId="4">
    <w:abstractNumId w:val="17"/>
  </w:num>
  <w:num w:numId="5">
    <w:abstractNumId w:val="10"/>
  </w:num>
  <w:num w:numId="6">
    <w:abstractNumId w:val="16"/>
  </w:num>
  <w:num w:numId="7">
    <w:abstractNumId w:val="11"/>
  </w:num>
  <w:num w:numId="8">
    <w:abstractNumId w:val="14"/>
  </w:num>
  <w:num w:numId="9">
    <w:abstractNumId w:val="13"/>
  </w:num>
  <w:num w:numId="10">
    <w:abstractNumId w:val="14"/>
  </w:num>
  <w:num w:numId="11">
    <w:abstractNumId w:val="7"/>
  </w:num>
  <w:num w:numId="12">
    <w:abstractNumId w:val="20"/>
  </w:num>
  <w:num w:numId="13">
    <w:abstractNumId w:val="5"/>
  </w:num>
  <w:num w:numId="14">
    <w:abstractNumId w:val="15"/>
  </w:num>
  <w:num w:numId="15">
    <w:abstractNumId w:val="0"/>
  </w:num>
  <w:num w:numId="16">
    <w:abstractNumId w:val="3"/>
  </w:num>
  <w:num w:numId="17">
    <w:abstractNumId w:val="1"/>
    <w:lvlOverride w:ilvl="0">
      <w:lvl w:ilvl="0">
        <w:start w:val="5"/>
        <w:numFmt w:val="lowerLetter"/>
        <w:lvlText w:val="%1."/>
        <w:legacy w:legacy="1" w:legacySpace="0" w:legacyIndent="0"/>
        <w:lvlJc w:val="left"/>
        <w:rPr>
          <w:rFonts w:ascii="Times New Roman" w:hAnsi="Times New Roman" w:cs="Times New Roman" w:hint="default"/>
          <w:color w:val="000000"/>
        </w:rPr>
      </w:lvl>
    </w:lvlOverride>
  </w:num>
  <w:num w:numId="18">
    <w:abstractNumId w:val="6"/>
  </w:num>
  <w:num w:numId="19">
    <w:abstractNumId w:val="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13C2F"/>
    <w:rsid w:val="00016635"/>
    <w:rsid w:val="00016E9B"/>
    <w:rsid w:val="00032C28"/>
    <w:rsid w:val="000377DA"/>
    <w:rsid w:val="0005064F"/>
    <w:rsid w:val="00057159"/>
    <w:rsid w:val="00063778"/>
    <w:rsid w:val="00067FBE"/>
    <w:rsid w:val="000836B0"/>
    <w:rsid w:val="000852B1"/>
    <w:rsid w:val="000924F5"/>
    <w:rsid w:val="000961E7"/>
    <w:rsid w:val="00096F00"/>
    <w:rsid w:val="000B0850"/>
    <w:rsid w:val="000B269D"/>
    <w:rsid w:val="000D3185"/>
    <w:rsid w:val="000F0C10"/>
    <w:rsid w:val="000F42A0"/>
    <w:rsid w:val="000F4B0E"/>
    <w:rsid w:val="00110639"/>
    <w:rsid w:val="00111D25"/>
    <w:rsid w:val="00115910"/>
    <w:rsid w:val="00115BC6"/>
    <w:rsid w:val="00134027"/>
    <w:rsid w:val="00140E47"/>
    <w:rsid w:val="001431AD"/>
    <w:rsid w:val="0014558C"/>
    <w:rsid w:val="0014650C"/>
    <w:rsid w:val="00155181"/>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13117"/>
    <w:rsid w:val="00220196"/>
    <w:rsid w:val="002225FC"/>
    <w:rsid w:val="00224D08"/>
    <w:rsid w:val="00226AE0"/>
    <w:rsid w:val="002317E6"/>
    <w:rsid w:val="002347D4"/>
    <w:rsid w:val="002417EE"/>
    <w:rsid w:val="002465FA"/>
    <w:rsid w:val="00255573"/>
    <w:rsid w:val="002561A5"/>
    <w:rsid w:val="00256F24"/>
    <w:rsid w:val="00262BB6"/>
    <w:rsid w:val="002871C9"/>
    <w:rsid w:val="002957D5"/>
    <w:rsid w:val="002B188D"/>
    <w:rsid w:val="002C2425"/>
    <w:rsid w:val="002C2F3E"/>
    <w:rsid w:val="002D57B0"/>
    <w:rsid w:val="002E2408"/>
    <w:rsid w:val="002E37C2"/>
    <w:rsid w:val="002F528D"/>
    <w:rsid w:val="00302313"/>
    <w:rsid w:val="00321591"/>
    <w:rsid w:val="00322527"/>
    <w:rsid w:val="00324980"/>
    <w:rsid w:val="00326EA2"/>
    <w:rsid w:val="0032783F"/>
    <w:rsid w:val="00327F6C"/>
    <w:rsid w:val="00340913"/>
    <w:rsid w:val="003413FA"/>
    <w:rsid w:val="003426C9"/>
    <w:rsid w:val="003709B2"/>
    <w:rsid w:val="00377004"/>
    <w:rsid w:val="00385F6C"/>
    <w:rsid w:val="00396148"/>
    <w:rsid w:val="0039633F"/>
    <w:rsid w:val="003A3CA9"/>
    <w:rsid w:val="003A7BD0"/>
    <w:rsid w:val="003B6FBC"/>
    <w:rsid w:val="003C294A"/>
    <w:rsid w:val="003C7B0F"/>
    <w:rsid w:val="003D40AE"/>
    <w:rsid w:val="003E3216"/>
    <w:rsid w:val="004060E4"/>
    <w:rsid w:val="004133FD"/>
    <w:rsid w:val="00416012"/>
    <w:rsid w:val="0042099B"/>
    <w:rsid w:val="00422D81"/>
    <w:rsid w:val="00422E18"/>
    <w:rsid w:val="00431426"/>
    <w:rsid w:val="00434813"/>
    <w:rsid w:val="00436076"/>
    <w:rsid w:val="00436E40"/>
    <w:rsid w:val="00442AA5"/>
    <w:rsid w:val="00443A68"/>
    <w:rsid w:val="00444DB4"/>
    <w:rsid w:val="00450A16"/>
    <w:rsid w:val="00455DB0"/>
    <w:rsid w:val="0046061A"/>
    <w:rsid w:val="00461A7F"/>
    <w:rsid w:val="004622D5"/>
    <w:rsid w:val="00467AE4"/>
    <w:rsid w:val="00467DE5"/>
    <w:rsid w:val="004724FD"/>
    <w:rsid w:val="00473C2A"/>
    <w:rsid w:val="00481B3D"/>
    <w:rsid w:val="00483680"/>
    <w:rsid w:val="00496E55"/>
    <w:rsid w:val="004A3285"/>
    <w:rsid w:val="004A771C"/>
    <w:rsid w:val="004B14A6"/>
    <w:rsid w:val="004B515C"/>
    <w:rsid w:val="004D3BB5"/>
    <w:rsid w:val="004F5FD5"/>
    <w:rsid w:val="00503C79"/>
    <w:rsid w:val="005240C2"/>
    <w:rsid w:val="00536337"/>
    <w:rsid w:val="005507EF"/>
    <w:rsid w:val="00551DC0"/>
    <w:rsid w:val="005566A8"/>
    <w:rsid w:val="00560908"/>
    <w:rsid w:val="00565779"/>
    <w:rsid w:val="00583778"/>
    <w:rsid w:val="0059167C"/>
    <w:rsid w:val="00595F83"/>
    <w:rsid w:val="005A0A0C"/>
    <w:rsid w:val="005A2F68"/>
    <w:rsid w:val="005A456F"/>
    <w:rsid w:val="005B32DF"/>
    <w:rsid w:val="005B6E5B"/>
    <w:rsid w:val="005B728E"/>
    <w:rsid w:val="005C1529"/>
    <w:rsid w:val="005C47ED"/>
    <w:rsid w:val="005E6AE9"/>
    <w:rsid w:val="00602A6F"/>
    <w:rsid w:val="006244FB"/>
    <w:rsid w:val="0062685D"/>
    <w:rsid w:val="00626A95"/>
    <w:rsid w:val="00635035"/>
    <w:rsid w:val="0063636E"/>
    <w:rsid w:val="00645786"/>
    <w:rsid w:val="0064698B"/>
    <w:rsid w:val="00646996"/>
    <w:rsid w:val="006617AA"/>
    <w:rsid w:val="00670772"/>
    <w:rsid w:val="00673EA9"/>
    <w:rsid w:val="006819DE"/>
    <w:rsid w:val="0068607F"/>
    <w:rsid w:val="006A7782"/>
    <w:rsid w:val="006B372E"/>
    <w:rsid w:val="006B4542"/>
    <w:rsid w:val="006B65BA"/>
    <w:rsid w:val="006D7FE8"/>
    <w:rsid w:val="006E0975"/>
    <w:rsid w:val="006E0A67"/>
    <w:rsid w:val="006F2526"/>
    <w:rsid w:val="007027ED"/>
    <w:rsid w:val="00704025"/>
    <w:rsid w:val="00705ED5"/>
    <w:rsid w:val="00720F00"/>
    <w:rsid w:val="007409D4"/>
    <w:rsid w:val="00744A95"/>
    <w:rsid w:val="007542DB"/>
    <w:rsid w:val="00755CBD"/>
    <w:rsid w:val="0075693D"/>
    <w:rsid w:val="00761CFC"/>
    <w:rsid w:val="00767417"/>
    <w:rsid w:val="00770909"/>
    <w:rsid w:val="007773A7"/>
    <w:rsid w:val="00793F53"/>
    <w:rsid w:val="007A1FFC"/>
    <w:rsid w:val="007A2A87"/>
    <w:rsid w:val="007A4232"/>
    <w:rsid w:val="007B4545"/>
    <w:rsid w:val="007C5313"/>
    <w:rsid w:val="007E6C04"/>
    <w:rsid w:val="007F39CF"/>
    <w:rsid w:val="00802A48"/>
    <w:rsid w:val="008044CC"/>
    <w:rsid w:val="00806A00"/>
    <w:rsid w:val="0080791C"/>
    <w:rsid w:val="0081149C"/>
    <w:rsid w:val="00812B2F"/>
    <w:rsid w:val="0083254A"/>
    <w:rsid w:val="00835A93"/>
    <w:rsid w:val="00850F28"/>
    <w:rsid w:val="00861578"/>
    <w:rsid w:val="00865587"/>
    <w:rsid w:val="00873C30"/>
    <w:rsid w:val="00873FFD"/>
    <w:rsid w:val="008747FD"/>
    <w:rsid w:val="00876DBA"/>
    <w:rsid w:val="00880E36"/>
    <w:rsid w:val="008811DE"/>
    <w:rsid w:val="008A0791"/>
    <w:rsid w:val="008A4174"/>
    <w:rsid w:val="008A55FD"/>
    <w:rsid w:val="008A60F7"/>
    <w:rsid w:val="008B5564"/>
    <w:rsid w:val="008B7418"/>
    <w:rsid w:val="008C5C5D"/>
    <w:rsid w:val="008D2BBB"/>
    <w:rsid w:val="008E14F8"/>
    <w:rsid w:val="008E2198"/>
    <w:rsid w:val="008F34AF"/>
    <w:rsid w:val="00900179"/>
    <w:rsid w:val="00911AE7"/>
    <w:rsid w:val="00912783"/>
    <w:rsid w:val="0091459D"/>
    <w:rsid w:val="00920C8A"/>
    <w:rsid w:val="0093104B"/>
    <w:rsid w:val="00944864"/>
    <w:rsid w:val="00956D64"/>
    <w:rsid w:val="009653EF"/>
    <w:rsid w:val="0097132C"/>
    <w:rsid w:val="0099101D"/>
    <w:rsid w:val="009B15A3"/>
    <w:rsid w:val="009B3560"/>
    <w:rsid w:val="009B6D37"/>
    <w:rsid w:val="009C1693"/>
    <w:rsid w:val="009E185E"/>
    <w:rsid w:val="009E5F18"/>
    <w:rsid w:val="009F7EEA"/>
    <w:rsid w:val="00A06827"/>
    <w:rsid w:val="00A1456A"/>
    <w:rsid w:val="00A22B12"/>
    <w:rsid w:val="00A3620E"/>
    <w:rsid w:val="00A43450"/>
    <w:rsid w:val="00A4353E"/>
    <w:rsid w:val="00A54DF3"/>
    <w:rsid w:val="00A63D74"/>
    <w:rsid w:val="00A64B53"/>
    <w:rsid w:val="00A90F0E"/>
    <w:rsid w:val="00A91F70"/>
    <w:rsid w:val="00A9500A"/>
    <w:rsid w:val="00AA5DE8"/>
    <w:rsid w:val="00AA5F85"/>
    <w:rsid w:val="00AA6BA7"/>
    <w:rsid w:val="00AB27E5"/>
    <w:rsid w:val="00AB4F42"/>
    <w:rsid w:val="00AB78E2"/>
    <w:rsid w:val="00AD0BB3"/>
    <w:rsid w:val="00AD3A4F"/>
    <w:rsid w:val="00AD698D"/>
    <w:rsid w:val="00AD6D67"/>
    <w:rsid w:val="00AF7E02"/>
    <w:rsid w:val="00B01BFF"/>
    <w:rsid w:val="00B11E8F"/>
    <w:rsid w:val="00B265C0"/>
    <w:rsid w:val="00B328F0"/>
    <w:rsid w:val="00B35691"/>
    <w:rsid w:val="00B37C1C"/>
    <w:rsid w:val="00B51029"/>
    <w:rsid w:val="00B60C78"/>
    <w:rsid w:val="00B6554F"/>
    <w:rsid w:val="00B756CF"/>
    <w:rsid w:val="00B76EFD"/>
    <w:rsid w:val="00B778CE"/>
    <w:rsid w:val="00B82BBA"/>
    <w:rsid w:val="00B97524"/>
    <w:rsid w:val="00BA0F3E"/>
    <w:rsid w:val="00BA16B1"/>
    <w:rsid w:val="00BB57BC"/>
    <w:rsid w:val="00BD358D"/>
    <w:rsid w:val="00BF0679"/>
    <w:rsid w:val="00C0197E"/>
    <w:rsid w:val="00C22737"/>
    <w:rsid w:val="00C334C7"/>
    <w:rsid w:val="00C34B60"/>
    <w:rsid w:val="00C53B92"/>
    <w:rsid w:val="00C60125"/>
    <w:rsid w:val="00C741C9"/>
    <w:rsid w:val="00C87CB0"/>
    <w:rsid w:val="00C916CD"/>
    <w:rsid w:val="00CA7562"/>
    <w:rsid w:val="00CB2837"/>
    <w:rsid w:val="00CB2FE9"/>
    <w:rsid w:val="00CE5F7B"/>
    <w:rsid w:val="00CE6CD8"/>
    <w:rsid w:val="00D06553"/>
    <w:rsid w:val="00D15984"/>
    <w:rsid w:val="00D229E1"/>
    <w:rsid w:val="00D24D44"/>
    <w:rsid w:val="00D2518B"/>
    <w:rsid w:val="00D350CB"/>
    <w:rsid w:val="00D41AFC"/>
    <w:rsid w:val="00D44084"/>
    <w:rsid w:val="00D54F5C"/>
    <w:rsid w:val="00D66464"/>
    <w:rsid w:val="00D674BF"/>
    <w:rsid w:val="00D7492E"/>
    <w:rsid w:val="00D74CC2"/>
    <w:rsid w:val="00D75173"/>
    <w:rsid w:val="00D755A7"/>
    <w:rsid w:val="00D7744A"/>
    <w:rsid w:val="00D944F4"/>
    <w:rsid w:val="00D96482"/>
    <w:rsid w:val="00D978AA"/>
    <w:rsid w:val="00DA06E2"/>
    <w:rsid w:val="00DA19EE"/>
    <w:rsid w:val="00DB4492"/>
    <w:rsid w:val="00DB64E3"/>
    <w:rsid w:val="00DC6B02"/>
    <w:rsid w:val="00DD55F5"/>
    <w:rsid w:val="00DE7122"/>
    <w:rsid w:val="00DF71D1"/>
    <w:rsid w:val="00E21FAB"/>
    <w:rsid w:val="00E25176"/>
    <w:rsid w:val="00E257D7"/>
    <w:rsid w:val="00E31FE9"/>
    <w:rsid w:val="00E43456"/>
    <w:rsid w:val="00E51A90"/>
    <w:rsid w:val="00E51E1D"/>
    <w:rsid w:val="00E53467"/>
    <w:rsid w:val="00E62B67"/>
    <w:rsid w:val="00E778C1"/>
    <w:rsid w:val="00E86964"/>
    <w:rsid w:val="00E94F9B"/>
    <w:rsid w:val="00E9649D"/>
    <w:rsid w:val="00E970BB"/>
    <w:rsid w:val="00EA45EB"/>
    <w:rsid w:val="00EA7A2A"/>
    <w:rsid w:val="00EB2D6B"/>
    <w:rsid w:val="00EC4989"/>
    <w:rsid w:val="00ED6845"/>
    <w:rsid w:val="00EE121E"/>
    <w:rsid w:val="00EE5054"/>
    <w:rsid w:val="00EF4712"/>
    <w:rsid w:val="00EF52D0"/>
    <w:rsid w:val="00EF5D53"/>
    <w:rsid w:val="00EF6043"/>
    <w:rsid w:val="00F24F39"/>
    <w:rsid w:val="00F50935"/>
    <w:rsid w:val="00F64821"/>
    <w:rsid w:val="00F65EB0"/>
    <w:rsid w:val="00F66C26"/>
    <w:rsid w:val="00F70C8C"/>
    <w:rsid w:val="00F83C36"/>
    <w:rsid w:val="00F967DC"/>
    <w:rsid w:val="00F97975"/>
    <w:rsid w:val="00FA219D"/>
    <w:rsid w:val="00FA23F5"/>
    <w:rsid w:val="00FC0774"/>
    <w:rsid w:val="00FC2DDB"/>
    <w:rsid w:val="00FC336C"/>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link w:val="FooterChar"/>
    <w:uiPriority w:val="99"/>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FootnoteText">
    <w:name w:val="footnote text"/>
    <w:basedOn w:val="Normal"/>
    <w:link w:val="FootnoteTextChar"/>
    <w:rsid w:val="00565779"/>
    <w:rPr>
      <w:sz w:val="20"/>
    </w:rPr>
  </w:style>
  <w:style w:type="character" w:customStyle="1" w:styleId="FootnoteTextChar">
    <w:name w:val="Footnote Text Char"/>
    <w:basedOn w:val="DefaultParagraphFont"/>
    <w:link w:val="FootnoteText"/>
    <w:rsid w:val="00565779"/>
    <w:rPr>
      <w:color w:val="0000FF"/>
    </w:rPr>
  </w:style>
  <w:style w:type="character" w:styleId="FootnoteReference">
    <w:name w:val="footnote reference"/>
    <w:basedOn w:val="DefaultParagraphFont"/>
    <w:rsid w:val="00565779"/>
    <w:rPr>
      <w:vertAlign w:val="superscript"/>
    </w:rPr>
  </w:style>
  <w:style w:type="paragraph" w:styleId="ListParagraph">
    <w:name w:val="List Paragraph"/>
    <w:basedOn w:val="Normal"/>
    <w:uiPriority w:val="34"/>
    <w:qFormat/>
    <w:rsid w:val="0062685D"/>
    <w:pPr>
      <w:ind w:left="720"/>
      <w:contextualSpacing/>
    </w:pPr>
  </w:style>
  <w:style w:type="character" w:customStyle="1" w:styleId="FooterChar">
    <w:name w:val="Footer Char"/>
    <w:basedOn w:val="DefaultParagraphFont"/>
    <w:link w:val="Footer"/>
    <w:uiPriority w:val="99"/>
    <w:rsid w:val="00EE121E"/>
    <w:rPr>
      <w:color w:val="0000FF"/>
      <w:sz w:val="24"/>
    </w:rPr>
  </w:style>
  <w:style w:type="paragraph" w:customStyle="1" w:styleId="Style">
    <w:name w:val="Style"/>
    <w:rsid w:val="00DC6B02"/>
    <w:pPr>
      <w:widowControl w:val="0"/>
      <w:autoSpaceDE w:val="0"/>
      <w:autoSpaceDN w:val="0"/>
      <w:adjustRightInd w:val="0"/>
    </w:pPr>
    <w:rPr>
      <w:sz w:val="24"/>
      <w:szCs w:val="24"/>
    </w:rPr>
  </w:style>
  <w:style w:type="character" w:styleId="CommentReference">
    <w:name w:val="annotation reference"/>
    <w:basedOn w:val="DefaultParagraphFont"/>
    <w:rsid w:val="00DD55F5"/>
    <w:rPr>
      <w:sz w:val="16"/>
      <w:szCs w:val="16"/>
    </w:rPr>
  </w:style>
  <w:style w:type="paragraph" w:styleId="CommentText">
    <w:name w:val="annotation text"/>
    <w:basedOn w:val="Normal"/>
    <w:link w:val="CommentTextChar"/>
    <w:rsid w:val="00DD55F5"/>
    <w:rPr>
      <w:sz w:val="20"/>
    </w:rPr>
  </w:style>
  <w:style w:type="character" w:customStyle="1" w:styleId="CommentTextChar">
    <w:name w:val="Comment Text Char"/>
    <w:basedOn w:val="DefaultParagraphFont"/>
    <w:link w:val="CommentText"/>
    <w:rsid w:val="00DD55F5"/>
    <w:rPr>
      <w:color w:val="0000FF"/>
    </w:rPr>
  </w:style>
  <w:style w:type="paragraph" w:styleId="CommentSubject">
    <w:name w:val="annotation subject"/>
    <w:basedOn w:val="CommentText"/>
    <w:next w:val="CommentText"/>
    <w:link w:val="CommentSubjectChar"/>
    <w:rsid w:val="00DD55F5"/>
    <w:rPr>
      <w:b/>
      <w:bCs/>
    </w:rPr>
  </w:style>
  <w:style w:type="character" w:customStyle="1" w:styleId="CommentSubjectChar">
    <w:name w:val="Comment Subject Char"/>
    <w:basedOn w:val="CommentTextChar"/>
    <w:link w:val="CommentSubject"/>
    <w:rsid w:val="00DD55F5"/>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93750">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6C6A-F1FA-459C-B0DE-DCCB03D7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21</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Hinds, Margaret</cp:lastModifiedBy>
  <cp:revision>41</cp:revision>
  <cp:lastPrinted>2011-11-14T12:28:00Z</cp:lastPrinted>
  <dcterms:created xsi:type="dcterms:W3CDTF">2011-09-22T15:55:00Z</dcterms:created>
  <dcterms:modified xsi:type="dcterms:W3CDTF">2011-11-14T12:28:00Z</dcterms:modified>
</cp:coreProperties>
</file>