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222F62" w:rsidP="00222F62">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Pr>
                <w:color w:val="auto"/>
                <w:sz w:val="26"/>
                <w:szCs w:val="26"/>
              </w:rPr>
              <w:t>November 10</w:t>
            </w:r>
            <w:r w:rsidR="005B4667">
              <w:rPr>
                <w:color w:val="auto"/>
                <w:sz w:val="26"/>
                <w:szCs w:val="26"/>
              </w:rPr>
              <w:t>, 2011</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5B4667" w:rsidP="005B4667">
            <w:pPr>
              <w:ind w:left="1080"/>
              <w:rPr>
                <w:color w:val="auto"/>
                <w:sz w:val="26"/>
                <w:szCs w:val="26"/>
              </w:rPr>
            </w:pPr>
            <w:r w:rsidRPr="00267FA7">
              <w:rPr>
                <w:color w:val="auto"/>
                <w:sz w:val="26"/>
                <w:szCs w:val="26"/>
              </w:rPr>
              <w:t>Wayne E. Gardne</w:t>
            </w:r>
            <w:r>
              <w:rPr>
                <w:color w:val="auto"/>
                <w:sz w:val="26"/>
                <w:szCs w:val="26"/>
              </w:rPr>
              <w:t>r</w:t>
            </w:r>
          </w:p>
          <w:p w:rsidR="00102D4C" w:rsidRDefault="005B4667" w:rsidP="005B4667">
            <w:pPr>
              <w:ind w:left="1080"/>
              <w:rPr>
                <w:color w:val="auto"/>
                <w:sz w:val="26"/>
                <w:szCs w:val="26"/>
              </w:rPr>
            </w:pPr>
            <w:r w:rsidRPr="00267FA7">
              <w:rPr>
                <w:color w:val="auto"/>
                <w:sz w:val="26"/>
                <w:szCs w:val="26"/>
              </w:rPr>
              <w:t xml:space="preserve">James H. </w:t>
            </w:r>
            <w:r w:rsidR="00863762">
              <w:rPr>
                <w:color w:val="auto"/>
                <w:sz w:val="26"/>
                <w:szCs w:val="26"/>
              </w:rPr>
              <w:t>Ca</w:t>
            </w:r>
            <w:r w:rsidR="00222F62">
              <w:rPr>
                <w:color w:val="auto"/>
                <w:sz w:val="26"/>
                <w:szCs w:val="26"/>
              </w:rPr>
              <w:t>wley</w:t>
            </w:r>
          </w:p>
          <w:p w:rsidR="00222F62" w:rsidRPr="005B4667" w:rsidRDefault="00222F62" w:rsidP="005B4667">
            <w:pPr>
              <w:ind w:left="1080"/>
              <w:rPr>
                <w:color w:val="auto"/>
                <w:sz w:val="26"/>
                <w:szCs w:val="26"/>
              </w:rPr>
            </w:pPr>
            <w:r>
              <w:rPr>
                <w:color w:val="auto"/>
                <w:sz w:val="26"/>
                <w:szCs w:val="26"/>
              </w:rPr>
              <w:t>Pamela A. Witmer</w:t>
            </w:r>
          </w:p>
        </w:tc>
      </w:tr>
      <w:tr w:rsidR="0070511A" w:rsidRPr="00DB2A91">
        <w:tc>
          <w:tcPr>
            <w:tcW w:w="9468" w:type="dxa"/>
            <w:gridSpan w:val="5"/>
          </w:tcPr>
          <w:p w:rsidR="0070511A" w:rsidRDefault="0070511A" w:rsidP="002E22C8">
            <w:pPr>
              <w:pStyle w:val="p5"/>
              <w:rPr>
                <w:sz w:val="26"/>
                <w:szCs w:val="26"/>
              </w:rPr>
            </w:pPr>
          </w:p>
          <w:p w:rsidR="00222F62" w:rsidRPr="00DB2A91" w:rsidRDefault="00222F62" w:rsidP="002E22C8">
            <w:pPr>
              <w:pStyle w:val="p5"/>
              <w:rPr>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6A3F31" w:rsidP="00222F62">
            <w:pPr>
              <w:rPr>
                <w:color w:val="auto"/>
                <w:sz w:val="26"/>
                <w:szCs w:val="26"/>
              </w:rPr>
            </w:pPr>
            <w:r>
              <w:rPr>
                <w:color w:val="auto"/>
                <w:sz w:val="26"/>
                <w:szCs w:val="26"/>
              </w:rPr>
              <w:t>Amendment</w:t>
            </w:r>
            <w:r w:rsidR="0070511A" w:rsidRPr="00DB2A91">
              <w:rPr>
                <w:color w:val="auto"/>
                <w:sz w:val="26"/>
                <w:szCs w:val="26"/>
              </w:rPr>
              <w:t xml:space="preserve"> of</w:t>
            </w:r>
            <w:r>
              <w:rPr>
                <w:color w:val="auto"/>
                <w:sz w:val="26"/>
                <w:szCs w:val="26"/>
              </w:rPr>
              <w:t xml:space="preserve"> Electric Generation Supplier License of</w:t>
            </w:r>
            <w:r w:rsidR="0070511A" w:rsidRPr="00DB2A91">
              <w:rPr>
                <w:color w:val="auto"/>
                <w:sz w:val="26"/>
                <w:szCs w:val="26"/>
              </w:rPr>
              <w:t xml:space="preserve"> </w:t>
            </w:r>
            <w:r w:rsidR="00222F62">
              <w:rPr>
                <w:color w:val="auto"/>
                <w:sz w:val="26"/>
                <w:szCs w:val="26"/>
              </w:rPr>
              <w:t>TES Energy Services, LP</w:t>
            </w:r>
            <w:r w:rsidR="00E65687" w:rsidRPr="00BC62C0">
              <w:rPr>
                <w:color w:val="auto"/>
                <w:sz w:val="26"/>
                <w:szCs w:val="26"/>
              </w:rPr>
              <w:t>.</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Default="00E65687" w:rsidP="00222F62">
            <w:pPr>
              <w:ind w:firstLine="1332"/>
              <w:rPr>
                <w:color w:val="auto"/>
              </w:rPr>
            </w:pPr>
            <w:r>
              <w:rPr>
                <w:color w:val="auto"/>
              </w:rPr>
              <w:t>A-2010-22</w:t>
            </w:r>
            <w:r w:rsidR="00222F62">
              <w:rPr>
                <w:color w:val="auto"/>
              </w:rPr>
              <w:t>07746</w:t>
            </w:r>
          </w:p>
          <w:p w:rsidR="00222F62" w:rsidRDefault="00222F62" w:rsidP="00222F62">
            <w:pPr>
              <w:ind w:firstLine="1332"/>
              <w:rPr>
                <w:color w:val="auto"/>
              </w:rPr>
            </w:pPr>
          </w:p>
          <w:p w:rsidR="00222F62" w:rsidRDefault="00222F62" w:rsidP="00222F62">
            <w:pPr>
              <w:ind w:firstLine="1332"/>
              <w:rPr>
                <w:color w:val="auto"/>
              </w:rPr>
            </w:pPr>
          </w:p>
          <w:p w:rsidR="00222F62" w:rsidRPr="00DB2A91" w:rsidRDefault="00222F62" w:rsidP="00222F62">
            <w:pPr>
              <w:ind w:firstLine="1332"/>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411EC4" w:rsidRPr="00000ECC" w:rsidRDefault="00A04EDD" w:rsidP="00000ECC">
      <w:pPr>
        <w:suppressAutoHyphens/>
        <w:autoSpaceDE w:val="0"/>
        <w:autoSpaceDN w:val="0"/>
        <w:adjustRightInd w:val="0"/>
        <w:spacing w:line="360" w:lineRule="auto"/>
        <w:rPr>
          <w:color w:val="auto"/>
          <w:kern w:val="1"/>
          <w:sz w:val="26"/>
          <w:szCs w:val="26"/>
        </w:rPr>
      </w:pPr>
      <w:r w:rsidRPr="00DB2A91">
        <w:rPr>
          <w:color w:val="auto"/>
          <w:kern w:val="1"/>
          <w:sz w:val="26"/>
          <w:szCs w:val="26"/>
        </w:rPr>
        <w:tab/>
      </w: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323B9D" w:rsidRPr="00267FA7">
        <w:rPr>
          <w:color w:val="auto"/>
          <w:sz w:val="26"/>
          <w:szCs w:val="26"/>
        </w:rPr>
        <w:t xml:space="preserve">On </w:t>
      </w:r>
      <w:r w:rsidR="0061546B">
        <w:rPr>
          <w:color w:val="auto"/>
          <w:sz w:val="26"/>
          <w:szCs w:val="26"/>
        </w:rPr>
        <w:t>October 15</w:t>
      </w:r>
      <w:r w:rsidR="00323B9D" w:rsidRPr="00267FA7">
        <w:rPr>
          <w:color w:val="auto"/>
          <w:sz w:val="26"/>
          <w:szCs w:val="26"/>
        </w:rPr>
        <w:t>, 20</w:t>
      </w:r>
      <w:r w:rsidR="00323B9D">
        <w:rPr>
          <w:color w:val="auto"/>
          <w:sz w:val="26"/>
          <w:szCs w:val="26"/>
        </w:rPr>
        <w:t>10</w:t>
      </w:r>
      <w:r w:rsidR="00323B9D" w:rsidRPr="00267FA7">
        <w:rPr>
          <w:color w:val="auto"/>
          <w:sz w:val="26"/>
          <w:szCs w:val="26"/>
        </w:rPr>
        <w:t xml:space="preserve">, </w:t>
      </w:r>
      <w:r w:rsidR="0061546B">
        <w:rPr>
          <w:color w:val="auto"/>
          <w:sz w:val="26"/>
          <w:szCs w:val="26"/>
        </w:rPr>
        <w:t xml:space="preserve">TES Energy Services, LP </w:t>
      </w:r>
      <w:r w:rsidR="00323B9D">
        <w:rPr>
          <w:color w:val="auto"/>
          <w:sz w:val="26"/>
          <w:szCs w:val="26"/>
        </w:rPr>
        <w:t>(</w:t>
      </w:r>
      <w:r w:rsidR="0061546B">
        <w:rPr>
          <w:color w:val="auto"/>
          <w:sz w:val="26"/>
          <w:szCs w:val="26"/>
        </w:rPr>
        <w:t>TES</w:t>
      </w:r>
      <w:r w:rsidR="00323B9D">
        <w:rPr>
          <w:color w:val="auto"/>
          <w:sz w:val="26"/>
          <w:szCs w:val="26"/>
        </w:rPr>
        <w:t xml:space="preserve"> or the Applicant)</w:t>
      </w:r>
      <w:r w:rsidR="00323B9D" w:rsidRPr="00267FA7">
        <w:rPr>
          <w:color w:val="auto"/>
          <w:sz w:val="26"/>
          <w:szCs w:val="26"/>
        </w:rPr>
        <w:t xml:space="preserve"> filed an application</w:t>
      </w:r>
      <w:r w:rsidR="00CD3487" w:rsidRPr="00DB2A91">
        <w:rPr>
          <w:color w:val="auto"/>
          <w:spacing w:val="-3"/>
          <w:kern w:val="1"/>
          <w:sz w:val="26"/>
          <w:szCs w:val="26"/>
        </w:rPr>
        <w:t xml:space="preserve"> to offer, render, furnish or supply </w:t>
      </w:r>
      <w:r w:rsidR="002E48CB">
        <w:rPr>
          <w:color w:val="auto"/>
          <w:spacing w:val="-3"/>
          <w:kern w:val="1"/>
          <w:sz w:val="26"/>
          <w:szCs w:val="26"/>
        </w:rPr>
        <w:t xml:space="preserve">electricity or electric generation </w:t>
      </w:r>
      <w:r w:rsidR="00CD3487" w:rsidRPr="00DB2A91">
        <w:rPr>
          <w:color w:val="auto"/>
          <w:spacing w:val="-3"/>
          <w:kern w:val="1"/>
          <w:sz w:val="26"/>
          <w:szCs w:val="26"/>
        </w:rPr>
        <w:t>services</w:t>
      </w:r>
      <w:r w:rsidR="002E48CB">
        <w:rPr>
          <w:color w:val="auto"/>
          <w:spacing w:val="-3"/>
          <w:kern w:val="1"/>
          <w:sz w:val="26"/>
          <w:szCs w:val="26"/>
        </w:rPr>
        <w:t xml:space="preserve"> as </w:t>
      </w:r>
      <w:r w:rsidR="005512F5">
        <w:rPr>
          <w:color w:val="auto"/>
          <w:spacing w:val="-3"/>
          <w:kern w:val="1"/>
          <w:sz w:val="26"/>
          <w:szCs w:val="26"/>
        </w:rPr>
        <w:t xml:space="preserve">a </w:t>
      </w:r>
      <w:r w:rsidR="00B05CA2">
        <w:rPr>
          <w:color w:val="auto"/>
          <w:spacing w:val="-3"/>
          <w:kern w:val="1"/>
          <w:sz w:val="26"/>
          <w:szCs w:val="26"/>
        </w:rPr>
        <w:t>broker/marketer</w:t>
      </w:r>
      <w:r w:rsidR="00247A6C">
        <w:rPr>
          <w:color w:val="auto"/>
          <w:spacing w:val="-3"/>
          <w:kern w:val="1"/>
          <w:sz w:val="26"/>
          <w:szCs w:val="26"/>
        </w:rPr>
        <w:t xml:space="preserve"> </w:t>
      </w:r>
      <w:r w:rsidR="0061546B" w:rsidRPr="00841143">
        <w:rPr>
          <w:color w:val="auto"/>
          <w:sz w:val="26"/>
          <w:szCs w:val="26"/>
        </w:rPr>
        <w:t>for large commercial (over 25 kw demand), industrial, and governmental customers</w:t>
      </w:r>
      <w:r w:rsidR="0061546B">
        <w:rPr>
          <w:color w:val="auto"/>
          <w:spacing w:val="-3"/>
          <w:kern w:val="1"/>
          <w:sz w:val="26"/>
          <w:szCs w:val="26"/>
        </w:rPr>
        <w:t xml:space="preserve"> </w:t>
      </w:r>
      <w:r w:rsidR="005512F5">
        <w:rPr>
          <w:color w:val="auto"/>
          <w:spacing w:val="-3"/>
          <w:kern w:val="1"/>
          <w:sz w:val="26"/>
          <w:szCs w:val="26"/>
        </w:rPr>
        <w:t xml:space="preserve">in the </w:t>
      </w:r>
      <w:r w:rsidR="00B05CA2">
        <w:rPr>
          <w:color w:val="auto"/>
          <w:spacing w:val="-3"/>
          <w:kern w:val="1"/>
          <w:sz w:val="26"/>
          <w:szCs w:val="26"/>
        </w:rPr>
        <w:t xml:space="preserve">electric distribution </w:t>
      </w:r>
      <w:r w:rsidR="008E37C5">
        <w:rPr>
          <w:color w:val="auto"/>
          <w:spacing w:val="-3"/>
          <w:kern w:val="1"/>
          <w:sz w:val="26"/>
          <w:szCs w:val="26"/>
        </w:rPr>
        <w:t xml:space="preserve">company </w:t>
      </w:r>
      <w:r w:rsidR="005512F5">
        <w:rPr>
          <w:color w:val="auto"/>
          <w:spacing w:val="-3"/>
          <w:kern w:val="1"/>
          <w:sz w:val="26"/>
          <w:szCs w:val="26"/>
        </w:rPr>
        <w:t>service territor</w:t>
      </w:r>
      <w:r w:rsidR="00B05CA2">
        <w:rPr>
          <w:color w:val="auto"/>
          <w:spacing w:val="-3"/>
          <w:kern w:val="1"/>
          <w:sz w:val="26"/>
          <w:szCs w:val="26"/>
        </w:rPr>
        <w:t xml:space="preserve">ies throughout </w:t>
      </w:r>
      <w:r w:rsidR="007139F0" w:rsidRPr="00DB2A91">
        <w:rPr>
          <w:color w:val="auto"/>
          <w:spacing w:val="-3"/>
          <w:kern w:val="1"/>
          <w:sz w:val="26"/>
          <w:szCs w:val="26"/>
        </w:rPr>
        <w:t>the Commonwealth of Pennsylvania</w:t>
      </w:r>
      <w:r w:rsidR="00CD3487" w:rsidRPr="00DB2A91">
        <w:rPr>
          <w:color w:val="auto"/>
          <w:spacing w:val="-3"/>
          <w:kern w:val="1"/>
          <w:sz w:val="26"/>
          <w:szCs w:val="26"/>
        </w:rPr>
        <w:t xml:space="preserve">.  </w:t>
      </w:r>
      <w:r w:rsidRPr="00DB2A91">
        <w:rPr>
          <w:color w:val="auto"/>
          <w:spacing w:val="-3"/>
          <w:kern w:val="1"/>
          <w:sz w:val="26"/>
          <w:szCs w:val="26"/>
        </w:rPr>
        <w:t xml:space="preserve">On </w:t>
      </w:r>
      <w:r w:rsidR="00BF0E43">
        <w:rPr>
          <w:color w:val="auto"/>
          <w:spacing w:val="-3"/>
          <w:kern w:val="1"/>
          <w:sz w:val="26"/>
          <w:szCs w:val="26"/>
        </w:rPr>
        <w:t>January </w:t>
      </w:r>
      <w:r w:rsidR="00FE4F1F">
        <w:rPr>
          <w:color w:val="auto"/>
          <w:spacing w:val="-3"/>
          <w:kern w:val="1"/>
          <w:sz w:val="26"/>
          <w:szCs w:val="26"/>
        </w:rPr>
        <w:t>13, 2011</w:t>
      </w:r>
      <w:r w:rsidRPr="00DB2A91">
        <w:rPr>
          <w:color w:val="auto"/>
          <w:spacing w:val="-3"/>
          <w:kern w:val="1"/>
          <w:sz w:val="26"/>
          <w:szCs w:val="26"/>
        </w:rPr>
        <w:t>, the Commission approved</w:t>
      </w:r>
      <w:r w:rsidR="005512F5">
        <w:rPr>
          <w:color w:val="auto"/>
          <w:spacing w:val="-3"/>
          <w:kern w:val="1"/>
          <w:sz w:val="26"/>
          <w:szCs w:val="26"/>
        </w:rPr>
        <w:t xml:space="preserve"> a license at Docket </w:t>
      </w:r>
      <w:r w:rsidRPr="00DB2A91">
        <w:rPr>
          <w:color w:val="auto"/>
          <w:spacing w:val="-3"/>
          <w:kern w:val="1"/>
          <w:sz w:val="26"/>
          <w:szCs w:val="26"/>
        </w:rPr>
        <w:t>No.</w:t>
      </w:r>
      <w:r w:rsidR="005B2D84">
        <w:rPr>
          <w:color w:val="auto"/>
          <w:spacing w:val="-3"/>
          <w:kern w:val="1"/>
          <w:sz w:val="26"/>
          <w:szCs w:val="26"/>
        </w:rPr>
        <w:t> </w:t>
      </w:r>
      <w:r w:rsidR="00FE4F1F">
        <w:rPr>
          <w:color w:val="auto"/>
        </w:rPr>
        <w:t>A-2010-22</w:t>
      </w:r>
      <w:r w:rsidR="00AB38B9">
        <w:rPr>
          <w:color w:val="auto"/>
        </w:rPr>
        <w:t>07746</w:t>
      </w:r>
      <w:r w:rsidRPr="00DB2A91">
        <w:rPr>
          <w:color w:val="auto"/>
          <w:spacing w:val="-3"/>
          <w:kern w:val="1"/>
          <w:sz w:val="26"/>
          <w:szCs w:val="26"/>
        </w:rPr>
        <w:t xml:space="preserve">, authorizing </w:t>
      </w:r>
      <w:r w:rsidR="00AB38B9">
        <w:rPr>
          <w:color w:val="auto"/>
          <w:sz w:val="26"/>
          <w:szCs w:val="26"/>
        </w:rPr>
        <w:t>TES</w:t>
      </w:r>
      <w:r w:rsidR="00FE4F1F">
        <w:rPr>
          <w:color w:val="auto"/>
          <w:spacing w:val="-3"/>
          <w:kern w:val="1"/>
          <w:sz w:val="26"/>
          <w:szCs w:val="26"/>
        </w:rPr>
        <w:t xml:space="preserve"> </w:t>
      </w:r>
      <w:r w:rsidR="005512F5">
        <w:rPr>
          <w:color w:val="auto"/>
          <w:spacing w:val="-3"/>
          <w:kern w:val="1"/>
          <w:sz w:val="26"/>
          <w:szCs w:val="26"/>
        </w:rPr>
        <w:t xml:space="preserve">to </w:t>
      </w:r>
      <w:r w:rsidRPr="00DB2A91">
        <w:rPr>
          <w:color w:val="auto"/>
          <w:spacing w:val="-3"/>
          <w:kern w:val="1"/>
          <w:sz w:val="26"/>
          <w:szCs w:val="26"/>
        </w:rPr>
        <w:t xml:space="preserve">begin to </w:t>
      </w:r>
      <w:r w:rsidR="00DE22C0">
        <w:rPr>
          <w:color w:val="auto"/>
          <w:spacing w:val="-3"/>
          <w:kern w:val="1"/>
          <w:sz w:val="26"/>
          <w:szCs w:val="26"/>
        </w:rPr>
        <w:t xml:space="preserve">offer </w:t>
      </w:r>
      <w:r w:rsidR="00F148A6">
        <w:rPr>
          <w:color w:val="auto"/>
          <w:spacing w:val="-3"/>
          <w:kern w:val="1"/>
          <w:sz w:val="26"/>
          <w:szCs w:val="26"/>
        </w:rPr>
        <w:t>the services described above.</w:t>
      </w:r>
    </w:p>
    <w:p w:rsidR="005512F5" w:rsidRDefault="005512F5" w:rsidP="005B2D84">
      <w:pPr>
        <w:tabs>
          <w:tab w:val="left" w:pos="0"/>
        </w:tabs>
        <w:suppressAutoHyphens/>
        <w:spacing w:line="360" w:lineRule="auto"/>
        <w:rPr>
          <w:color w:val="auto"/>
          <w:spacing w:val="-3"/>
          <w:kern w:val="1"/>
          <w:sz w:val="26"/>
          <w:szCs w:val="26"/>
        </w:rPr>
      </w:pPr>
    </w:p>
    <w:p w:rsidR="00430246" w:rsidRPr="00AC661B" w:rsidRDefault="001C2E45" w:rsidP="00AC661B">
      <w:pPr>
        <w:tabs>
          <w:tab w:val="left" w:pos="-1440"/>
          <w:tab w:val="left" w:pos="-720"/>
        </w:tabs>
        <w:suppressAutoHyphens/>
        <w:spacing w:line="360" w:lineRule="auto"/>
        <w:rPr>
          <w:szCs w:val="24"/>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AB38B9">
        <w:rPr>
          <w:color w:val="auto"/>
          <w:kern w:val="1"/>
          <w:sz w:val="26"/>
          <w:szCs w:val="26"/>
        </w:rPr>
        <w:t>September 22</w:t>
      </w:r>
      <w:r w:rsidR="00FE4F1F">
        <w:rPr>
          <w:color w:val="auto"/>
          <w:kern w:val="1"/>
          <w:sz w:val="26"/>
          <w:szCs w:val="26"/>
        </w:rPr>
        <w:t>, 2011</w:t>
      </w:r>
      <w:r w:rsidRPr="00DB2A91">
        <w:rPr>
          <w:color w:val="auto"/>
          <w:kern w:val="1"/>
          <w:sz w:val="26"/>
          <w:szCs w:val="26"/>
        </w:rPr>
        <w:t xml:space="preserve">, </w:t>
      </w:r>
      <w:r w:rsidR="00AB38B9">
        <w:rPr>
          <w:color w:val="auto"/>
          <w:sz w:val="26"/>
          <w:szCs w:val="26"/>
        </w:rPr>
        <w:t>TES</w:t>
      </w:r>
      <w:r w:rsidR="00FE4F1F">
        <w:rPr>
          <w:color w:val="auto"/>
          <w:spacing w:val="-3"/>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24155F">
        <w:rPr>
          <w:color w:val="auto"/>
          <w:kern w:val="1"/>
          <w:sz w:val="26"/>
          <w:szCs w:val="26"/>
        </w:rPr>
        <w:t>to</w:t>
      </w:r>
      <w:r w:rsidR="00000ECC">
        <w:rPr>
          <w:color w:val="auto"/>
          <w:kern w:val="1"/>
          <w:sz w:val="26"/>
          <w:szCs w:val="26"/>
        </w:rPr>
        <w:t xml:space="preserve"> </w:t>
      </w:r>
      <w:r w:rsidR="00E4033F">
        <w:rPr>
          <w:color w:val="auto"/>
          <w:kern w:val="1"/>
          <w:sz w:val="26"/>
          <w:szCs w:val="26"/>
        </w:rPr>
        <w:t xml:space="preserve">also </w:t>
      </w:r>
      <w:r w:rsidR="00F148A6">
        <w:rPr>
          <w:color w:val="auto"/>
          <w:kern w:val="1"/>
          <w:sz w:val="26"/>
          <w:szCs w:val="26"/>
        </w:rPr>
        <w:t>serv</w:t>
      </w:r>
      <w:r w:rsidR="0024155F">
        <w:rPr>
          <w:color w:val="auto"/>
          <w:kern w:val="1"/>
          <w:sz w:val="26"/>
          <w:szCs w:val="26"/>
        </w:rPr>
        <w:t xml:space="preserve">e </w:t>
      </w:r>
      <w:r w:rsidR="00E4033F">
        <w:rPr>
          <w:color w:val="auto"/>
          <w:kern w:val="1"/>
          <w:sz w:val="26"/>
          <w:szCs w:val="26"/>
        </w:rPr>
        <w:t>residential</w:t>
      </w:r>
      <w:r w:rsidR="00AB38B9">
        <w:rPr>
          <w:color w:val="auto"/>
          <w:kern w:val="1"/>
          <w:sz w:val="26"/>
          <w:szCs w:val="26"/>
        </w:rPr>
        <w:t xml:space="preserve"> and small commercial (25 kw and under </w:t>
      </w:r>
      <w:r w:rsidR="00AB38B9">
        <w:rPr>
          <w:color w:val="auto"/>
          <w:kern w:val="1"/>
          <w:sz w:val="26"/>
          <w:szCs w:val="26"/>
        </w:rPr>
        <w:lastRenderedPageBreak/>
        <w:t>demand)</w:t>
      </w:r>
      <w:r w:rsidR="00E4033F">
        <w:rPr>
          <w:color w:val="auto"/>
          <w:kern w:val="1"/>
          <w:sz w:val="26"/>
          <w:szCs w:val="26"/>
        </w:rPr>
        <w:t xml:space="preserve"> </w:t>
      </w:r>
      <w:r w:rsidR="00000ECC">
        <w:rPr>
          <w:color w:val="auto"/>
          <w:kern w:val="1"/>
          <w:sz w:val="26"/>
          <w:szCs w:val="26"/>
        </w:rPr>
        <w:t>customer</w:t>
      </w:r>
      <w:r w:rsidR="00E4033F">
        <w:rPr>
          <w:color w:val="auto"/>
          <w:kern w:val="1"/>
          <w:sz w:val="26"/>
          <w:szCs w:val="26"/>
        </w:rPr>
        <w:t xml:space="preserve">s </w:t>
      </w:r>
      <w:r w:rsidR="002447E7">
        <w:rPr>
          <w:color w:val="auto"/>
          <w:kern w:val="1"/>
          <w:sz w:val="26"/>
          <w:szCs w:val="26"/>
        </w:rPr>
        <w:t xml:space="preserve">directly </w:t>
      </w:r>
      <w:r w:rsidR="00E4033F">
        <w:rPr>
          <w:color w:val="auto"/>
          <w:kern w:val="1"/>
          <w:sz w:val="26"/>
          <w:szCs w:val="26"/>
        </w:rPr>
        <w:t xml:space="preserve">as a broker/marketer </w:t>
      </w:r>
      <w:r>
        <w:rPr>
          <w:color w:val="auto"/>
          <w:kern w:val="1"/>
          <w:sz w:val="26"/>
          <w:szCs w:val="26"/>
        </w:rPr>
        <w:t xml:space="preserve">throughout </w:t>
      </w:r>
      <w:r w:rsidR="00000ECC">
        <w:rPr>
          <w:color w:val="auto"/>
          <w:kern w:val="1"/>
          <w:sz w:val="26"/>
          <w:szCs w:val="26"/>
        </w:rPr>
        <w:t>all the electric</w:t>
      </w:r>
      <w:r w:rsidR="003F5DAC" w:rsidRPr="003F5DAC">
        <w:rPr>
          <w:color w:val="auto"/>
          <w:spacing w:val="-3"/>
          <w:kern w:val="1"/>
          <w:sz w:val="26"/>
          <w:szCs w:val="26"/>
        </w:rPr>
        <w:t xml:space="preserve"> </w:t>
      </w:r>
      <w:r w:rsidR="003F5DAC">
        <w:rPr>
          <w:color w:val="auto"/>
          <w:spacing w:val="-3"/>
          <w:kern w:val="1"/>
          <w:sz w:val="26"/>
          <w:szCs w:val="26"/>
        </w:rPr>
        <w:t>distribution</w:t>
      </w:r>
      <w:r w:rsidR="007520C9">
        <w:rPr>
          <w:color w:val="auto"/>
          <w:spacing w:val="-3"/>
          <w:kern w:val="1"/>
          <w:sz w:val="26"/>
          <w:szCs w:val="26"/>
        </w:rPr>
        <w:t xml:space="preserve"> company</w:t>
      </w:r>
      <w:r w:rsidR="00000ECC">
        <w:rPr>
          <w:color w:val="auto"/>
          <w:kern w:val="1"/>
          <w:sz w:val="26"/>
          <w:szCs w:val="26"/>
        </w:rPr>
        <w:t xml:space="preserve"> </w:t>
      </w:r>
      <w:r w:rsidR="001A71CE">
        <w:rPr>
          <w:color w:val="auto"/>
          <w:kern w:val="1"/>
          <w:sz w:val="26"/>
          <w:szCs w:val="26"/>
        </w:rPr>
        <w:t xml:space="preserve">service territories </w:t>
      </w:r>
      <w:r w:rsidR="00000ECC">
        <w:rPr>
          <w:color w:val="auto"/>
          <w:kern w:val="1"/>
          <w:sz w:val="26"/>
          <w:szCs w:val="26"/>
        </w:rPr>
        <w:t xml:space="preserve">within </w:t>
      </w:r>
      <w:r>
        <w:rPr>
          <w:color w:val="auto"/>
          <w:kern w:val="1"/>
          <w:sz w:val="26"/>
          <w:szCs w:val="26"/>
        </w:rPr>
        <w:t>the Commonwealth of Pennsylvania.</w:t>
      </w:r>
      <w:r w:rsidR="001A71CE">
        <w:rPr>
          <w:color w:val="auto"/>
          <w:kern w:val="1"/>
          <w:sz w:val="26"/>
          <w:szCs w:val="26"/>
        </w:rPr>
        <w:t xml:space="preserve">  </w:t>
      </w:r>
      <w:r w:rsidR="001A71CE">
        <w:rPr>
          <w:color w:val="auto"/>
          <w:sz w:val="26"/>
          <w:szCs w:val="26"/>
        </w:rPr>
        <w:t>This proposed amendment</w:t>
      </w:r>
      <w:r w:rsidR="001A71CE" w:rsidRPr="001A71CE">
        <w:rPr>
          <w:color w:val="auto"/>
          <w:sz w:val="26"/>
          <w:szCs w:val="26"/>
        </w:rPr>
        <w:t xml:space="preserve"> is filed in accordance with the requirements of Section 2809 of the Public Utility Code, 66 Pa. C.S. § 2809. </w:t>
      </w:r>
    </w:p>
    <w:p w:rsidR="001C2E45" w:rsidRPr="00DB2A91" w:rsidRDefault="001C2E45">
      <w:pPr>
        <w:tabs>
          <w:tab w:val="left" w:pos="0"/>
        </w:tabs>
        <w:suppressAutoHyphens/>
        <w:spacing w:line="360" w:lineRule="auto"/>
        <w:rPr>
          <w:color w:val="auto"/>
          <w:spacing w:val="-3"/>
          <w:kern w:val="1"/>
          <w:sz w:val="26"/>
          <w:szCs w:val="26"/>
        </w:rPr>
      </w:pPr>
    </w:p>
    <w:p w:rsidR="00EC56EC" w:rsidRPr="00267FA7" w:rsidRDefault="005A4AE7" w:rsidP="00EC56EC">
      <w:pPr>
        <w:tabs>
          <w:tab w:val="left" w:pos="0"/>
        </w:tabs>
        <w:suppressAutoHyphens/>
        <w:spacing w:line="360" w:lineRule="auto"/>
        <w:ind w:firstLine="1440"/>
        <w:rPr>
          <w:color w:val="auto"/>
          <w:sz w:val="26"/>
          <w:szCs w:val="26"/>
        </w:rPr>
      </w:pPr>
      <w:r>
        <w:rPr>
          <w:color w:val="auto"/>
          <w:sz w:val="26"/>
          <w:szCs w:val="26"/>
        </w:rPr>
        <w:t>TES</w:t>
      </w:r>
      <w:r w:rsidR="00AE1085">
        <w:rPr>
          <w:color w:val="auto"/>
          <w:spacing w:val="-3"/>
          <w:kern w:val="1"/>
          <w:sz w:val="26"/>
          <w:szCs w:val="26"/>
        </w:rPr>
        <w:t xml:space="preserve"> </w:t>
      </w:r>
      <w:r w:rsidR="001C2E45">
        <w:rPr>
          <w:color w:val="auto"/>
          <w:spacing w:val="-3"/>
          <w:sz w:val="26"/>
          <w:szCs w:val="26"/>
        </w:rPr>
        <w:t>has</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license </w:t>
      </w:r>
      <w:r w:rsidR="00DF3A50">
        <w:rPr>
          <w:color w:val="auto"/>
          <w:spacing w:val="-3"/>
          <w:sz w:val="26"/>
          <w:szCs w:val="26"/>
        </w:rPr>
        <w:t>application</w:t>
      </w:r>
      <w:r w:rsidR="00B065FE" w:rsidRPr="00DB2A91">
        <w:rPr>
          <w:color w:val="auto"/>
          <w:spacing w:val="-3"/>
          <w:sz w:val="26"/>
          <w:szCs w:val="26"/>
        </w:rPr>
        <w:t xml:space="preserve"> in the Pennsylvania newspapers as required by the Commission</w:t>
      </w:r>
      <w:r w:rsidR="00560DEC">
        <w:rPr>
          <w:color w:val="auto"/>
          <w:spacing w:val="-3"/>
          <w:sz w:val="26"/>
          <w:szCs w:val="26"/>
        </w:rPr>
        <w:t>, and provided proof of service of the amendment request to the interested parties</w:t>
      </w:r>
      <w:r w:rsidR="00430246" w:rsidRPr="00DB2A91">
        <w:rPr>
          <w:color w:val="auto"/>
          <w:spacing w:val="-3"/>
          <w:sz w:val="26"/>
          <w:szCs w:val="26"/>
        </w:rPr>
        <w:t>.</w:t>
      </w:r>
      <w:r w:rsidR="003B5006">
        <w:rPr>
          <w:color w:val="auto"/>
          <w:spacing w:val="-3"/>
          <w:sz w:val="26"/>
          <w:szCs w:val="26"/>
        </w:rPr>
        <w:t xml:space="preserve">  </w:t>
      </w:r>
      <w:r>
        <w:rPr>
          <w:color w:val="auto"/>
          <w:sz w:val="26"/>
          <w:szCs w:val="26"/>
        </w:rPr>
        <w:t>TES</w:t>
      </w:r>
      <w:r w:rsidR="003B5006">
        <w:rPr>
          <w:color w:val="auto"/>
          <w:spacing w:val="-3"/>
          <w:sz w:val="26"/>
          <w:szCs w:val="26"/>
        </w:rPr>
        <w:t xml:space="preserve"> </w:t>
      </w:r>
      <w:r w:rsidR="0024155F">
        <w:rPr>
          <w:color w:val="auto"/>
          <w:spacing w:val="-3"/>
          <w:sz w:val="26"/>
          <w:szCs w:val="26"/>
        </w:rPr>
        <w:t xml:space="preserve">has </w:t>
      </w:r>
      <w:r w:rsidR="003B5006">
        <w:rPr>
          <w:color w:val="auto"/>
          <w:spacing w:val="-3"/>
          <w:sz w:val="26"/>
          <w:szCs w:val="26"/>
        </w:rPr>
        <w:t>also provided a $</w:t>
      </w:r>
      <w:r w:rsidR="00DF3A50">
        <w:rPr>
          <w:color w:val="auto"/>
          <w:spacing w:val="-3"/>
          <w:sz w:val="26"/>
          <w:szCs w:val="26"/>
        </w:rPr>
        <w:t>10</w:t>
      </w:r>
      <w:r w:rsidR="003B5006">
        <w:rPr>
          <w:color w:val="auto"/>
          <w:spacing w:val="-3"/>
          <w:sz w:val="26"/>
          <w:szCs w:val="26"/>
        </w:rPr>
        <w:t xml:space="preserve">,000 </w:t>
      </w:r>
      <w:r w:rsidR="00CE3643">
        <w:rPr>
          <w:color w:val="auto"/>
          <w:spacing w:val="-3"/>
          <w:sz w:val="26"/>
          <w:szCs w:val="26"/>
        </w:rPr>
        <w:t>surety bond</w:t>
      </w:r>
      <w:r w:rsidR="003B5006">
        <w:rPr>
          <w:color w:val="auto"/>
          <w:spacing w:val="-3"/>
          <w:sz w:val="26"/>
          <w:szCs w:val="26"/>
        </w:rPr>
        <w:t xml:space="preserve"> with its original license </w:t>
      </w:r>
      <w:r w:rsidR="00CE3643">
        <w:rPr>
          <w:color w:val="auto"/>
          <w:spacing w:val="-3"/>
          <w:sz w:val="26"/>
          <w:szCs w:val="26"/>
        </w:rPr>
        <w:t>application</w:t>
      </w:r>
      <w:r w:rsidR="00560DEC">
        <w:rPr>
          <w:color w:val="auto"/>
          <w:spacing w:val="-3"/>
          <w:sz w:val="26"/>
          <w:szCs w:val="26"/>
        </w:rPr>
        <w:t>,</w:t>
      </w:r>
      <w:r w:rsidR="00560DEC" w:rsidRPr="00560DEC">
        <w:rPr>
          <w:color w:val="auto"/>
          <w:sz w:val="26"/>
          <w:szCs w:val="26"/>
        </w:rPr>
        <w:t xml:space="preserve"> </w:t>
      </w:r>
      <w:r w:rsidR="00560DEC">
        <w:rPr>
          <w:color w:val="auto"/>
          <w:sz w:val="26"/>
          <w:szCs w:val="26"/>
        </w:rPr>
        <w:t>explaining</w:t>
      </w:r>
      <w:r w:rsidR="00560DEC" w:rsidRPr="00267FA7">
        <w:rPr>
          <w:color w:val="auto"/>
          <w:sz w:val="26"/>
          <w:szCs w:val="26"/>
        </w:rPr>
        <w:t xml:space="preserve"> that</w:t>
      </w:r>
      <w:r w:rsidR="00560DEC">
        <w:rPr>
          <w:color w:val="auto"/>
          <w:sz w:val="26"/>
          <w:szCs w:val="26"/>
        </w:rPr>
        <w:t xml:space="preserve"> as a broker, the risk associated to the customers is minimal, if any, and can be adequately covered by the reduced bond of $10,000.</w:t>
      </w:r>
      <w:r w:rsidR="009D44D4">
        <w:rPr>
          <w:color w:val="auto"/>
          <w:spacing w:val="-3"/>
          <w:sz w:val="26"/>
          <w:szCs w:val="26"/>
        </w:rPr>
        <w:t xml:space="preserve">  </w:t>
      </w:r>
    </w:p>
    <w:p w:rsidR="004F2819" w:rsidRDefault="00A45685" w:rsidP="00CE3643">
      <w:pPr>
        <w:tabs>
          <w:tab w:val="left" w:pos="0"/>
        </w:tabs>
        <w:suppressAutoHyphens/>
        <w:spacing w:line="360" w:lineRule="auto"/>
        <w:ind w:right="90"/>
        <w:rPr>
          <w:color w:val="auto"/>
          <w:spacing w:val="-3"/>
          <w:kern w:val="2"/>
          <w:sz w:val="26"/>
        </w:rPr>
      </w:pPr>
      <w:r>
        <w:rPr>
          <w:color w:val="auto"/>
          <w:spacing w:val="-3"/>
          <w:kern w:val="2"/>
          <w:sz w:val="26"/>
        </w:rPr>
        <w:tab/>
      </w:r>
    </w:p>
    <w:p w:rsidR="00CE3643" w:rsidRPr="00187C75" w:rsidRDefault="004F2819" w:rsidP="00CE3643">
      <w:pPr>
        <w:tabs>
          <w:tab w:val="left" w:pos="0"/>
        </w:tabs>
        <w:suppressAutoHyphens/>
        <w:spacing w:line="360" w:lineRule="auto"/>
        <w:ind w:right="90"/>
        <w:rPr>
          <w:color w:val="auto"/>
          <w:spacing w:val="-3"/>
          <w:kern w:val="2"/>
          <w:sz w:val="26"/>
        </w:rPr>
      </w:pPr>
      <w:r>
        <w:rPr>
          <w:color w:val="auto"/>
          <w:spacing w:val="-3"/>
          <w:kern w:val="2"/>
          <w:sz w:val="26"/>
        </w:rPr>
        <w:tab/>
      </w:r>
      <w:r w:rsidR="00A45685">
        <w:rPr>
          <w:color w:val="auto"/>
          <w:spacing w:val="-3"/>
          <w:kern w:val="2"/>
          <w:sz w:val="26"/>
        </w:rPr>
        <w:tab/>
      </w:r>
      <w:r>
        <w:rPr>
          <w:color w:val="auto"/>
          <w:sz w:val="26"/>
          <w:szCs w:val="26"/>
        </w:rPr>
        <w:t>TES</w:t>
      </w:r>
      <w:r w:rsidR="00EC56EC">
        <w:rPr>
          <w:color w:val="auto"/>
          <w:spacing w:val="-3"/>
          <w:kern w:val="1"/>
          <w:sz w:val="26"/>
          <w:szCs w:val="26"/>
        </w:rPr>
        <w:t xml:space="preserve"> </w:t>
      </w:r>
      <w:r w:rsidR="000B132A">
        <w:rPr>
          <w:color w:val="auto"/>
          <w:spacing w:val="-3"/>
          <w:kern w:val="2"/>
          <w:sz w:val="26"/>
        </w:rPr>
        <w:t xml:space="preserve">is </w:t>
      </w:r>
      <w:r w:rsidR="000B132A" w:rsidRPr="00267FA7">
        <w:rPr>
          <w:color w:val="auto"/>
          <w:spacing w:val="-3"/>
          <w:kern w:val="2"/>
          <w:sz w:val="26"/>
        </w:rPr>
        <w:t>required to comply with, and be governed by, applicable Chapter</w:t>
      </w:r>
      <w:r w:rsidR="000B132A">
        <w:rPr>
          <w:color w:val="auto"/>
          <w:spacing w:val="-3"/>
          <w:kern w:val="2"/>
          <w:sz w:val="26"/>
        </w:rPr>
        <w:t> </w:t>
      </w:r>
      <w:r w:rsidR="000B132A" w:rsidRPr="00267FA7">
        <w:rPr>
          <w:color w:val="auto"/>
          <w:spacing w:val="-3"/>
          <w:kern w:val="2"/>
          <w:sz w:val="26"/>
        </w:rPr>
        <w:t xml:space="preserve">56 residential service regulations as set forth in the Commission Order </w:t>
      </w:r>
      <w:r w:rsidR="000B132A" w:rsidRPr="00267FA7">
        <w:rPr>
          <w:i/>
          <w:color w:val="auto"/>
          <w:spacing w:val="-3"/>
          <w:kern w:val="2"/>
          <w:sz w:val="26"/>
        </w:rPr>
        <w:t>Guidelines for Maintaining Customer Service at the Same Level of Quality Pursuant to 66 Pa. C.S.</w:t>
      </w:r>
      <w:r w:rsidR="000B132A">
        <w:rPr>
          <w:i/>
          <w:color w:val="auto"/>
          <w:spacing w:val="-3"/>
          <w:kern w:val="2"/>
          <w:sz w:val="26"/>
        </w:rPr>
        <w:t> </w:t>
      </w:r>
      <w:r w:rsidR="000B132A" w:rsidRPr="00267FA7">
        <w:rPr>
          <w:i/>
          <w:color w:val="auto"/>
          <w:spacing w:val="-3"/>
          <w:kern w:val="2"/>
          <w:sz w:val="26"/>
        </w:rPr>
        <w:t>§</w:t>
      </w:r>
      <w:r w:rsidR="000B132A">
        <w:rPr>
          <w:i/>
          <w:color w:val="auto"/>
          <w:spacing w:val="-3"/>
          <w:kern w:val="2"/>
          <w:sz w:val="26"/>
        </w:rPr>
        <w:t> </w:t>
      </w:r>
      <w:r w:rsidR="000B132A" w:rsidRPr="00267FA7">
        <w:rPr>
          <w:i/>
          <w:color w:val="auto"/>
          <w:spacing w:val="-3"/>
          <w:kern w:val="2"/>
          <w:sz w:val="26"/>
        </w:rPr>
        <w:t>2807(d),</w:t>
      </w:r>
      <w:r w:rsidR="000B132A">
        <w:rPr>
          <w:i/>
          <w:color w:val="auto"/>
          <w:spacing w:val="-3"/>
          <w:kern w:val="2"/>
          <w:sz w:val="26"/>
        </w:rPr>
        <w:t xml:space="preserve"> and</w:t>
      </w:r>
      <w:r w:rsidR="000B132A" w:rsidRPr="00267FA7">
        <w:rPr>
          <w:i/>
          <w:color w:val="auto"/>
          <w:spacing w:val="-3"/>
          <w:kern w:val="2"/>
          <w:sz w:val="26"/>
        </w:rPr>
        <w:t xml:space="preserve"> Assuring Conformance with 52 Pa. Code Chapter 56 Pursuant to 66 </w:t>
      </w:r>
      <w:r w:rsidR="000B132A">
        <w:rPr>
          <w:i/>
          <w:color w:val="auto"/>
          <w:spacing w:val="-3"/>
          <w:kern w:val="2"/>
          <w:sz w:val="26"/>
        </w:rPr>
        <w:t xml:space="preserve">Pa. C.S. </w:t>
      </w:r>
      <w:r w:rsidR="000B132A" w:rsidRPr="00267FA7">
        <w:rPr>
          <w:i/>
          <w:color w:val="auto"/>
          <w:spacing w:val="-3"/>
          <w:kern w:val="2"/>
          <w:sz w:val="26"/>
        </w:rPr>
        <w:t>§</w:t>
      </w:r>
      <w:r w:rsidR="000B132A">
        <w:rPr>
          <w:i/>
          <w:color w:val="auto"/>
          <w:spacing w:val="-3"/>
          <w:kern w:val="2"/>
          <w:sz w:val="26"/>
        </w:rPr>
        <w:t xml:space="preserve"> </w:t>
      </w:r>
      <w:r w:rsidR="000B132A" w:rsidRPr="00267FA7">
        <w:rPr>
          <w:i/>
          <w:color w:val="auto"/>
          <w:spacing w:val="-3"/>
          <w:kern w:val="2"/>
          <w:sz w:val="26"/>
        </w:rPr>
        <w:t>2809(e) and (f)</w:t>
      </w:r>
      <w:r w:rsidR="000B132A">
        <w:rPr>
          <w:color w:val="auto"/>
          <w:spacing w:val="-3"/>
          <w:kern w:val="2"/>
          <w:sz w:val="26"/>
        </w:rPr>
        <w:t xml:space="preserve"> at Docket No. </w:t>
      </w:r>
      <w:r w:rsidR="000B132A" w:rsidRPr="00C650CA">
        <w:rPr>
          <w:color w:val="auto"/>
          <w:spacing w:val="-3"/>
          <w:kern w:val="2"/>
          <w:sz w:val="26"/>
        </w:rPr>
        <w:t>M-00960890 F0011</w:t>
      </w:r>
      <w:r w:rsidR="000B132A">
        <w:rPr>
          <w:color w:val="auto"/>
          <w:spacing w:val="-3"/>
          <w:kern w:val="2"/>
          <w:sz w:val="26"/>
        </w:rPr>
        <w:t>, Order entered July 11, 1997</w:t>
      </w:r>
      <w:r w:rsidR="000B132A" w:rsidRPr="00C650CA">
        <w:rPr>
          <w:color w:val="auto"/>
          <w:spacing w:val="-3"/>
          <w:kern w:val="2"/>
          <w:sz w:val="26"/>
        </w:rPr>
        <w:t xml:space="preserve">.  </w:t>
      </w:r>
      <w:r w:rsidR="000B132A"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0B132A" w:rsidRPr="00267FA7">
            <w:rPr>
              <w:color w:val="auto"/>
              <w:spacing w:val="-3"/>
              <w:kern w:val="2"/>
              <w:sz w:val="26"/>
            </w:rPr>
            <w:t>Pa</w:t>
          </w:r>
          <w:r w:rsidR="000B132A">
            <w:rPr>
              <w:color w:val="auto"/>
              <w:spacing w:val="-3"/>
              <w:kern w:val="2"/>
              <w:sz w:val="26"/>
            </w:rPr>
            <w:t>.</w:t>
          </w:r>
        </w:smartTag>
      </w:smartTag>
      <w:r w:rsidR="000B132A" w:rsidRPr="00267FA7">
        <w:rPr>
          <w:color w:val="auto"/>
          <w:spacing w:val="-3"/>
          <w:kern w:val="2"/>
          <w:sz w:val="26"/>
        </w:rPr>
        <w:t xml:space="preserve"> Code Chapter 56) is applicable to residential accounts.  An </w:t>
      </w:r>
      <w:r w:rsidR="000B132A">
        <w:rPr>
          <w:color w:val="auto"/>
          <w:spacing w:val="-3"/>
          <w:kern w:val="2"/>
          <w:sz w:val="26"/>
        </w:rPr>
        <w:t>EGS</w:t>
      </w:r>
      <w:r w:rsidR="000B132A"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0B132A">
        <w:rPr>
          <w:color w:val="auto"/>
          <w:spacing w:val="-3"/>
          <w:kern w:val="2"/>
          <w:sz w:val="26"/>
        </w:rPr>
        <w:t>EGS</w:t>
      </w:r>
      <w:r w:rsidR="000B132A" w:rsidRPr="00267FA7">
        <w:rPr>
          <w:color w:val="auto"/>
          <w:spacing w:val="-3"/>
          <w:kern w:val="2"/>
          <w:sz w:val="26"/>
        </w:rPr>
        <w:t xml:space="preserve">s.  An </w:t>
      </w:r>
      <w:r w:rsidR="000B132A">
        <w:rPr>
          <w:color w:val="auto"/>
          <w:spacing w:val="-3"/>
          <w:kern w:val="2"/>
          <w:sz w:val="26"/>
        </w:rPr>
        <w:t>EGS</w:t>
      </w:r>
      <w:r w:rsidR="000B132A" w:rsidRPr="00267FA7">
        <w:rPr>
          <w:color w:val="auto"/>
          <w:spacing w:val="-3"/>
          <w:kern w:val="2"/>
          <w:sz w:val="26"/>
        </w:rPr>
        <w:t xml:space="preserve"> may seek to terminate its generation service through an appropriate written notice to the customer and the distribution company.  </w:t>
      </w:r>
      <w:r w:rsidR="00FB581B" w:rsidRPr="00267FA7">
        <w:rPr>
          <w:color w:val="auto"/>
          <w:spacing w:val="-3"/>
          <w:kern w:val="2"/>
          <w:sz w:val="26"/>
        </w:rPr>
        <w:t>The residential customer can then attempt to repair their relationship with the supplier,</w:t>
      </w:r>
      <w:r w:rsidR="00FB581B">
        <w:rPr>
          <w:color w:val="auto"/>
          <w:spacing w:val="-3"/>
          <w:kern w:val="2"/>
          <w:sz w:val="26"/>
        </w:rPr>
        <w:t xml:space="preserve"> seek a new supplier, or return</w:t>
      </w:r>
      <w:r w:rsidR="00FB581B" w:rsidRPr="00267FA7">
        <w:rPr>
          <w:color w:val="auto"/>
          <w:spacing w:val="-3"/>
          <w:kern w:val="2"/>
          <w:sz w:val="26"/>
        </w:rPr>
        <w:t xml:space="preserve"> to utility service at </w:t>
      </w:r>
      <w:r w:rsidR="00FB581B">
        <w:rPr>
          <w:color w:val="auto"/>
          <w:spacing w:val="-3"/>
          <w:kern w:val="2"/>
          <w:sz w:val="26"/>
        </w:rPr>
        <w:t>default service</w:t>
      </w:r>
      <w:r w:rsidR="00FB581B" w:rsidRPr="00267FA7">
        <w:rPr>
          <w:color w:val="auto"/>
          <w:spacing w:val="-3"/>
          <w:kern w:val="2"/>
          <w:sz w:val="26"/>
        </w:rPr>
        <w:t xml:space="preserve"> rates in accordance with the utility's obligations under </w:t>
      </w:r>
      <w:r w:rsidR="00FB581B">
        <w:rPr>
          <w:color w:val="auto"/>
          <w:spacing w:val="-3"/>
          <w:kern w:val="2"/>
          <w:sz w:val="26"/>
        </w:rPr>
        <w:t>s</w:t>
      </w:r>
      <w:r w:rsidR="00BF0E43">
        <w:rPr>
          <w:color w:val="auto"/>
          <w:spacing w:val="-3"/>
          <w:kern w:val="2"/>
          <w:sz w:val="26"/>
        </w:rPr>
        <w:t>ection 2807(e), 66 </w:t>
      </w:r>
      <w:r w:rsidR="00FB581B" w:rsidRPr="00267FA7">
        <w:rPr>
          <w:color w:val="auto"/>
          <w:spacing w:val="-3"/>
          <w:kern w:val="2"/>
          <w:sz w:val="26"/>
        </w:rPr>
        <w:t>Pa. C.S. §</w:t>
      </w:r>
      <w:r w:rsidR="00FB581B">
        <w:rPr>
          <w:color w:val="auto"/>
          <w:spacing w:val="-3"/>
          <w:kern w:val="2"/>
          <w:sz w:val="26"/>
        </w:rPr>
        <w:t xml:space="preserve"> </w:t>
      </w:r>
      <w:r w:rsidR="00FB581B" w:rsidRPr="00267FA7">
        <w:rPr>
          <w:color w:val="auto"/>
          <w:spacing w:val="-3"/>
          <w:kern w:val="2"/>
          <w:sz w:val="26"/>
        </w:rPr>
        <w:t>2807(e).</w:t>
      </w:r>
      <w:r w:rsidR="000B132A"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0B132A">
        <w:rPr>
          <w:color w:val="auto"/>
          <w:spacing w:val="-3"/>
          <w:kern w:val="2"/>
          <w:sz w:val="26"/>
        </w:rPr>
        <w:t>EGS</w:t>
      </w:r>
      <w:r w:rsidR="000B132A" w:rsidRPr="00267FA7">
        <w:rPr>
          <w:color w:val="auto"/>
          <w:spacing w:val="-3"/>
          <w:kern w:val="2"/>
          <w:sz w:val="26"/>
        </w:rPr>
        <w:t xml:space="preserve"> that has been designated by the Commission as the provider of last resort.</w:t>
      </w:r>
    </w:p>
    <w:p w:rsidR="00CE3643" w:rsidRPr="00187C75" w:rsidRDefault="00CE3643" w:rsidP="00CE3643">
      <w:pPr>
        <w:tabs>
          <w:tab w:val="left" w:pos="0"/>
        </w:tabs>
        <w:suppressAutoHyphens/>
        <w:spacing w:line="360" w:lineRule="auto"/>
        <w:rPr>
          <w:color w:val="auto"/>
          <w:spacing w:val="-3"/>
          <w:kern w:val="1"/>
          <w:sz w:val="26"/>
          <w:szCs w:val="26"/>
        </w:rPr>
      </w:pPr>
    </w:p>
    <w:p w:rsidR="00CE3643" w:rsidRDefault="00CE3643" w:rsidP="00CE3643">
      <w:pPr>
        <w:spacing w:line="360" w:lineRule="auto"/>
        <w:ind w:firstLine="1440"/>
        <w:rPr>
          <w:color w:val="auto"/>
          <w:sz w:val="26"/>
          <w:szCs w:val="26"/>
        </w:rPr>
      </w:pPr>
      <w:r w:rsidRPr="00187C75">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lations at 52 Pa. Code §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E42D8F" w:rsidRDefault="00E42D8F" w:rsidP="00CE3643">
      <w:pPr>
        <w:spacing w:line="360" w:lineRule="auto"/>
        <w:ind w:firstLine="1440"/>
        <w:rPr>
          <w:color w:val="auto"/>
          <w:sz w:val="26"/>
          <w:szCs w:val="26"/>
        </w:rPr>
      </w:pPr>
    </w:p>
    <w:p w:rsidR="00E42D8F" w:rsidRPr="00187C75" w:rsidRDefault="00E42D8F" w:rsidP="00CE3643">
      <w:pPr>
        <w:spacing w:line="360" w:lineRule="auto"/>
        <w:ind w:firstLine="1440"/>
        <w:rPr>
          <w:color w:val="auto"/>
          <w:sz w:val="26"/>
          <w:szCs w:val="26"/>
        </w:rPr>
      </w:pPr>
      <w:r w:rsidRPr="00267FA7">
        <w:rPr>
          <w:color w:val="auto"/>
          <w:sz w:val="26"/>
          <w:szCs w:val="26"/>
        </w:rPr>
        <w:t xml:space="preserve">As of </w:t>
      </w:r>
      <w:r>
        <w:rPr>
          <w:color w:val="auto"/>
          <w:sz w:val="26"/>
          <w:szCs w:val="26"/>
        </w:rPr>
        <w:t>November 1, 2011</w:t>
      </w:r>
      <w:r w:rsidRPr="00267FA7">
        <w:rPr>
          <w:color w:val="auto"/>
          <w:sz w:val="26"/>
          <w:szCs w:val="26"/>
        </w:rPr>
        <w:t xml:space="preserve">, no </w:t>
      </w:r>
      <w:r w:rsidR="00634747">
        <w:rPr>
          <w:color w:val="auto"/>
          <w:sz w:val="26"/>
          <w:szCs w:val="26"/>
        </w:rPr>
        <w:t>protests or complaints</w:t>
      </w:r>
      <w:r w:rsidRPr="00267FA7">
        <w:rPr>
          <w:color w:val="auto"/>
          <w:sz w:val="26"/>
          <w:szCs w:val="26"/>
        </w:rPr>
        <w:t xml:space="preserve"> have been filed</w:t>
      </w:r>
      <w:r>
        <w:rPr>
          <w:color w:val="auto"/>
          <w:sz w:val="26"/>
          <w:szCs w:val="26"/>
        </w:rPr>
        <w:t xml:space="preserve"> against the Applicant</w:t>
      </w:r>
      <w:r w:rsidRPr="00267FA7">
        <w:rPr>
          <w:color w:val="auto"/>
          <w:sz w:val="26"/>
          <w:szCs w:val="26"/>
        </w:rPr>
        <w:t>.</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4F2819">
        <w:rPr>
          <w:color w:val="auto"/>
          <w:sz w:val="26"/>
          <w:szCs w:val="26"/>
        </w:rPr>
        <w:t>TES Energy Services, LP</w:t>
      </w:r>
      <w:r w:rsidR="006C658B" w:rsidRPr="00DB2A91">
        <w:rPr>
          <w:color w:val="auto"/>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lastRenderedPageBreak/>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4F2819">
        <w:rPr>
          <w:color w:val="auto"/>
          <w:sz w:val="26"/>
          <w:szCs w:val="26"/>
        </w:rPr>
        <w:t xml:space="preserve">TES Energy Services, </w:t>
      </w:r>
      <w:bookmarkStart w:id="0" w:name="_GoBack"/>
      <w:r w:rsidR="004F2819">
        <w:rPr>
          <w:color w:val="auto"/>
          <w:sz w:val="26"/>
          <w:szCs w:val="26"/>
        </w:rPr>
        <w:t>LP</w:t>
      </w:r>
      <w:r w:rsidR="004F2819" w:rsidRPr="00DB2A91">
        <w:rPr>
          <w:color w:val="auto"/>
          <w:kern w:val="1"/>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 xml:space="preserve">services </w:t>
      </w:r>
      <w:r w:rsidR="00D91CD6">
        <w:rPr>
          <w:color w:val="auto"/>
          <w:spacing w:val="-3"/>
          <w:kern w:val="1"/>
          <w:sz w:val="26"/>
          <w:szCs w:val="26"/>
        </w:rPr>
        <w:t xml:space="preserve">as a broker/marketer </w:t>
      </w:r>
      <w:r w:rsidR="00F148A6">
        <w:rPr>
          <w:color w:val="auto"/>
          <w:spacing w:val="-3"/>
          <w:kern w:val="1"/>
          <w:sz w:val="26"/>
          <w:szCs w:val="26"/>
        </w:rPr>
        <w:t xml:space="preserve">to </w:t>
      </w:r>
      <w:r w:rsidR="001530B4">
        <w:rPr>
          <w:color w:val="auto"/>
          <w:spacing w:val="-3"/>
          <w:kern w:val="1"/>
          <w:sz w:val="26"/>
          <w:szCs w:val="26"/>
        </w:rPr>
        <w:t xml:space="preserve">residential, </w:t>
      </w:r>
      <w:r w:rsidR="002E452F">
        <w:rPr>
          <w:color w:val="auto"/>
          <w:spacing w:val="-3"/>
          <w:kern w:val="1"/>
          <w:sz w:val="26"/>
          <w:szCs w:val="26"/>
        </w:rPr>
        <w:t>small commercial (25k</w:t>
      </w:r>
      <w:r w:rsidR="00EF05D6">
        <w:rPr>
          <w:color w:val="auto"/>
          <w:spacing w:val="-3"/>
          <w:kern w:val="1"/>
          <w:sz w:val="26"/>
          <w:szCs w:val="26"/>
        </w:rPr>
        <w:t>W and under</w:t>
      </w:r>
      <w:r w:rsidR="002E452F">
        <w:rPr>
          <w:color w:val="auto"/>
          <w:spacing w:val="-3"/>
          <w:kern w:val="1"/>
          <w:sz w:val="26"/>
          <w:szCs w:val="26"/>
        </w:rPr>
        <w:t>), large commercial (</w:t>
      </w:r>
      <w:r w:rsidR="00EF05D6">
        <w:rPr>
          <w:color w:val="auto"/>
          <w:spacing w:val="-3"/>
          <w:kern w:val="1"/>
          <w:sz w:val="26"/>
          <w:szCs w:val="26"/>
        </w:rPr>
        <w:t xml:space="preserve">over </w:t>
      </w:r>
      <w:r w:rsidR="002E452F">
        <w:rPr>
          <w:color w:val="auto"/>
          <w:spacing w:val="-3"/>
          <w:kern w:val="1"/>
          <w:sz w:val="26"/>
          <w:szCs w:val="26"/>
        </w:rPr>
        <w:t>25k</w:t>
      </w:r>
      <w:r w:rsidR="00EF05D6">
        <w:rPr>
          <w:color w:val="auto"/>
          <w:spacing w:val="-3"/>
          <w:kern w:val="1"/>
          <w:sz w:val="26"/>
          <w:szCs w:val="26"/>
        </w:rPr>
        <w:t>W</w:t>
      </w:r>
      <w:r w:rsidR="002E452F">
        <w:rPr>
          <w:color w:val="auto"/>
          <w:spacing w:val="-3"/>
          <w:kern w:val="1"/>
          <w:sz w:val="26"/>
          <w:szCs w:val="26"/>
        </w:rPr>
        <w:t xml:space="preserve">), </w:t>
      </w:r>
      <w:r w:rsidR="001530B4">
        <w:rPr>
          <w:color w:val="auto"/>
          <w:sz w:val="26"/>
          <w:szCs w:val="26"/>
        </w:rPr>
        <w:t xml:space="preserve">industrial, and governmental customers </w:t>
      </w:r>
      <w:r w:rsidR="007139F0" w:rsidRPr="00DB2A91">
        <w:rPr>
          <w:color w:val="auto"/>
          <w:spacing w:val="-3"/>
          <w:kern w:val="1"/>
          <w:sz w:val="26"/>
          <w:szCs w:val="26"/>
        </w:rPr>
        <w:t>in</w:t>
      </w:r>
      <w:r w:rsidR="00CA6477">
        <w:rPr>
          <w:color w:val="auto"/>
          <w:spacing w:val="-3"/>
          <w:kern w:val="1"/>
          <w:sz w:val="26"/>
          <w:szCs w:val="26"/>
        </w:rPr>
        <w:t xml:space="preserve"> the</w:t>
      </w:r>
      <w:r w:rsidR="00E75099">
        <w:rPr>
          <w:color w:val="auto"/>
          <w:spacing w:val="-3"/>
          <w:kern w:val="1"/>
          <w:sz w:val="26"/>
          <w:szCs w:val="26"/>
        </w:rPr>
        <w:t xml:space="preserve"> electric</w:t>
      </w:r>
      <w:r w:rsidR="00CA6477">
        <w:rPr>
          <w:color w:val="auto"/>
          <w:spacing w:val="-3"/>
          <w:kern w:val="1"/>
          <w:sz w:val="26"/>
          <w:szCs w:val="26"/>
        </w:rPr>
        <w:t xml:space="preserve"> </w:t>
      </w:r>
      <w:r w:rsidR="00AC47B1">
        <w:rPr>
          <w:color w:val="auto"/>
          <w:spacing w:val="-3"/>
          <w:kern w:val="1"/>
          <w:sz w:val="26"/>
          <w:szCs w:val="26"/>
        </w:rPr>
        <w:t xml:space="preserve">distribution </w:t>
      </w:r>
      <w:r w:rsidR="00BD1B50">
        <w:rPr>
          <w:color w:val="auto"/>
          <w:spacing w:val="-3"/>
          <w:kern w:val="1"/>
          <w:sz w:val="26"/>
          <w:szCs w:val="26"/>
        </w:rPr>
        <w:t xml:space="preserve">company </w:t>
      </w:r>
      <w:r w:rsidR="00CA6477">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006645C9" w:rsidRPr="00DB2A91">
        <w:rPr>
          <w:color w:val="auto"/>
          <w:spacing w:val="-3"/>
          <w:sz w:val="26"/>
          <w:szCs w:val="26"/>
        </w:rPr>
        <w:t>.</w:t>
      </w:r>
    </w:p>
    <w:bookmarkEnd w:id="0"/>
    <w:p w:rsidR="004F2819" w:rsidRDefault="004F2819" w:rsidP="00E17D5D">
      <w:pPr>
        <w:tabs>
          <w:tab w:val="left" w:pos="0"/>
        </w:tabs>
        <w:suppressAutoHyphens/>
        <w:spacing w:line="360" w:lineRule="auto"/>
        <w:ind w:firstLine="1440"/>
        <w:rPr>
          <w:color w:val="auto"/>
          <w:spacing w:val="-3"/>
          <w:sz w:val="26"/>
          <w:szCs w:val="26"/>
        </w:rPr>
      </w:pPr>
    </w:p>
    <w:p w:rsidR="00CA6477" w:rsidRPr="004F2819" w:rsidRDefault="0087017A" w:rsidP="004F2819">
      <w:pPr>
        <w:ind w:firstLine="1332"/>
        <w:rPr>
          <w:color w:val="auto"/>
        </w:rPr>
      </w:pPr>
      <w:r>
        <w:rPr>
          <w:color w:val="auto"/>
          <w:spacing w:val="-3"/>
          <w:kern w:val="1"/>
          <w:sz w:val="26"/>
          <w:szCs w:val="26"/>
        </w:rPr>
        <w:t>3</w:t>
      </w:r>
      <w:r w:rsidR="00CA6477">
        <w:rPr>
          <w:color w:val="auto"/>
          <w:spacing w:val="-3"/>
          <w:kern w:val="1"/>
          <w:sz w:val="26"/>
          <w:szCs w:val="26"/>
        </w:rPr>
        <w:t>.</w:t>
      </w:r>
      <w:r w:rsidR="00CA6477">
        <w:rPr>
          <w:color w:val="auto"/>
          <w:spacing w:val="-3"/>
          <w:kern w:val="1"/>
          <w:sz w:val="26"/>
          <w:szCs w:val="26"/>
        </w:rPr>
        <w:tab/>
        <w:t xml:space="preserve">That this proceeding at Docket No. </w:t>
      </w:r>
      <w:r w:rsidR="004F2819">
        <w:rPr>
          <w:color w:val="auto"/>
        </w:rPr>
        <w:t xml:space="preserve">A-2010-2207746 </w:t>
      </w:r>
      <w:r w:rsidR="00CA6477">
        <w:rPr>
          <w:color w:val="auto"/>
          <w:spacing w:val="-3"/>
          <w:kern w:val="1"/>
          <w:sz w:val="26"/>
          <w:szCs w:val="26"/>
        </w:rPr>
        <w:t>be closed.</w:t>
      </w:r>
    </w:p>
    <w:p w:rsidR="006C658B" w:rsidRDefault="006C658B" w:rsidP="00786D21">
      <w:pPr>
        <w:tabs>
          <w:tab w:val="left" w:pos="0"/>
        </w:tabs>
        <w:suppressAutoHyphens/>
        <w:spacing w:line="360" w:lineRule="auto"/>
        <w:ind w:firstLine="1440"/>
        <w:rPr>
          <w:color w:val="auto"/>
          <w:spacing w:val="-3"/>
          <w:sz w:val="26"/>
          <w:szCs w:val="26"/>
        </w:rPr>
      </w:pPr>
    </w:p>
    <w:p w:rsidR="004F2819" w:rsidRDefault="004F2819" w:rsidP="00786D21">
      <w:pPr>
        <w:tabs>
          <w:tab w:val="left" w:pos="0"/>
        </w:tabs>
        <w:suppressAutoHyphens/>
        <w:spacing w:line="360" w:lineRule="auto"/>
        <w:ind w:firstLine="1440"/>
        <w:rPr>
          <w:color w:val="auto"/>
          <w:spacing w:val="-3"/>
          <w:sz w:val="26"/>
          <w:szCs w:val="26"/>
        </w:rPr>
      </w:pPr>
    </w:p>
    <w:p w:rsidR="004F2819" w:rsidRPr="00DB2A91" w:rsidRDefault="004F2819" w:rsidP="00786D21">
      <w:pPr>
        <w:tabs>
          <w:tab w:val="left" w:pos="0"/>
        </w:tabs>
        <w:suppressAutoHyphens/>
        <w:spacing w:line="360" w:lineRule="auto"/>
        <w:ind w:firstLine="1440"/>
        <w:rPr>
          <w:color w:val="auto"/>
          <w:spacing w:val="-3"/>
          <w:sz w:val="26"/>
          <w:szCs w:val="26"/>
        </w:rPr>
      </w:pPr>
    </w:p>
    <w:p w:rsidR="00B065FE" w:rsidRPr="00DB2A91" w:rsidRDefault="00EE32D4"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49B8A091" wp14:editId="4AF4C320">
            <wp:simplePos x="0" y="0"/>
            <wp:positionH relativeFrom="column">
              <wp:posOffset>2374900</wp:posOffset>
            </wp:positionH>
            <wp:positionV relativeFrom="paragraph">
              <wp:posOffset>9525</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DB2A91">
        <w:rPr>
          <w:color w:val="auto"/>
          <w:sz w:val="26"/>
          <w:szCs w:val="26"/>
        </w:rPr>
        <w:tab/>
      </w:r>
      <w:r w:rsidR="00B065FE"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4F2819">
        <w:rPr>
          <w:color w:val="auto"/>
          <w:sz w:val="26"/>
          <w:szCs w:val="26"/>
        </w:rPr>
        <w:t>November 10</w:t>
      </w:r>
      <w:r w:rsidR="005A04F8">
        <w:rPr>
          <w:color w:val="auto"/>
          <w:sz w:val="26"/>
          <w:szCs w:val="26"/>
        </w:rPr>
        <w:t>, 2011</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EE32D4">
        <w:rPr>
          <w:color w:val="auto"/>
          <w:sz w:val="26"/>
          <w:szCs w:val="26"/>
        </w:rPr>
        <w:t>November 14, 2011</w:t>
      </w:r>
    </w:p>
    <w:p w:rsidR="00A544A4" w:rsidRPr="00DB2A91" w:rsidRDefault="00A544A4">
      <w:pPr>
        <w:rPr>
          <w:color w:val="auto"/>
          <w:sz w:val="26"/>
          <w:szCs w:val="26"/>
        </w:rPr>
      </w:pPr>
    </w:p>
    <w:sectPr w:rsidR="00A544A4" w:rsidRPr="00DB2A91" w:rsidSect="00E14464">
      <w:footerReference w:type="even" r:id="rId10"/>
      <w:footerReference w:type="default" r:id="rId11"/>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84" w:rsidRDefault="00D60B84">
      <w:r>
        <w:separator/>
      </w:r>
    </w:p>
  </w:endnote>
  <w:endnote w:type="continuationSeparator" w:id="0">
    <w:p w:rsidR="00D60B84" w:rsidRDefault="00D6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Default="00560DEC"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DEC" w:rsidRDefault="0056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Pr="002E452F" w:rsidRDefault="00560DEC" w:rsidP="009B1C5C">
    <w:pPr>
      <w:pStyle w:val="Footer"/>
      <w:framePr w:wrap="around" w:vAnchor="text" w:hAnchor="margin" w:xAlign="center" w:y="1"/>
      <w:rPr>
        <w:rStyle w:val="PageNumber"/>
        <w:color w:val="auto"/>
      </w:rPr>
    </w:pPr>
    <w:r w:rsidRPr="002E452F">
      <w:rPr>
        <w:rStyle w:val="PageNumber"/>
        <w:color w:val="auto"/>
      </w:rPr>
      <w:fldChar w:fldCharType="begin"/>
    </w:r>
    <w:r w:rsidRPr="002E452F">
      <w:rPr>
        <w:rStyle w:val="PageNumber"/>
        <w:color w:val="auto"/>
      </w:rPr>
      <w:instrText xml:space="preserve">PAGE  </w:instrText>
    </w:r>
    <w:r w:rsidRPr="002E452F">
      <w:rPr>
        <w:rStyle w:val="PageNumber"/>
        <w:color w:val="auto"/>
      </w:rPr>
      <w:fldChar w:fldCharType="separate"/>
    </w:r>
    <w:r w:rsidR="00EE32D4">
      <w:rPr>
        <w:rStyle w:val="PageNumber"/>
        <w:noProof/>
        <w:color w:val="auto"/>
      </w:rPr>
      <w:t>4</w:t>
    </w:r>
    <w:r w:rsidRPr="002E452F">
      <w:rPr>
        <w:rStyle w:val="PageNumber"/>
        <w:color w:val="auto"/>
      </w:rPr>
      <w:fldChar w:fldCharType="end"/>
    </w:r>
  </w:p>
  <w:p w:rsidR="00560DEC" w:rsidRPr="002E452F" w:rsidRDefault="00560DEC">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84" w:rsidRDefault="00D60B84">
      <w:r>
        <w:separator/>
      </w:r>
    </w:p>
  </w:footnote>
  <w:footnote w:type="continuationSeparator" w:id="0">
    <w:p w:rsidR="00D60B84" w:rsidRDefault="00D60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B065FE"/>
    <w:rsid w:val="00000ECC"/>
    <w:rsid w:val="000120B5"/>
    <w:rsid w:val="00016AF8"/>
    <w:rsid w:val="0002072F"/>
    <w:rsid w:val="00032AC2"/>
    <w:rsid w:val="000508DC"/>
    <w:rsid w:val="000535E4"/>
    <w:rsid w:val="00056AE6"/>
    <w:rsid w:val="00056D0B"/>
    <w:rsid w:val="00060D1D"/>
    <w:rsid w:val="00090596"/>
    <w:rsid w:val="000A6198"/>
    <w:rsid w:val="000B132A"/>
    <w:rsid w:val="000D67E4"/>
    <w:rsid w:val="000F1E93"/>
    <w:rsid w:val="000F48D9"/>
    <w:rsid w:val="00102D1E"/>
    <w:rsid w:val="00102D4C"/>
    <w:rsid w:val="00107E92"/>
    <w:rsid w:val="00116544"/>
    <w:rsid w:val="00117DBF"/>
    <w:rsid w:val="0013259F"/>
    <w:rsid w:val="00140CC7"/>
    <w:rsid w:val="00145521"/>
    <w:rsid w:val="00150EA3"/>
    <w:rsid w:val="001530B4"/>
    <w:rsid w:val="00172E30"/>
    <w:rsid w:val="00196385"/>
    <w:rsid w:val="001A71CE"/>
    <w:rsid w:val="001B2CB4"/>
    <w:rsid w:val="001B7BD2"/>
    <w:rsid w:val="001C2E45"/>
    <w:rsid w:val="001C5BB3"/>
    <w:rsid w:val="001E1D67"/>
    <w:rsid w:val="0020567E"/>
    <w:rsid w:val="0021203A"/>
    <w:rsid w:val="00216771"/>
    <w:rsid w:val="00222F62"/>
    <w:rsid w:val="002359B6"/>
    <w:rsid w:val="0024155F"/>
    <w:rsid w:val="002447E7"/>
    <w:rsid w:val="00247A6C"/>
    <w:rsid w:val="00263578"/>
    <w:rsid w:val="002857F7"/>
    <w:rsid w:val="002C3BC4"/>
    <w:rsid w:val="002C7616"/>
    <w:rsid w:val="002D04BE"/>
    <w:rsid w:val="002D5369"/>
    <w:rsid w:val="002D7090"/>
    <w:rsid w:val="002E22C8"/>
    <w:rsid w:val="002E452F"/>
    <w:rsid w:val="002E48CB"/>
    <w:rsid w:val="002F645D"/>
    <w:rsid w:val="003039C7"/>
    <w:rsid w:val="00303B97"/>
    <w:rsid w:val="00307691"/>
    <w:rsid w:val="00323B9D"/>
    <w:rsid w:val="003355A2"/>
    <w:rsid w:val="00336086"/>
    <w:rsid w:val="003441D9"/>
    <w:rsid w:val="003530BE"/>
    <w:rsid w:val="0036392C"/>
    <w:rsid w:val="0036663C"/>
    <w:rsid w:val="00370D77"/>
    <w:rsid w:val="00372086"/>
    <w:rsid w:val="00373CB2"/>
    <w:rsid w:val="00376AAE"/>
    <w:rsid w:val="00381CCB"/>
    <w:rsid w:val="00392A69"/>
    <w:rsid w:val="00394A9B"/>
    <w:rsid w:val="0039547F"/>
    <w:rsid w:val="00395840"/>
    <w:rsid w:val="003A3210"/>
    <w:rsid w:val="003A692F"/>
    <w:rsid w:val="003A7BD0"/>
    <w:rsid w:val="003B5006"/>
    <w:rsid w:val="003C5AA7"/>
    <w:rsid w:val="003D766D"/>
    <w:rsid w:val="003E3290"/>
    <w:rsid w:val="003F5DAC"/>
    <w:rsid w:val="00402F43"/>
    <w:rsid w:val="00411EC4"/>
    <w:rsid w:val="004128A8"/>
    <w:rsid w:val="0042113A"/>
    <w:rsid w:val="00421492"/>
    <w:rsid w:val="00427FAE"/>
    <w:rsid w:val="00430246"/>
    <w:rsid w:val="0044319F"/>
    <w:rsid w:val="00457D31"/>
    <w:rsid w:val="004610B9"/>
    <w:rsid w:val="00486C39"/>
    <w:rsid w:val="00497E52"/>
    <w:rsid w:val="004B633A"/>
    <w:rsid w:val="004C499B"/>
    <w:rsid w:val="004D4E31"/>
    <w:rsid w:val="004E2E63"/>
    <w:rsid w:val="004E4AE7"/>
    <w:rsid w:val="004E6A52"/>
    <w:rsid w:val="004F2819"/>
    <w:rsid w:val="00512E37"/>
    <w:rsid w:val="00536D3A"/>
    <w:rsid w:val="0054264D"/>
    <w:rsid w:val="0055073A"/>
    <w:rsid w:val="005512F5"/>
    <w:rsid w:val="005531FE"/>
    <w:rsid w:val="0055468A"/>
    <w:rsid w:val="00560DEC"/>
    <w:rsid w:val="00573250"/>
    <w:rsid w:val="00590909"/>
    <w:rsid w:val="00590ADB"/>
    <w:rsid w:val="005A04F8"/>
    <w:rsid w:val="005A39F9"/>
    <w:rsid w:val="005A4AE7"/>
    <w:rsid w:val="005B082A"/>
    <w:rsid w:val="005B2D84"/>
    <w:rsid w:val="005B4667"/>
    <w:rsid w:val="005B621E"/>
    <w:rsid w:val="005B68C8"/>
    <w:rsid w:val="005D79AD"/>
    <w:rsid w:val="005E3F5D"/>
    <w:rsid w:val="005F74C2"/>
    <w:rsid w:val="005F7F34"/>
    <w:rsid w:val="00600673"/>
    <w:rsid w:val="0060677A"/>
    <w:rsid w:val="00614374"/>
    <w:rsid w:val="0061546B"/>
    <w:rsid w:val="00634598"/>
    <w:rsid w:val="00634747"/>
    <w:rsid w:val="006546C1"/>
    <w:rsid w:val="006602B5"/>
    <w:rsid w:val="006645C9"/>
    <w:rsid w:val="00671BF6"/>
    <w:rsid w:val="0067462D"/>
    <w:rsid w:val="00692267"/>
    <w:rsid w:val="006A204D"/>
    <w:rsid w:val="006A2BC5"/>
    <w:rsid w:val="006A3F31"/>
    <w:rsid w:val="006A433E"/>
    <w:rsid w:val="006A7F73"/>
    <w:rsid w:val="006C658B"/>
    <w:rsid w:val="006C6E7F"/>
    <w:rsid w:val="006F3ACD"/>
    <w:rsid w:val="006F6737"/>
    <w:rsid w:val="0070511A"/>
    <w:rsid w:val="007139F0"/>
    <w:rsid w:val="007242AE"/>
    <w:rsid w:val="007349CE"/>
    <w:rsid w:val="00750759"/>
    <w:rsid w:val="007520C9"/>
    <w:rsid w:val="007722DE"/>
    <w:rsid w:val="00786D21"/>
    <w:rsid w:val="007906EC"/>
    <w:rsid w:val="0079110F"/>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6A58"/>
    <w:rsid w:val="0082319A"/>
    <w:rsid w:val="008415E2"/>
    <w:rsid w:val="00844F48"/>
    <w:rsid w:val="008504E3"/>
    <w:rsid w:val="00861628"/>
    <w:rsid w:val="00863762"/>
    <w:rsid w:val="00864E31"/>
    <w:rsid w:val="0087017A"/>
    <w:rsid w:val="00875306"/>
    <w:rsid w:val="0089380D"/>
    <w:rsid w:val="008C66C4"/>
    <w:rsid w:val="008D0D95"/>
    <w:rsid w:val="008E37C5"/>
    <w:rsid w:val="008E3EC1"/>
    <w:rsid w:val="008F0A9D"/>
    <w:rsid w:val="009041C7"/>
    <w:rsid w:val="0091614C"/>
    <w:rsid w:val="00941E2A"/>
    <w:rsid w:val="00946E2B"/>
    <w:rsid w:val="0095742D"/>
    <w:rsid w:val="0099062E"/>
    <w:rsid w:val="0099376D"/>
    <w:rsid w:val="009B1C5C"/>
    <w:rsid w:val="009B4A63"/>
    <w:rsid w:val="009C3C7C"/>
    <w:rsid w:val="009C70CC"/>
    <w:rsid w:val="009D44D4"/>
    <w:rsid w:val="009D4583"/>
    <w:rsid w:val="009E7D4F"/>
    <w:rsid w:val="009F5F6F"/>
    <w:rsid w:val="009F71E0"/>
    <w:rsid w:val="00A04453"/>
    <w:rsid w:val="00A04EDD"/>
    <w:rsid w:val="00A404E7"/>
    <w:rsid w:val="00A42AC2"/>
    <w:rsid w:val="00A45685"/>
    <w:rsid w:val="00A460F0"/>
    <w:rsid w:val="00A47B7E"/>
    <w:rsid w:val="00A52C69"/>
    <w:rsid w:val="00A53F87"/>
    <w:rsid w:val="00A544A4"/>
    <w:rsid w:val="00A9073D"/>
    <w:rsid w:val="00A9079C"/>
    <w:rsid w:val="00A96625"/>
    <w:rsid w:val="00A96F3F"/>
    <w:rsid w:val="00AA6902"/>
    <w:rsid w:val="00AB14A4"/>
    <w:rsid w:val="00AB38B9"/>
    <w:rsid w:val="00AB3D44"/>
    <w:rsid w:val="00AB63C2"/>
    <w:rsid w:val="00AC25A9"/>
    <w:rsid w:val="00AC2642"/>
    <w:rsid w:val="00AC47B1"/>
    <w:rsid w:val="00AC661B"/>
    <w:rsid w:val="00AE1085"/>
    <w:rsid w:val="00AF0CD1"/>
    <w:rsid w:val="00AF7B81"/>
    <w:rsid w:val="00B01676"/>
    <w:rsid w:val="00B055AE"/>
    <w:rsid w:val="00B05CA2"/>
    <w:rsid w:val="00B065FE"/>
    <w:rsid w:val="00B06A91"/>
    <w:rsid w:val="00B2568B"/>
    <w:rsid w:val="00B3224C"/>
    <w:rsid w:val="00B5655A"/>
    <w:rsid w:val="00B622AA"/>
    <w:rsid w:val="00B62F03"/>
    <w:rsid w:val="00BA7E22"/>
    <w:rsid w:val="00BD1B50"/>
    <w:rsid w:val="00BD2336"/>
    <w:rsid w:val="00BF0E43"/>
    <w:rsid w:val="00C05AA5"/>
    <w:rsid w:val="00C05EBB"/>
    <w:rsid w:val="00C104A3"/>
    <w:rsid w:val="00C14F1D"/>
    <w:rsid w:val="00C21B0E"/>
    <w:rsid w:val="00C2257A"/>
    <w:rsid w:val="00C47F83"/>
    <w:rsid w:val="00C6258D"/>
    <w:rsid w:val="00C651AF"/>
    <w:rsid w:val="00C72542"/>
    <w:rsid w:val="00C76E99"/>
    <w:rsid w:val="00C83F8B"/>
    <w:rsid w:val="00C957A7"/>
    <w:rsid w:val="00CA075E"/>
    <w:rsid w:val="00CA54FD"/>
    <w:rsid w:val="00CA6477"/>
    <w:rsid w:val="00CB4930"/>
    <w:rsid w:val="00CB6A7E"/>
    <w:rsid w:val="00CD03C5"/>
    <w:rsid w:val="00CD0D95"/>
    <w:rsid w:val="00CD3487"/>
    <w:rsid w:val="00CE3643"/>
    <w:rsid w:val="00CF5945"/>
    <w:rsid w:val="00D03128"/>
    <w:rsid w:val="00D07ECB"/>
    <w:rsid w:val="00D24952"/>
    <w:rsid w:val="00D3301F"/>
    <w:rsid w:val="00D37628"/>
    <w:rsid w:val="00D405F0"/>
    <w:rsid w:val="00D427CC"/>
    <w:rsid w:val="00D42C3C"/>
    <w:rsid w:val="00D5178F"/>
    <w:rsid w:val="00D529F5"/>
    <w:rsid w:val="00D535F1"/>
    <w:rsid w:val="00D5737B"/>
    <w:rsid w:val="00D60B84"/>
    <w:rsid w:val="00D6313D"/>
    <w:rsid w:val="00D65120"/>
    <w:rsid w:val="00D71E88"/>
    <w:rsid w:val="00D75923"/>
    <w:rsid w:val="00D91CD6"/>
    <w:rsid w:val="00DA6D90"/>
    <w:rsid w:val="00DB2A91"/>
    <w:rsid w:val="00DB52A6"/>
    <w:rsid w:val="00DB6E46"/>
    <w:rsid w:val="00DB741F"/>
    <w:rsid w:val="00DC1349"/>
    <w:rsid w:val="00DE22C0"/>
    <w:rsid w:val="00DF3A50"/>
    <w:rsid w:val="00DF6614"/>
    <w:rsid w:val="00E01A2C"/>
    <w:rsid w:val="00E02ECE"/>
    <w:rsid w:val="00E10026"/>
    <w:rsid w:val="00E13852"/>
    <w:rsid w:val="00E14464"/>
    <w:rsid w:val="00E17D5D"/>
    <w:rsid w:val="00E4033F"/>
    <w:rsid w:val="00E42D8F"/>
    <w:rsid w:val="00E50B5C"/>
    <w:rsid w:val="00E5698F"/>
    <w:rsid w:val="00E65687"/>
    <w:rsid w:val="00E75099"/>
    <w:rsid w:val="00E75706"/>
    <w:rsid w:val="00E914D9"/>
    <w:rsid w:val="00E93202"/>
    <w:rsid w:val="00EA3719"/>
    <w:rsid w:val="00EA4177"/>
    <w:rsid w:val="00EB6FE4"/>
    <w:rsid w:val="00EB6FEF"/>
    <w:rsid w:val="00EC2241"/>
    <w:rsid w:val="00EC56EC"/>
    <w:rsid w:val="00ED3634"/>
    <w:rsid w:val="00ED59C4"/>
    <w:rsid w:val="00EE32D4"/>
    <w:rsid w:val="00EF05D6"/>
    <w:rsid w:val="00EF42A9"/>
    <w:rsid w:val="00EF4784"/>
    <w:rsid w:val="00F10870"/>
    <w:rsid w:val="00F148A6"/>
    <w:rsid w:val="00F25C2D"/>
    <w:rsid w:val="00F26582"/>
    <w:rsid w:val="00F42D9E"/>
    <w:rsid w:val="00F450E1"/>
    <w:rsid w:val="00F50481"/>
    <w:rsid w:val="00F510F4"/>
    <w:rsid w:val="00F536C3"/>
    <w:rsid w:val="00F9514D"/>
    <w:rsid w:val="00F954FD"/>
    <w:rsid w:val="00F9702E"/>
    <w:rsid w:val="00FB581B"/>
    <w:rsid w:val="00FC029F"/>
    <w:rsid w:val="00FC1746"/>
    <w:rsid w:val="00FC51BD"/>
    <w:rsid w:val="00FC6D88"/>
    <w:rsid w:val="00FE4F1F"/>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624B-4545-4F9E-A46D-44562439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Hinds, Margaret</cp:lastModifiedBy>
  <cp:revision>15</cp:revision>
  <cp:lastPrinted>2011-11-14T14:10:00Z</cp:lastPrinted>
  <dcterms:created xsi:type="dcterms:W3CDTF">2011-10-25T13:25:00Z</dcterms:created>
  <dcterms:modified xsi:type="dcterms:W3CDTF">2011-11-14T14:10:00Z</dcterms:modified>
</cp:coreProperties>
</file>