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9304FE">
        <w:rPr>
          <w:sz w:val="26"/>
          <w:szCs w:val="26"/>
        </w:rPr>
        <w:t>P</w:t>
      </w:r>
      <w:r w:rsidR="009304FE" w:rsidRPr="002A5D4B">
        <w:rPr>
          <w:sz w:val="26"/>
          <w:szCs w:val="26"/>
        </w:rPr>
        <w:t xml:space="preserve">ublic Meeting held </w:t>
      </w:r>
      <w:r w:rsidR="00AB0F2F">
        <w:rPr>
          <w:sz w:val="26"/>
          <w:szCs w:val="26"/>
        </w:rPr>
        <w:t xml:space="preserve">October </w:t>
      </w:r>
      <w:r w:rsidR="00EF79C5">
        <w:rPr>
          <w:sz w:val="26"/>
          <w:szCs w:val="26"/>
        </w:rPr>
        <w:t>28</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847CD0">
        <w:rPr>
          <w:sz w:val="26"/>
          <w:szCs w:val="26"/>
        </w:rPr>
        <w:t xml:space="preserve">James H. Cawley </w:t>
      </w:r>
    </w:p>
    <w:p w:rsidR="009304FE" w:rsidRDefault="00AB0F2F" w:rsidP="009304FE">
      <w:r>
        <w:tab/>
      </w:r>
      <w:r>
        <w:rPr>
          <w:sz w:val="26"/>
        </w:rPr>
        <w:t xml:space="preserve">Pamela A. Witmer </w:t>
      </w:r>
      <w:r>
        <w:tab/>
      </w:r>
    </w:p>
    <w:p w:rsidR="00AB0F2F" w:rsidRDefault="00AB0F2F" w:rsidP="009304FE"/>
    <w:p w:rsidR="009304FE" w:rsidRDefault="009304FE" w:rsidP="009304FE"/>
    <w:p w:rsidR="00E050C0" w:rsidRPr="00E050C0" w:rsidRDefault="00EF79C5" w:rsidP="00E050C0">
      <w:pPr>
        <w:tabs>
          <w:tab w:val="left" w:pos="-720"/>
          <w:tab w:val="left" w:pos="0"/>
        </w:tabs>
        <w:suppressAutoHyphens/>
        <w:rPr>
          <w:sz w:val="26"/>
          <w:szCs w:val="26"/>
        </w:rPr>
      </w:pPr>
      <w:r>
        <w:rPr>
          <w:sz w:val="26"/>
          <w:szCs w:val="26"/>
        </w:rPr>
        <w:t>Nehemiah B. Thomas</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C-2010-2</w:t>
      </w:r>
      <w:r>
        <w:rPr>
          <w:sz w:val="26"/>
          <w:szCs w:val="26"/>
        </w:rPr>
        <w:t>187197</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EF79C5" w:rsidP="00E050C0">
      <w:pPr>
        <w:tabs>
          <w:tab w:val="left" w:pos="-720"/>
          <w:tab w:val="left" w:pos="0"/>
        </w:tabs>
        <w:suppressAutoHyphens/>
        <w:rPr>
          <w:sz w:val="26"/>
          <w:szCs w:val="26"/>
        </w:rPr>
      </w:pPr>
      <w:r>
        <w:rPr>
          <w:sz w:val="26"/>
          <w:szCs w:val="26"/>
        </w:rPr>
        <w:t xml:space="preserve">PECO Energy Company </w:t>
      </w:r>
      <w:r w:rsidR="00E050C0">
        <w:rPr>
          <w:sz w:val="26"/>
          <w:szCs w:val="26"/>
        </w:rPr>
        <w:t xml:space="preserve">   </w:t>
      </w:r>
      <w:r w:rsidR="00E050C0"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E23CB4"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w:t>
      </w:r>
      <w:r w:rsidR="005C1345">
        <w:rPr>
          <w:sz w:val="26"/>
          <w:szCs w:val="26"/>
        </w:rPr>
        <w:t>Ky Van Nguyen</w:t>
      </w:r>
      <w:r w:rsidR="00AA3F68">
        <w:rPr>
          <w:sz w:val="26"/>
          <w:szCs w:val="26"/>
        </w:rPr>
        <w:t xml:space="preserve">, issued on </w:t>
      </w:r>
      <w:r w:rsidR="005C1345">
        <w:rPr>
          <w:sz w:val="26"/>
          <w:szCs w:val="26"/>
        </w:rPr>
        <w:t>September 14</w:t>
      </w:r>
      <w:r w:rsidR="00B206E5">
        <w:rPr>
          <w:sz w:val="26"/>
          <w:szCs w:val="26"/>
        </w:rPr>
        <w:t xml:space="preserve">, 2011,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w:t>
      </w:r>
    </w:p>
    <w:p w:rsidR="0067105F" w:rsidRDefault="008B24E5" w:rsidP="0019214E">
      <w:pPr>
        <w:spacing w:line="360" w:lineRule="auto"/>
        <w:rPr>
          <w:sz w:val="26"/>
          <w:szCs w:val="26"/>
        </w:rPr>
      </w:pPr>
      <w:r>
        <w:rPr>
          <w:sz w:val="26"/>
          <w:szCs w:val="26"/>
        </w:rPr>
        <w:t xml:space="preserve">66 Pa. C.S. § 332(h).  For the reasons stated below, we </w:t>
      </w:r>
      <w:r w:rsidR="009C1908">
        <w:rPr>
          <w:sz w:val="26"/>
          <w:szCs w:val="26"/>
        </w:rPr>
        <w:t xml:space="preserve">shall </w:t>
      </w:r>
      <w:r w:rsidR="00306310">
        <w:rPr>
          <w:sz w:val="26"/>
          <w:szCs w:val="26"/>
        </w:rPr>
        <w:t>modify the ALJ’s Initial Decision</w:t>
      </w:r>
      <w:r w:rsidR="005C1345">
        <w:rPr>
          <w:sz w:val="26"/>
          <w:szCs w:val="26"/>
        </w:rPr>
        <w:t xml:space="preserve">, consistent with this Opinion and Order.  </w:t>
      </w:r>
      <w:r w:rsidR="00306310">
        <w:rPr>
          <w:sz w:val="26"/>
          <w:szCs w:val="26"/>
        </w:rPr>
        <w:t xml:space="preserve"> </w:t>
      </w:r>
    </w:p>
    <w:p w:rsidR="00B32735" w:rsidRDefault="00B32735" w:rsidP="00B32735">
      <w:pPr>
        <w:spacing w:line="360" w:lineRule="auto"/>
        <w:jc w:val="center"/>
        <w:rPr>
          <w:b/>
          <w:sz w:val="26"/>
          <w:szCs w:val="26"/>
        </w:rPr>
      </w:pPr>
    </w:p>
    <w:p w:rsidR="005C1345" w:rsidRDefault="005C1345" w:rsidP="00B32735">
      <w:pPr>
        <w:spacing w:line="360" w:lineRule="auto"/>
        <w:jc w:val="center"/>
        <w:rPr>
          <w:b/>
          <w:sz w:val="26"/>
          <w:szCs w:val="26"/>
        </w:rPr>
      </w:pPr>
    </w:p>
    <w:p w:rsidR="005C1345" w:rsidRDefault="005C134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A63B97" w:rsidRPr="00A63B97" w:rsidRDefault="00970E28" w:rsidP="007946EB">
      <w:pPr>
        <w:spacing w:line="360" w:lineRule="auto"/>
        <w:ind w:firstLine="1440"/>
        <w:rPr>
          <w:sz w:val="26"/>
        </w:rPr>
      </w:pPr>
      <w:r>
        <w:rPr>
          <w:sz w:val="26"/>
        </w:rPr>
        <w:t xml:space="preserve">On July 8, 2010, </w:t>
      </w:r>
      <w:r w:rsidR="00A63B97" w:rsidRPr="00A63B97">
        <w:rPr>
          <w:sz w:val="26"/>
        </w:rPr>
        <w:t xml:space="preserve">Nehemiah B. Thomas (Complainant) filed a </w:t>
      </w:r>
      <w:r w:rsidR="00A63B97">
        <w:rPr>
          <w:sz w:val="26"/>
        </w:rPr>
        <w:t>C</w:t>
      </w:r>
      <w:r w:rsidR="00A63B97" w:rsidRPr="00A63B97">
        <w:rPr>
          <w:sz w:val="26"/>
        </w:rPr>
        <w:t>omplaint against PECO Energy Company (Respondent)</w:t>
      </w:r>
      <w:r>
        <w:rPr>
          <w:sz w:val="26"/>
        </w:rPr>
        <w:t>,</w:t>
      </w:r>
      <w:r w:rsidR="00A63B97" w:rsidRPr="00A63B97">
        <w:rPr>
          <w:sz w:val="26"/>
        </w:rPr>
        <w:t xml:space="preserve"> all</w:t>
      </w:r>
      <w:r>
        <w:rPr>
          <w:sz w:val="26"/>
        </w:rPr>
        <w:t>e</w:t>
      </w:r>
      <w:r w:rsidR="00A63B97" w:rsidRPr="00A63B97">
        <w:rPr>
          <w:sz w:val="26"/>
        </w:rPr>
        <w:t>g</w:t>
      </w:r>
      <w:r>
        <w:rPr>
          <w:sz w:val="26"/>
        </w:rPr>
        <w:t>ing</w:t>
      </w:r>
      <w:r w:rsidR="00A63B97" w:rsidRPr="00A63B97">
        <w:rPr>
          <w:sz w:val="26"/>
        </w:rPr>
        <w:t xml:space="preserve"> that the Respondent overbilled him from December 2007 to June 2008 and that his electric bills should be between $10 and $15 a month.</w:t>
      </w:r>
      <w:r w:rsidR="007946EB">
        <w:rPr>
          <w:sz w:val="26"/>
        </w:rPr>
        <w:t xml:space="preserve">  On August 2, 2010, the Respondent filed an Answer denying the material allegations in the Complaint.</w:t>
      </w:r>
      <w:r w:rsidR="00A63B97" w:rsidRPr="00A63B97">
        <w:rPr>
          <w:sz w:val="26"/>
        </w:rPr>
        <w:t xml:space="preserve">  The Respondent </w:t>
      </w:r>
      <w:r w:rsidR="007946EB">
        <w:rPr>
          <w:sz w:val="26"/>
        </w:rPr>
        <w:t>averred</w:t>
      </w:r>
      <w:r w:rsidR="00A63B97" w:rsidRPr="00A63B97">
        <w:rPr>
          <w:sz w:val="26"/>
        </w:rPr>
        <w:t xml:space="preserve"> that the Complainant’s bills were accurate</w:t>
      </w:r>
      <w:r w:rsidR="007946EB">
        <w:rPr>
          <w:sz w:val="26"/>
        </w:rPr>
        <w:t xml:space="preserve"> and</w:t>
      </w:r>
      <w:r w:rsidR="00A63B97" w:rsidRPr="00A63B97">
        <w:rPr>
          <w:sz w:val="26"/>
        </w:rPr>
        <w:t xml:space="preserve"> that the Complainant had a credit of $153.21 on his account</w:t>
      </w:r>
      <w:r w:rsidR="007946EB">
        <w:rPr>
          <w:sz w:val="26"/>
        </w:rPr>
        <w:t xml:space="preserve">.  The Respondent also stated that </w:t>
      </w:r>
      <w:r w:rsidR="00A63B97" w:rsidRPr="00A63B97">
        <w:rPr>
          <w:sz w:val="26"/>
        </w:rPr>
        <w:t>a high bill investigation was scheduled for April 9, 2009, but the Complainant cancelled th</w:t>
      </w:r>
      <w:r w:rsidR="007946EB">
        <w:rPr>
          <w:sz w:val="26"/>
        </w:rPr>
        <w:t>e</w:t>
      </w:r>
      <w:r w:rsidR="00A63B97" w:rsidRPr="00A63B97">
        <w:rPr>
          <w:sz w:val="26"/>
        </w:rPr>
        <w:t xml:space="preserve"> appointment</w:t>
      </w:r>
      <w:r w:rsidR="007946EB">
        <w:rPr>
          <w:sz w:val="26"/>
        </w:rPr>
        <w:t xml:space="preserve"> because </w:t>
      </w:r>
      <w:r w:rsidR="00A63B97" w:rsidRPr="00A63B97">
        <w:rPr>
          <w:sz w:val="26"/>
        </w:rPr>
        <w:t>he only wanted the field person who visited his home in December 2007 to conduct the high bill investigation.</w:t>
      </w:r>
    </w:p>
    <w:p w:rsidR="00A63B97" w:rsidRPr="00A63B97" w:rsidRDefault="00A63B97" w:rsidP="00A63B97">
      <w:pPr>
        <w:spacing w:line="360" w:lineRule="auto"/>
        <w:rPr>
          <w:sz w:val="26"/>
        </w:rPr>
      </w:pPr>
    </w:p>
    <w:p w:rsidR="00E23CB4" w:rsidRDefault="00A63B97" w:rsidP="00A63B97">
      <w:pPr>
        <w:spacing w:line="360" w:lineRule="auto"/>
        <w:rPr>
          <w:sz w:val="26"/>
        </w:rPr>
      </w:pPr>
      <w:r w:rsidRPr="00A63B97">
        <w:rPr>
          <w:sz w:val="26"/>
        </w:rPr>
        <w:tab/>
      </w:r>
      <w:r w:rsidRPr="00A63B97">
        <w:rPr>
          <w:sz w:val="26"/>
        </w:rPr>
        <w:tab/>
      </w:r>
      <w:r w:rsidR="007946EB">
        <w:rPr>
          <w:sz w:val="26"/>
        </w:rPr>
        <w:t>A</w:t>
      </w:r>
      <w:r w:rsidRPr="00A63B97">
        <w:rPr>
          <w:sz w:val="26"/>
        </w:rPr>
        <w:t xml:space="preserve"> </w:t>
      </w:r>
      <w:r w:rsidR="007946EB">
        <w:rPr>
          <w:sz w:val="26"/>
        </w:rPr>
        <w:t xml:space="preserve">telephonic </w:t>
      </w:r>
      <w:r w:rsidRPr="00A63B97">
        <w:rPr>
          <w:sz w:val="26"/>
        </w:rPr>
        <w:t>hearing was held</w:t>
      </w:r>
      <w:r w:rsidR="007946EB">
        <w:rPr>
          <w:sz w:val="26"/>
        </w:rPr>
        <w:t xml:space="preserve"> on April 4, 2011</w:t>
      </w:r>
      <w:r w:rsidRPr="00A63B97">
        <w:rPr>
          <w:sz w:val="26"/>
        </w:rPr>
        <w:t xml:space="preserve">.  </w:t>
      </w:r>
      <w:r w:rsidR="007946EB">
        <w:rPr>
          <w:sz w:val="26"/>
        </w:rPr>
        <w:t xml:space="preserve">The Complainant appeared </w:t>
      </w:r>
      <w:r w:rsidR="007946EB" w:rsidRPr="007946EB">
        <w:rPr>
          <w:i/>
          <w:sz w:val="26"/>
        </w:rPr>
        <w:t>pro se</w:t>
      </w:r>
      <w:r w:rsidR="007946EB">
        <w:rPr>
          <w:sz w:val="26"/>
        </w:rPr>
        <w:t xml:space="preserve"> and </w:t>
      </w:r>
      <w:r w:rsidRPr="00A63B97">
        <w:rPr>
          <w:sz w:val="26"/>
        </w:rPr>
        <w:t>testified on his own behalf</w:t>
      </w:r>
      <w:r w:rsidR="007946EB">
        <w:rPr>
          <w:sz w:val="26"/>
        </w:rPr>
        <w:t>.</w:t>
      </w:r>
      <w:r w:rsidRPr="00A63B97">
        <w:rPr>
          <w:sz w:val="26"/>
        </w:rPr>
        <w:t xml:space="preserve"> </w:t>
      </w:r>
      <w:r w:rsidR="007946EB">
        <w:rPr>
          <w:sz w:val="26"/>
        </w:rPr>
        <w:t xml:space="preserve"> </w:t>
      </w:r>
      <w:r w:rsidRPr="00A63B97">
        <w:rPr>
          <w:sz w:val="26"/>
        </w:rPr>
        <w:t xml:space="preserve">The Respondent was represented by </w:t>
      </w:r>
      <w:r w:rsidR="007946EB">
        <w:rPr>
          <w:sz w:val="26"/>
        </w:rPr>
        <w:t>counsel</w:t>
      </w:r>
      <w:r w:rsidRPr="00A63B97">
        <w:rPr>
          <w:sz w:val="26"/>
        </w:rPr>
        <w:t>, who presented the testimony of three witnesses and introduced three exhibits which were admitted into the record.</w:t>
      </w:r>
      <w:r w:rsidR="00C86351">
        <w:rPr>
          <w:sz w:val="26"/>
        </w:rPr>
        <w:t xml:space="preserve">  </w:t>
      </w:r>
      <w:r w:rsidRPr="00A63B97">
        <w:rPr>
          <w:sz w:val="26"/>
        </w:rPr>
        <w:t>Before presenting testimony</w:t>
      </w:r>
      <w:r w:rsidR="00C86351">
        <w:rPr>
          <w:sz w:val="26"/>
        </w:rPr>
        <w:t xml:space="preserve">, counsel for the Respondent </w:t>
      </w:r>
      <w:r w:rsidRPr="00A63B97">
        <w:rPr>
          <w:sz w:val="26"/>
        </w:rPr>
        <w:t xml:space="preserve">requested that an additional hearing be scheduled for the Respondent to rebut the Complainant’s allegations </w:t>
      </w:r>
      <w:r w:rsidR="009C1908">
        <w:rPr>
          <w:sz w:val="26"/>
        </w:rPr>
        <w:t>regarding</w:t>
      </w:r>
      <w:r w:rsidRPr="00A63B97">
        <w:rPr>
          <w:sz w:val="26"/>
        </w:rPr>
        <w:t xml:space="preserve"> high bill</w:t>
      </w:r>
      <w:r w:rsidR="009C1908">
        <w:rPr>
          <w:sz w:val="26"/>
        </w:rPr>
        <w:t>s</w:t>
      </w:r>
      <w:r w:rsidRPr="00A63B97">
        <w:rPr>
          <w:sz w:val="26"/>
        </w:rPr>
        <w:t>.  The Complainant did not object to the request</w:t>
      </w:r>
      <w:r w:rsidR="00955385">
        <w:rPr>
          <w:sz w:val="26"/>
        </w:rPr>
        <w:t>,</w:t>
      </w:r>
      <w:r w:rsidRPr="00A63B97">
        <w:rPr>
          <w:sz w:val="26"/>
        </w:rPr>
        <w:t xml:space="preserve"> and </w:t>
      </w:r>
      <w:r w:rsidR="00955385">
        <w:rPr>
          <w:sz w:val="26"/>
        </w:rPr>
        <w:t>the ALJ</w:t>
      </w:r>
      <w:r w:rsidRPr="00A63B97">
        <w:rPr>
          <w:sz w:val="26"/>
        </w:rPr>
        <w:t xml:space="preserve"> granted </w:t>
      </w:r>
      <w:r w:rsidR="00955385">
        <w:rPr>
          <w:sz w:val="26"/>
        </w:rPr>
        <w:t>the request</w:t>
      </w:r>
      <w:r w:rsidRPr="00A63B97">
        <w:rPr>
          <w:sz w:val="26"/>
        </w:rPr>
        <w:t xml:space="preserve">. </w:t>
      </w:r>
      <w:r w:rsidR="00955385">
        <w:rPr>
          <w:sz w:val="26"/>
        </w:rPr>
        <w:t xml:space="preserve"> An additional </w:t>
      </w:r>
      <w:r w:rsidRPr="00A63B97">
        <w:rPr>
          <w:sz w:val="26"/>
        </w:rPr>
        <w:t xml:space="preserve">hearing was </w:t>
      </w:r>
      <w:r w:rsidR="00955385">
        <w:rPr>
          <w:sz w:val="26"/>
        </w:rPr>
        <w:t>held</w:t>
      </w:r>
      <w:r w:rsidRPr="00A63B97">
        <w:rPr>
          <w:sz w:val="26"/>
        </w:rPr>
        <w:t xml:space="preserve"> </w:t>
      </w:r>
      <w:r w:rsidR="00955385">
        <w:rPr>
          <w:sz w:val="26"/>
        </w:rPr>
        <w:t xml:space="preserve">on </w:t>
      </w:r>
    </w:p>
    <w:p w:rsidR="00A63B97" w:rsidRPr="00A63B97" w:rsidRDefault="00955385" w:rsidP="00A63B97">
      <w:pPr>
        <w:spacing w:line="360" w:lineRule="auto"/>
        <w:rPr>
          <w:sz w:val="26"/>
        </w:rPr>
      </w:pPr>
      <w:r>
        <w:rPr>
          <w:sz w:val="26"/>
        </w:rPr>
        <w:t>July 22, 2011, during which counsel for the Respondent</w:t>
      </w:r>
      <w:r w:rsidR="00A63B97" w:rsidRPr="00A63B97">
        <w:rPr>
          <w:sz w:val="26"/>
        </w:rPr>
        <w:t xml:space="preserve"> presented the testimony of two witnesses and introduced one exhibit into the record.</w:t>
      </w:r>
      <w:r>
        <w:rPr>
          <w:sz w:val="26"/>
        </w:rPr>
        <w:t xml:space="preserve">  </w:t>
      </w:r>
      <w:r w:rsidR="00A63B97" w:rsidRPr="00A63B97">
        <w:rPr>
          <w:sz w:val="26"/>
        </w:rPr>
        <w:t xml:space="preserve">  </w:t>
      </w:r>
    </w:p>
    <w:p w:rsidR="00A63B97" w:rsidRPr="00A63B97" w:rsidRDefault="00A63B97" w:rsidP="00A63B97">
      <w:pPr>
        <w:spacing w:line="360" w:lineRule="auto"/>
        <w:rPr>
          <w:sz w:val="26"/>
        </w:rPr>
      </w:pPr>
    </w:p>
    <w:p w:rsidR="00A63B97" w:rsidRPr="00A63B97" w:rsidRDefault="00A63B97" w:rsidP="00A63B97">
      <w:pPr>
        <w:spacing w:line="360" w:lineRule="auto"/>
        <w:rPr>
          <w:sz w:val="26"/>
        </w:rPr>
      </w:pPr>
      <w:r w:rsidRPr="00A63B97">
        <w:rPr>
          <w:sz w:val="26"/>
        </w:rPr>
        <w:tab/>
      </w:r>
      <w:r w:rsidRPr="00A63B97">
        <w:rPr>
          <w:sz w:val="26"/>
        </w:rPr>
        <w:tab/>
        <w:t xml:space="preserve">On August 10, 2011, </w:t>
      </w:r>
      <w:r w:rsidR="00955385">
        <w:rPr>
          <w:sz w:val="26"/>
        </w:rPr>
        <w:t xml:space="preserve">the ALJ </w:t>
      </w:r>
      <w:r w:rsidRPr="00A63B97">
        <w:rPr>
          <w:sz w:val="26"/>
        </w:rPr>
        <w:t xml:space="preserve">asked the Respondent to submit the Complainant’s Account Activity Statement from December to June </w:t>
      </w:r>
      <w:r w:rsidR="009C1908">
        <w:rPr>
          <w:sz w:val="26"/>
        </w:rPr>
        <w:t xml:space="preserve">for the years </w:t>
      </w:r>
      <w:r w:rsidRPr="00A63B97">
        <w:rPr>
          <w:sz w:val="26"/>
        </w:rPr>
        <w:t>2004, 2005</w:t>
      </w:r>
      <w:r w:rsidR="00955385">
        <w:rPr>
          <w:sz w:val="26"/>
        </w:rPr>
        <w:t>,</w:t>
      </w:r>
      <w:r w:rsidRPr="00A63B97">
        <w:rPr>
          <w:sz w:val="26"/>
        </w:rPr>
        <w:t xml:space="preserve"> and 2006.  On August 18, 2011, </w:t>
      </w:r>
      <w:r w:rsidR="00955385">
        <w:rPr>
          <w:sz w:val="26"/>
        </w:rPr>
        <w:t>counsel for the Respondent</w:t>
      </w:r>
      <w:r w:rsidRPr="00A63B97">
        <w:rPr>
          <w:sz w:val="26"/>
        </w:rPr>
        <w:t xml:space="preserve"> submitted this information</w:t>
      </w:r>
      <w:r w:rsidR="00955385">
        <w:rPr>
          <w:sz w:val="26"/>
        </w:rPr>
        <w:t xml:space="preserve"> to the ALJ</w:t>
      </w:r>
      <w:r w:rsidRPr="00A63B97">
        <w:rPr>
          <w:sz w:val="26"/>
        </w:rPr>
        <w:t>, which was marked as PECO Exhibit 5 and admitted into the record.  The record was closed on August 18, 2011.</w:t>
      </w:r>
    </w:p>
    <w:p w:rsidR="00A63B97" w:rsidRDefault="00A63B97" w:rsidP="00A63B97">
      <w:pPr>
        <w:spacing w:line="360" w:lineRule="auto"/>
        <w:rPr>
          <w:sz w:val="26"/>
        </w:rPr>
      </w:pPr>
    </w:p>
    <w:p w:rsidR="00E23CB4" w:rsidRDefault="00426953" w:rsidP="00A63B97">
      <w:pPr>
        <w:spacing w:line="360" w:lineRule="auto"/>
        <w:rPr>
          <w:sz w:val="26"/>
        </w:rPr>
      </w:pPr>
      <w:r>
        <w:rPr>
          <w:sz w:val="26"/>
        </w:rPr>
        <w:lastRenderedPageBreak/>
        <w:tab/>
      </w:r>
      <w:r>
        <w:rPr>
          <w:sz w:val="26"/>
        </w:rPr>
        <w:tab/>
        <w:t xml:space="preserve">The ALJ’s Initial Decision was issued on September 14, 2011.  The ALJ denied the Complaint due to the Complainant’s failure to carry his burden of proof.  </w:t>
      </w:r>
    </w:p>
    <w:p w:rsidR="00426953" w:rsidRDefault="00426953" w:rsidP="00A63B97">
      <w:pPr>
        <w:spacing w:line="360" w:lineRule="auto"/>
        <w:rPr>
          <w:sz w:val="26"/>
        </w:rPr>
      </w:pPr>
      <w:r>
        <w:rPr>
          <w:sz w:val="26"/>
        </w:rPr>
        <w:t xml:space="preserve">I.D. at 8, 10.  </w:t>
      </w:r>
    </w:p>
    <w:p w:rsidR="00426953" w:rsidRDefault="00426953" w:rsidP="00A63B97">
      <w:pPr>
        <w:spacing w:line="360" w:lineRule="auto"/>
        <w:rPr>
          <w:sz w:val="26"/>
        </w:rPr>
      </w:pPr>
    </w:p>
    <w:p w:rsidR="001A1AD3" w:rsidRDefault="004419DA" w:rsidP="00791EEE">
      <w:pPr>
        <w:jc w:val="center"/>
        <w:rPr>
          <w:b/>
          <w:sz w:val="26"/>
          <w:szCs w:val="26"/>
        </w:rPr>
      </w:pPr>
      <w:r>
        <w:rPr>
          <w:b/>
          <w:sz w:val="26"/>
          <w:szCs w:val="26"/>
        </w:rPr>
        <w:t>Discussion</w:t>
      </w:r>
    </w:p>
    <w:p w:rsidR="00D5673B" w:rsidRDefault="00D5673B" w:rsidP="001A1AD3">
      <w:pPr>
        <w:spacing w:line="360" w:lineRule="auto"/>
        <w:jc w:val="center"/>
        <w:rPr>
          <w:sz w:val="26"/>
          <w:szCs w:val="26"/>
        </w:rPr>
      </w:pPr>
    </w:p>
    <w:p w:rsidR="00E23CB4" w:rsidRDefault="001448EA" w:rsidP="001448EA">
      <w:pPr>
        <w:spacing w:line="360" w:lineRule="auto"/>
        <w:ind w:firstLine="1440"/>
        <w:rPr>
          <w:rFonts w:ascii="Times New (W1)" w:hAnsi="Times New (W1)"/>
          <w:sz w:val="26"/>
          <w:szCs w:val="26"/>
        </w:rPr>
      </w:pPr>
      <w:r w:rsidRPr="009C2700">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p>
    <w:p w:rsidR="00E23CB4" w:rsidRDefault="001448EA" w:rsidP="00E23CB4">
      <w:pPr>
        <w:spacing w:line="360" w:lineRule="auto"/>
        <w:rPr>
          <w:rFonts w:ascii="Times New (W1)" w:hAnsi="Times New (W1)"/>
          <w:sz w:val="26"/>
          <w:szCs w:val="26"/>
        </w:rPr>
      </w:pP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Company.  </w:t>
      </w:r>
    </w:p>
    <w:p w:rsidR="00FB0336" w:rsidRDefault="001448EA" w:rsidP="00E23CB4">
      <w:pPr>
        <w:spacing w:line="360" w:lineRule="auto"/>
        <w:rPr>
          <w:rFonts w:ascii="Times New (W1)" w:hAnsi="Times New (W1)"/>
          <w:sz w:val="26"/>
        </w:rPr>
      </w:pPr>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xml:space="preserve">, 364 Pa. 45, 70 A.2d 854 (1950).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r w:rsidR="00F00E17">
        <w:rPr>
          <w:rFonts w:ascii="Times New (W1)" w:hAnsi="Times New (W1)"/>
          <w:sz w:val="26"/>
        </w:rPr>
        <w:t xml:space="preserve">  </w:t>
      </w:r>
    </w:p>
    <w:p w:rsidR="00FB0336" w:rsidRDefault="00FB0336" w:rsidP="001448EA">
      <w:pPr>
        <w:spacing w:line="360" w:lineRule="auto"/>
        <w:ind w:firstLine="1440"/>
        <w:rPr>
          <w:rFonts w:ascii="Times New (W1)" w:hAnsi="Times New (W1)"/>
          <w:sz w:val="26"/>
        </w:rPr>
      </w:pPr>
    </w:p>
    <w:p w:rsidR="00FB0336" w:rsidRPr="00FB0336" w:rsidRDefault="00FB0336" w:rsidP="00FB0336">
      <w:pPr>
        <w:spacing w:line="360" w:lineRule="auto"/>
        <w:ind w:firstLine="1440"/>
        <w:rPr>
          <w:sz w:val="26"/>
        </w:rPr>
      </w:pPr>
      <w:r w:rsidRPr="00FB0336">
        <w:rPr>
          <w:sz w:val="26"/>
        </w:rPr>
        <w:t>Upon the presentation by the Complainant of evidence sufficient to initially satisfy the burden of proof, the burden of going forward with the evidence</w:t>
      </w:r>
      <w:r w:rsidR="00667712">
        <w:rPr>
          <w:sz w:val="26"/>
        </w:rPr>
        <w:t>, sometimes called the burden of persuasion,</w:t>
      </w:r>
      <w:r w:rsidRPr="00FB0336">
        <w:rPr>
          <w:sz w:val="26"/>
        </w:rPr>
        <w:t xml:space="preserve"> to rebut the evidence of the Complainant shifts to the Respondent.  If the evidence presented by the Respondent is of co-equal weight, the Complainant has not </w:t>
      </w:r>
      <w:r>
        <w:rPr>
          <w:sz w:val="26"/>
        </w:rPr>
        <w:t>satisfied t</w:t>
      </w:r>
      <w:r w:rsidRPr="00FB0336">
        <w:rPr>
          <w:sz w:val="26"/>
        </w:rPr>
        <w:t>h</w:t>
      </w:r>
      <w:r>
        <w:rPr>
          <w:sz w:val="26"/>
        </w:rPr>
        <w:t>e</w:t>
      </w:r>
      <w:r w:rsidRPr="00FB0336">
        <w:rPr>
          <w:sz w:val="26"/>
        </w:rPr>
        <w:t xml:space="preserve"> burden of proof.  The Complainant now has to provide some additional evidence to rebut the evidence of the Respondent. </w:t>
      </w:r>
      <w:r w:rsidRPr="00FB0336">
        <w:rPr>
          <w:iCs/>
          <w:sz w:val="26"/>
        </w:rPr>
        <w:t xml:space="preserve"> </w:t>
      </w:r>
      <w:hyperlink r:id="rId9" w:history="1">
        <w:r w:rsidRPr="00FB0336">
          <w:rPr>
            <w:rFonts w:eastAsiaTheme="majorEastAsia"/>
            <w:i/>
            <w:iCs/>
            <w:sz w:val="26"/>
          </w:rPr>
          <w:t>Burleson v. Pa. PUC</w:t>
        </w:r>
        <w:r w:rsidRPr="00FB0336">
          <w:rPr>
            <w:rFonts w:eastAsiaTheme="majorEastAsia"/>
            <w:iCs/>
            <w:sz w:val="26"/>
          </w:rPr>
          <w:t xml:space="preserve">, 443 A.2d 1373 (Pa. Cmwlth. 1982), </w:t>
        </w:r>
        <w:r w:rsidRPr="00CD2881">
          <w:rPr>
            <w:rFonts w:eastAsiaTheme="majorEastAsia"/>
            <w:i/>
            <w:iCs/>
            <w:sz w:val="26"/>
          </w:rPr>
          <w:t>aff’d</w:t>
        </w:r>
        <w:r w:rsidRPr="00FB0336">
          <w:rPr>
            <w:rFonts w:eastAsiaTheme="majorEastAsia"/>
            <w:iCs/>
            <w:sz w:val="26"/>
          </w:rPr>
          <w:t>, 501 Pa. 433, 461 A.2d 1234 (1983).</w:t>
        </w:r>
      </w:hyperlink>
      <w:r>
        <w:rPr>
          <w:rFonts w:eastAsiaTheme="majorEastAsia"/>
          <w:iCs/>
          <w:sz w:val="26"/>
        </w:rPr>
        <w:t xml:space="preserve">  </w:t>
      </w:r>
      <w:r w:rsidRPr="00FB0336">
        <w:rPr>
          <w:sz w:val="26"/>
        </w:rPr>
        <w:t xml:space="preserve">While the burden of persuasion may </w:t>
      </w:r>
      <w:r w:rsidRPr="00FB0336">
        <w:rPr>
          <w:rFonts w:eastAsiaTheme="majorEastAsia"/>
          <w:sz w:val="26"/>
        </w:rPr>
        <w:t>shift</w:t>
      </w:r>
      <w:r w:rsidRPr="00FB0336">
        <w:rPr>
          <w:sz w:val="26"/>
        </w:rPr>
        <w:t xml:space="preserve"> back and forth during a proceeding, the </w:t>
      </w:r>
      <w:r w:rsidRPr="00FB0336">
        <w:rPr>
          <w:rFonts w:eastAsiaTheme="majorEastAsia"/>
          <w:sz w:val="26"/>
        </w:rPr>
        <w:t>burden of proof</w:t>
      </w:r>
      <w:r w:rsidRPr="00FB0336">
        <w:rPr>
          <w:sz w:val="26"/>
        </w:rPr>
        <w:t xml:space="preserve"> </w:t>
      </w:r>
      <w:r w:rsidRPr="00FB0336">
        <w:rPr>
          <w:sz w:val="26"/>
        </w:rPr>
        <w:lastRenderedPageBreak/>
        <w:t xml:space="preserve">never </w:t>
      </w:r>
      <w:r w:rsidRPr="00FB0336">
        <w:rPr>
          <w:rFonts w:eastAsiaTheme="majorEastAsia"/>
          <w:sz w:val="26"/>
        </w:rPr>
        <w:t>shifts.  The burden of proof</w:t>
      </w:r>
      <w:r w:rsidRPr="00FB0336">
        <w:rPr>
          <w:sz w:val="26"/>
        </w:rPr>
        <w:t xml:space="preserve"> always remains on the party seeking affirmative relief from the Commission.  </w:t>
      </w:r>
      <w:r w:rsidRPr="00FB0336">
        <w:rPr>
          <w:i/>
          <w:sz w:val="26"/>
        </w:rPr>
        <w:t xml:space="preserve">Milkie v. Pa. PUC, </w:t>
      </w:r>
      <w:r w:rsidRPr="00FB0336">
        <w:rPr>
          <w:sz w:val="26"/>
        </w:rPr>
        <w:t>768 A.2d 1217 (Pa. Cmwlth. 2001).</w:t>
      </w:r>
    </w:p>
    <w:p w:rsidR="001448EA" w:rsidRPr="009C2700" w:rsidRDefault="001448EA" w:rsidP="001448EA">
      <w:pPr>
        <w:spacing w:line="360" w:lineRule="auto"/>
        <w:rPr>
          <w:rFonts w:ascii="Times New (W1)" w:hAnsi="Times New (W1)"/>
          <w:sz w:val="26"/>
        </w:rPr>
      </w:pPr>
    </w:p>
    <w:p w:rsidR="00297213" w:rsidRPr="00297213" w:rsidRDefault="00F1522A" w:rsidP="00297213">
      <w:pPr>
        <w:spacing w:line="360" w:lineRule="auto"/>
        <w:ind w:firstLine="1440"/>
        <w:rPr>
          <w:sz w:val="26"/>
        </w:rPr>
      </w:pPr>
      <w:r>
        <w:rPr>
          <w:sz w:val="26"/>
          <w:szCs w:val="26"/>
        </w:rPr>
        <w:t xml:space="preserve">The burden of proof for “high bill” complaints </w:t>
      </w:r>
      <w:r w:rsidR="009542EE">
        <w:rPr>
          <w:sz w:val="26"/>
          <w:szCs w:val="26"/>
        </w:rPr>
        <w:t>h</w:t>
      </w:r>
      <w:r>
        <w:rPr>
          <w:sz w:val="26"/>
          <w:szCs w:val="26"/>
        </w:rPr>
        <w:t xml:space="preserve">as </w:t>
      </w:r>
      <w:r w:rsidR="009542EE">
        <w:rPr>
          <w:sz w:val="26"/>
          <w:szCs w:val="26"/>
        </w:rPr>
        <w:t xml:space="preserve">been </w:t>
      </w:r>
      <w:r w:rsidR="00526680">
        <w:rPr>
          <w:sz w:val="26"/>
          <w:szCs w:val="26"/>
        </w:rPr>
        <w:t>explained</w:t>
      </w:r>
      <w:r>
        <w:rPr>
          <w:sz w:val="26"/>
          <w:szCs w:val="26"/>
        </w:rPr>
        <w:t xml:space="preserve"> in </w:t>
      </w:r>
      <w:r w:rsidRPr="00DA2CEC">
        <w:rPr>
          <w:i/>
          <w:sz w:val="26"/>
          <w:szCs w:val="26"/>
        </w:rPr>
        <w:t>Waldron v. Philadelphia Electric Company</w:t>
      </w:r>
      <w:r w:rsidRPr="00DA2CEC">
        <w:rPr>
          <w:sz w:val="26"/>
          <w:szCs w:val="26"/>
        </w:rPr>
        <w:t>, 54 Pa. P.U.C. 98 (1980)</w:t>
      </w:r>
      <w:r w:rsidR="009542EE">
        <w:rPr>
          <w:sz w:val="26"/>
          <w:szCs w:val="26"/>
        </w:rPr>
        <w:t>, and its progeny</w:t>
      </w:r>
      <w:r>
        <w:rPr>
          <w:sz w:val="26"/>
          <w:szCs w:val="26"/>
        </w:rPr>
        <w:t>.</w:t>
      </w:r>
      <w:r w:rsidR="00297213">
        <w:rPr>
          <w:sz w:val="26"/>
          <w:szCs w:val="26"/>
        </w:rPr>
        <w:t xml:space="preserve">  </w:t>
      </w:r>
      <w:r w:rsidR="00297213" w:rsidRPr="00297213">
        <w:rPr>
          <w:sz w:val="26"/>
        </w:rPr>
        <w:t xml:space="preserve">In </w:t>
      </w:r>
      <w:r w:rsidR="00297213" w:rsidRPr="00297213">
        <w:rPr>
          <w:i/>
          <w:sz w:val="26"/>
          <w:szCs w:val="26"/>
        </w:rPr>
        <w:t>Waldron</w:t>
      </w:r>
      <w:r w:rsidR="00297213" w:rsidRPr="00297213">
        <w:rPr>
          <w:sz w:val="26"/>
        </w:rPr>
        <w:t xml:space="preserve">, the Commission adopted the Michigan Public Service Commission’s (PSC’s) policy annunciated in </w:t>
      </w:r>
      <w:r w:rsidR="00297213" w:rsidRPr="00297213">
        <w:rPr>
          <w:i/>
          <w:sz w:val="26"/>
        </w:rPr>
        <w:t>Hallifax</w:t>
      </w:r>
      <w:r w:rsidR="00526680">
        <w:rPr>
          <w:i/>
          <w:sz w:val="26"/>
        </w:rPr>
        <w:t xml:space="preserve"> </w:t>
      </w:r>
      <w:r w:rsidR="00297213" w:rsidRPr="00297213">
        <w:rPr>
          <w:i/>
          <w:sz w:val="26"/>
        </w:rPr>
        <w:t>v. O &amp; A Electric Co-Op</w:t>
      </w:r>
      <w:r w:rsidR="00297213" w:rsidRPr="00297213">
        <w:rPr>
          <w:sz w:val="26"/>
        </w:rPr>
        <w:t xml:space="preserve">, Case No. U-5825, May 1979, which stated that, while the accuracy of the meter is an important factor in resolving billing disputes, it is not the sole criterion.  </w:t>
      </w:r>
      <w:r w:rsidR="00526680">
        <w:rPr>
          <w:sz w:val="26"/>
        </w:rPr>
        <w:t xml:space="preserve">The Commission stated </w:t>
      </w:r>
      <w:r w:rsidR="00297213" w:rsidRPr="00297213">
        <w:rPr>
          <w:sz w:val="26"/>
        </w:rPr>
        <w:t>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00297213" w:rsidRPr="00297213" w:rsidDel="000555B3">
        <w:rPr>
          <w:rFonts w:eastAsiaTheme="minorEastAsia"/>
          <w:sz w:val="26"/>
          <w:vertAlign w:val="superscript"/>
        </w:rPr>
        <w:t xml:space="preserve"> </w:t>
      </w:r>
      <w:r w:rsidR="00297213" w:rsidRPr="00297213">
        <w:rPr>
          <w:sz w:val="26"/>
        </w:rPr>
        <w:t xml:space="preserve">  </w:t>
      </w:r>
      <w:r w:rsidR="00297213" w:rsidRPr="00297213">
        <w:rPr>
          <w:i/>
          <w:sz w:val="26"/>
        </w:rPr>
        <w:t>Waldron</w:t>
      </w:r>
      <w:r w:rsidR="00297213" w:rsidRPr="00297213">
        <w:rPr>
          <w:sz w:val="26"/>
        </w:rPr>
        <w:t xml:space="preserve"> at 100.</w:t>
      </w:r>
      <w:r w:rsidR="00526680">
        <w:rPr>
          <w:sz w:val="26"/>
        </w:rPr>
        <w:t xml:space="preserve">  </w:t>
      </w:r>
    </w:p>
    <w:p w:rsidR="00526680" w:rsidRDefault="00526680" w:rsidP="00DA2CEC">
      <w:pPr>
        <w:spacing w:line="360" w:lineRule="auto"/>
        <w:ind w:firstLine="1440"/>
        <w:rPr>
          <w:sz w:val="26"/>
          <w:szCs w:val="26"/>
        </w:rPr>
      </w:pPr>
    </w:p>
    <w:p w:rsidR="0027458E" w:rsidRDefault="009542EE" w:rsidP="00DA2CEC">
      <w:pPr>
        <w:spacing w:line="360" w:lineRule="auto"/>
        <w:ind w:firstLine="1440"/>
        <w:rPr>
          <w:sz w:val="26"/>
          <w:szCs w:val="26"/>
        </w:rPr>
      </w:pPr>
      <w:r>
        <w:rPr>
          <w:sz w:val="26"/>
          <w:szCs w:val="26"/>
        </w:rPr>
        <w:t xml:space="preserve">The ALJ </w:t>
      </w:r>
      <w:r w:rsidR="003440BD" w:rsidRPr="002E740E">
        <w:rPr>
          <w:sz w:val="26"/>
          <w:szCs w:val="26"/>
        </w:rPr>
        <w:t xml:space="preserve">made </w:t>
      </w:r>
      <w:r w:rsidR="00002615">
        <w:rPr>
          <w:sz w:val="26"/>
          <w:szCs w:val="26"/>
        </w:rPr>
        <w:t>fourteen</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002615">
        <w:rPr>
          <w:sz w:val="26"/>
          <w:szCs w:val="26"/>
        </w:rPr>
        <w:t>two</w:t>
      </w:r>
      <w:r w:rsidR="003440BD" w:rsidRPr="002E740E">
        <w:rPr>
          <w:sz w:val="26"/>
          <w:szCs w:val="26"/>
        </w:rPr>
        <w:t xml:space="preserve"> Conclusions of Law</w:t>
      </w:r>
      <w:r w:rsidR="003440BD">
        <w:rPr>
          <w:sz w:val="26"/>
          <w:szCs w:val="26"/>
        </w:rPr>
        <w:t xml:space="preserve">.  </w:t>
      </w:r>
      <w:r w:rsidR="003440BD" w:rsidRPr="002E740E">
        <w:rPr>
          <w:sz w:val="26"/>
          <w:szCs w:val="26"/>
        </w:rPr>
        <w:t xml:space="preserve">I.D. at </w:t>
      </w:r>
      <w:r w:rsidR="00555A12">
        <w:rPr>
          <w:sz w:val="26"/>
          <w:szCs w:val="26"/>
        </w:rPr>
        <w:t>3</w:t>
      </w:r>
      <w:r w:rsidR="00002615">
        <w:rPr>
          <w:sz w:val="26"/>
          <w:szCs w:val="26"/>
        </w:rPr>
        <w:t>-5</w:t>
      </w:r>
      <w:r w:rsidR="003440BD">
        <w:rPr>
          <w:sz w:val="26"/>
          <w:szCs w:val="26"/>
        </w:rPr>
        <w:t xml:space="preserve">, </w:t>
      </w:r>
      <w:r w:rsidR="00002615">
        <w:rPr>
          <w:sz w:val="26"/>
          <w:szCs w:val="26"/>
        </w:rPr>
        <w:t>10</w:t>
      </w:r>
      <w:r w:rsidR="003440BD">
        <w:rPr>
          <w:sz w:val="26"/>
          <w:szCs w:val="26"/>
        </w:rPr>
        <w:t xml:space="preserve">.  </w:t>
      </w:r>
      <w:r w:rsidR="003440BD" w:rsidRPr="002E740E">
        <w:rPr>
          <w:sz w:val="26"/>
          <w:szCs w:val="26"/>
        </w:rPr>
        <w:t>We shall adopt and incorporate herein by reference the ALJ’s Findings of Fact and Conclusions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DA2CEC" w:rsidRDefault="00DA2CEC" w:rsidP="00DA2CEC">
      <w:pPr>
        <w:spacing w:line="360" w:lineRule="auto"/>
        <w:ind w:firstLine="720"/>
        <w:rPr>
          <w:b/>
          <w:sz w:val="26"/>
          <w:szCs w:val="26"/>
        </w:rPr>
      </w:pPr>
      <w:r>
        <w:rPr>
          <w:b/>
          <w:sz w:val="26"/>
          <w:szCs w:val="26"/>
        </w:rPr>
        <w:tab/>
      </w:r>
      <w:r>
        <w:rPr>
          <w:sz w:val="26"/>
          <w:szCs w:val="26"/>
        </w:rPr>
        <w:t xml:space="preserve">In the Initial Decision, the ALJ found that the evidence indicated that the number of occupants in the household had changed and that there was no previous pattern of usage to compare because the service was first established in the Complainant’s name on December 18, 2007.  </w:t>
      </w:r>
      <w:r w:rsidR="00D97D9B">
        <w:rPr>
          <w:sz w:val="26"/>
          <w:szCs w:val="26"/>
        </w:rPr>
        <w:t xml:space="preserve">I.D. at 7-8.  </w:t>
      </w:r>
      <w:r>
        <w:rPr>
          <w:sz w:val="26"/>
          <w:szCs w:val="26"/>
        </w:rPr>
        <w:t xml:space="preserve">The ALJ concluded that the </w:t>
      </w:r>
      <w:r w:rsidR="009542EE">
        <w:rPr>
          <w:sz w:val="26"/>
          <w:szCs w:val="26"/>
        </w:rPr>
        <w:t xml:space="preserve">evidence demonstrated that the </w:t>
      </w:r>
      <w:r>
        <w:rPr>
          <w:sz w:val="26"/>
          <w:szCs w:val="26"/>
        </w:rPr>
        <w:t>Compl</w:t>
      </w:r>
      <w:r w:rsidR="00D97D9B">
        <w:rPr>
          <w:sz w:val="26"/>
          <w:szCs w:val="26"/>
        </w:rPr>
        <w:t xml:space="preserve">ainant had started a new pattern of usage as the new account owner, that the Complainant’s two-story residence </w:t>
      </w:r>
      <w:r w:rsidR="009542EE">
        <w:rPr>
          <w:sz w:val="26"/>
          <w:szCs w:val="26"/>
        </w:rPr>
        <w:t>wa</w:t>
      </w:r>
      <w:r w:rsidR="00D97D9B">
        <w:rPr>
          <w:sz w:val="26"/>
          <w:szCs w:val="26"/>
        </w:rPr>
        <w:t>s not insulated, and that the Complainant ha</w:t>
      </w:r>
      <w:r w:rsidR="009542EE">
        <w:rPr>
          <w:sz w:val="26"/>
          <w:szCs w:val="26"/>
        </w:rPr>
        <w:t>d</w:t>
      </w:r>
      <w:r w:rsidR="00D97D9B">
        <w:rPr>
          <w:sz w:val="26"/>
          <w:szCs w:val="26"/>
        </w:rPr>
        <w:t xml:space="preserve"> </w:t>
      </w:r>
      <w:r w:rsidR="00AD76C7">
        <w:rPr>
          <w:sz w:val="26"/>
          <w:szCs w:val="26"/>
        </w:rPr>
        <w:t>many</w:t>
      </w:r>
      <w:r w:rsidR="00D97D9B">
        <w:rPr>
          <w:sz w:val="26"/>
          <w:szCs w:val="26"/>
        </w:rPr>
        <w:t xml:space="preserve"> appliances which use</w:t>
      </w:r>
      <w:r w:rsidR="009542EE">
        <w:rPr>
          <w:sz w:val="26"/>
          <w:szCs w:val="26"/>
        </w:rPr>
        <w:t>d</w:t>
      </w:r>
      <w:r w:rsidR="00D97D9B">
        <w:rPr>
          <w:sz w:val="26"/>
          <w:szCs w:val="26"/>
        </w:rPr>
        <w:t xml:space="preserve"> electricity.  The ALJ also concluded that there was no direct proof that the Complainant’s meter had malfunctioned or that his metered usage exceeded his actual usage.  </w:t>
      </w:r>
      <w:r w:rsidR="00B912BF">
        <w:rPr>
          <w:sz w:val="26"/>
          <w:szCs w:val="26"/>
        </w:rPr>
        <w:t>Based on th</w:t>
      </w:r>
      <w:r w:rsidR="009542EE">
        <w:rPr>
          <w:sz w:val="26"/>
          <w:szCs w:val="26"/>
        </w:rPr>
        <w:t>e</w:t>
      </w:r>
      <w:r w:rsidR="00B912BF">
        <w:rPr>
          <w:sz w:val="26"/>
          <w:szCs w:val="26"/>
        </w:rPr>
        <w:t xml:space="preserve"> evidence, the ALJ determined that the Complainant did not carry his burden of proof under </w:t>
      </w:r>
      <w:r w:rsidR="00B912BF" w:rsidRPr="00DA2CEC">
        <w:rPr>
          <w:i/>
          <w:sz w:val="26"/>
          <w:szCs w:val="26"/>
        </w:rPr>
        <w:t>Waldron</w:t>
      </w:r>
      <w:r w:rsidR="00B912BF">
        <w:rPr>
          <w:sz w:val="26"/>
          <w:szCs w:val="26"/>
        </w:rPr>
        <w:t xml:space="preserve">, </w:t>
      </w:r>
      <w:r w:rsidR="00F1522A">
        <w:rPr>
          <w:i/>
          <w:sz w:val="26"/>
          <w:szCs w:val="26"/>
        </w:rPr>
        <w:t xml:space="preserve">supra, </w:t>
      </w:r>
      <w:r w:rsidR="00B912BF">
        <w:rPr>
          <w:sz w:val="26"/>
          <w:szCs w:val="26"/>
        </w:rPr>
        <w:t xml:space="preserve">and its progeny.  I.D. at 8.    </w:t>
      </w:r>
      <w:r w:rsidR="00D97D9B">
        <w:rPr>
          <w:sz w:val="26"/>
          <w:szCs w:val="26"/>
        </w:rPr>
        <w:t xml:space="preserve">        </w:t>
      </w:r>
      <w:r>
        <w:rPr>
          <w:sz w:val="26"/>
          <w:szCs w:val="26"/>
        </w:rPr>
        <w:t xml:space="preserve">  </w:t>
      </w:r>
      <w:r w:rsidR="00002615">
        <w:rPr>
          <w:b/>
          <w:sz w:val="26"/>
          <w:szCs w:val="26"/>
        </w:rPr>
        <w:tab/>
      </w:r>
    </w:p>
    <w:p w:rsidR="00DA2CEC" w:rsidRDefault="00B912BF" w:rsidP="00B912BF">
      <w:pPr>
        <w:spacing w:line="360" w:lineRule="auto"/>
        <w:ind w:firstLine="1440"/>
        <w:rPr>
          <w:rFonts w:cs="Arial"/>
          <w:sz w:val="26"/>
          <w:szCs w:val="26"/>
        </w:rPr>
      </w:pPr>
      <w:r>
        <w:rPr>
          <w:sz w:val="26"/>
          <w:szCs w:val="26"/>
        </w:rPr>
        <w:lastRenderedPageBreak/>
        <w:t xml:space="preserve">Although we agree with the ultimate outcome in this case, we do not agree with the Initial Decision’s statement of the </w:t>
      </w:r>
      <w:r>
        <w:rPr>
          <w:i/>
          <w:sz w:val="26"/>
          <w:szCs w:val="26"/>
        </w:rPr>
        <w:t xml:space="preserve">Waldron </w:t>
      </w:r>
      <w:r>
        <w:rPr>
          <w:sz w:val="26"/>
          <w:szCs w:val="26"/>
        </w:rPr>
        <w:t xml:space="preserve">Rule.  According to </w:t>
      </w:r>
      <w:r w:rsidR="004F3D3B" w:rsidRPr="00DA2CEC">
        <w:rPr>
          <w:sz w:val="26"/>
          <w:szCs w:val="26"/>
        </w:rPr>
        <w:t xml:space="preserve">the Initial Decision, a </w:t>
      </w:r>
      <w:r w:rsidR="002911A8">
        <w:rPr>
          <w:sz w:val="26"/>
          <w:szCs w:val="26"/>
        </w:rPr>
        <w:t>c</w:t>
      </w:r>
      <w:r w:rsidR="004F3D3B" w:rsidRPr="00DA2CEC">
        <w:rPr>
          <w:sz w:val="26"/>
          <w:szCs w:val="26"/>
        </w:rPr>
        <w:t xml:space="preserve">omplainant establishes a </w:t>
      </w:r>
      <w:r w:rsidR="004F3D3B" w:rsidRPr="00CD2881">
        <w:rPr>
          <w:i/>
          <w:sz w:val="26"/>
          <w:szCs w:val="26"/>
        </w:rPr>
        <w:t>prima facie</w:t>
      </w:r>
      <w:r w:rsidR="004F3D3B" w:rsidRPr="00DA2CEC">
        <w:rPr>
          <w:sz w:val="26"/>
          <w:szCs w:val="26"/>
        </w:rPr>
        <w:t xml:space="preserve"> case under </w:t>
      </w:r>
      <w:r w:rsidR="004F3D3B" w:rsidRPr="00DA2CEC">
        <w:rPr>
          <w:i/>
          <w:sz w:val="26"/>
          <w:szCs w:val="26"/>
        </w:rPr>
        <w:t xml:space="preserve">Waldron </w:t>
      </w:r>
      <w:r w:rsidR="00DA2CEC" w:rsidRPr="00DA2CEC">
        <w:rPr>
          <w:rFonts w:cs="Arial"/>
          <w:sz w:val="26"/>
          <w:szCs w:val="26"/>
        </w:rPr>
        <w:t xml:space="preserve">by presenting the following testimony: </w:t>
      </w:r>
      <w:r>
        <w:rPr>
          <w:rFonts w:cs="Arial"/>
          <w:sz w:val="26"/>
          <w:szCs w:val="26"/>
        </w:rPr>
        <w:t xml:space="preserve"> </w:t>
      </w:r>
      <w:r w:rsidR="00DA2CEC" w:rsidRPr="00DA2CEC">
        <w:rPr>
          <w:rFonts w:cs="Arial"/>
          <w:sz w:val="26"/>
          <w:szCs w:val="26"/>
        </w:rPr>
        <w:t xml:space="preserve">(1) that the number of occupants in a household has not changed; (2) that the potential for energy utilization was low; and, (3) that </w:t>
      </w:r>
      <w:r w:rsidR="002911A8">
        <w:rPr>
          <w:rFonts w:cs="Arial"/>
          <w:sz w:val="26"/>
          <w:szCs w:val="26"/>
        </w:rPr>
        <w:t xml:space="preserve">the </w:t>
      </w:r>
      <w:r w:rsidR="00DA2CEC" w:rsidRPr="00DA2CEC">
        <w:rPr>
          <w:rFonts w:cs="Arial"/>
          <w:sz w:val="26"/>
          <w:szCs w:val="26"/>
        </w:rPr>
        <w:t xml:space="preserve">complainant’s prior billing history showed no previous abnormalities.  Upon review, </w:t>
      </w:r>
      <w:r w:rsidR="002911A8">
        <w:rPr>
          <w:rFonts w:cs="Arial"/>
          <w:sz w:val="26"/>
          <w:szCs w:val="26"/>
        </w:rPr>
        <w:t>we</w:t>
      </w:r>
      <w:r w:rsidR="00DA2CEC" w:rsidRPr="00DA2CEC">
        <w:rPr>
          <w:rFonts w:cs="Arial"/>
          <w:sz w:val="26"/>
          <w:szCs w:val="26"/>
        </w:rPr>
        <w:t xml:space="preserve"> do not agree that </w:t>
      </w:r>
      <w:r w:rsidR="00DA2CEC" w:rsidRPr="002911A8">
        <w:rPr>
          <w:rFonts w:cs="Arial"/>
          <w:i/>
          <w:sz w:val="26"/>
          <w:szCs w:val="26"/>
        </w:rPr>
        <w:t xml:space="preserve">Waldron </w:t>
      </w:r>
      <w:r w:rsidR="00DA2CEC" w:rsidRPr="00DA2CEC">
        <w:rPr>
          <w:rFonts w:cs="Arial"/>
          <w:sz w:val="26"/>
          <w:szCs w:val="26"/>
        </w:rPr>
        <w:t xml:space="preserve">limits the establishment of a </w:t>
      </w:r>
      <w:r w:rsidR="00DA2CEC" w:rsidRPr="00CD2881">
        <w:rPr>
          <w:rFonts w:cs="Arial"/>
          <w:i/>
          <w:sz w:val="26"/>
          <w:szCs w:val="26"/>
        </w:rPr>
        <w:t>prima facie</w:t>
      </w:r>
      <w:r w:rsidR="00DA2CEC" w:rsidRPr="00DA2CEC">
        <w:rPr>
          <w:rFonts w:cs="Arial"/>
          <w:sz w:val="26"/>
          <w:szCs w:val="26"/>
        </w:rPr>
        <w:t xml:space="preserve"> case to these three factors.</w:t>
      </w:r>
    </w:p>
    <w:p w:rsidR="00526680" w:rsidRPr="00DA2CEC" w:rsidRDefault="00526680" w:rsidP="00B912BF">
      <w:pPr>
        <w:spacing w:line="360" w:lineRule="auto"/>
        <w:ind w:firstLine="1440"/>
        <w:rPr>
          <w:rFonts w:cs="Arial"/>
          <w:sz w:val="26"/>
          <w:szCs w:val="26"/>
        </w:rPr>
      </w:pPr>
    </w:p>
    <w:p w:rsidR="00DA2CEC" w:rsidRPr="00DA2CEC" w:rsidRDefault="00DA2CEC" w:rsidP="002911A8">
      <w:pPr>
        <w:spacing w:line="360" w:lineRule="auto"/>
        <w:ind w:firstLine="1440"/>
        <w:rPr>
          <w:rFonts w:cs="Arial"/>
          <w:sz w:val="26"/>
          <w:szCs w:val="26"/>
        </w:rPr>
      </w:pPr>
      <w:r w:rsidRPr="00DA2CEC">
        <w:rPr>
          <w:rFonts w:cs="Arial"/>
          <w:sz w:val="26"/>
          <w:szCs w:val="26"/>
        </w:rPr>
        <w:t xml:space="preserve">Rather, </w:t>
      </w:r>
      <w:r w:rsidRPr="00DA2CEC">
        <w:rPr>
          <w:rFonts w:cs="Arial"/>
          <w:color w:val="000000"/>
          <w:sz w:val="26"/>
          <w:szCs w:val="26"/>
        </w:rPr>
        <w:t xml:space="preserve">consistent with our holding in </w:t>
      </w:r>
      <w:r w:rsidRPr="00DA2CEC">
        <w:rPr>
          <w:rFonts w:cs="Arial"/>
          <w:i/>
          <w:color w:val="000000"/>
          <w:sz w:val="26"/>
          <w:szCs w:val="26"/>
        </w:rPr>
        <w:t>Ch</w:t>
      </w:r>
      <w:r w:rsidR="002911A8">
        <w:rPr>
          <w:rFonts w:cs="Arial"/>
          <w:i/>
          <w:color w:val="000000"/>
          <w:sz w:val="26"/>
          <w:szCs w:val="26"/>
        </w:rPr>
        <w:t>arisse</w:t>
      </w:r>
      <w:r w:rsidRPr="00DA2CEC">
        <w:rPr>
          <w:rFonts w:cs="Arial"/>
          <w:i/>
          <w:color w:val="000000"/>
          <w:sz w:val="26"/>
          <w:szCs w:val="26"/>
        </w:rPr>
        <w:t xml:space="preserve"> Bennett v. Peoples Natural Gas Co.</w:t>
      </w:r>
      <w:r w:rsidRPr="00DA2CEC">
        <w:rPr>
          <w:rFonts w:cs="Arial"/>
          <w:color w:val="000000"/>
          <w:sz w:val="26"/>
          <w:szCs w:val="26"/>
        </w:rPr>
        <w:t xml:space="preserve">, Docket No. C-2009-2122979 (Order entered October 13, 2010), the </w:t>
      </w:r>
      <w:r w:rsidRPr="00DA2CEC">
        <w:rPr>
          <w:rFonts w:cs="Arial"/>
          <w:i/>
          <w:color w:val="000000"/>
          <w:sz w:val="26"/>
          <w:szCs w:val="26"/>
        </w:rPr>
        <w:t xml:space="preserve">Waldron </w:t>
      </w:r>
      <w:r w:rsidRPr="00DA2CEC">
        <w:rPr>
          <w:rFonts w:cs="Arial"/>
          <w:color w:val="000000"/>
          <w:sz w:val="26"/>
          <w:szCs w:val="26"/>
        </w:rPr>
        <w:t xml:space="preserve">Rule allows a </w:t>
      </w:r>
      <w:r w:rsidR="009542EE">
        <w:rPr>
          <w:rFonts w:cs="Arial"/>
          <w:color w:val="000000"/>
          <w:sz w:val="26"/>
          <w:szCs w:val="26"/>
        </w:rPr>
        <w:t>c</w:t>
      </w:r>
      <w:r w:rsidRPr="00DA2CEC">
        <w:rPr>
          <w:rFonts w:cs="Arial"/>
          <w:color w:val="000000"/>
          <w:sz w:val="26"/>
          <w:szCs w:val="26"/>
        </w:rPr>
        <w:t xml:space="preserve">omplainant to establish a </w:t>
      </w:r>
      <w:r w:rsidRPr="00CD2881">
        <w:rPr>
          <w:rFonts w:cs="Arial"/>
          <w:i/>
          <w:color w:val="000000"/>
          <w:sz w:val="26"/>
          <w:szCs w:val="26"/>
        </w:rPr>
        <w:t>prima facie</w:t>
      </w:r>
      <w:r w:rsidRPr="00DA2CEC">
        <w:rPr>
          <w:rFonts w:cs="Arial"/>
          <w:i/>
          <w:color w:val="000000"/>
          <w:sz w:val="26"/>
          <w:szCs w:val="26"/>
        </w:rPr>
        <w:t xml:space="preserve"> </w:t>
      </w:r>
      <w:r w:rsidRPr="00DA2CEC">
        <w:rPr>
          <w:rFonts w:cs="Arial"/>
          <w:color w:val="000000"/>
          <w:sz w:val="26"/>
          <w:szCs w:val="26"/>
        </w:rPr>
        <w:t xml:space="preserve">case in a “high bill” complaint by showing that the disputed bill is abnormally high when compared to prior usage patterns and his or her pattern of usage has not changed </w:t>
      </w:r>
      <w:r w:rsidRPr="00DA2CEC">
        <w:rPr>
          <w:rFonts w:cs="Arial"/>
          <w:i/>
          <w:color w:val="000000"/>
          <w:sz w:val="26"/>
          <w:szCs w:val="26"/>
        </w:rPr>
        <w:t>or</w:t>
      </w:r>
      <w:r w:rsidRPr="00DA2CEC">
        <w:rPr>
          <w:rFonts w:cs="Arial"/>
          <w:color w:val="000000"/>
          <w:sz w:val="26"/>
          <w:szCs w:val="26"/>
        </w:rPr>
        <w:t> </w:t>
      </w:r>
      <w:r w:rsidRPr="00DA2CEC">
        <w:rPr>
          <w:rFonts w:cs="Arial"/>
          <w:i/>
          <w:color w:val="000000"/>
          <w:sz w:val="26"/>
          <w:szCs w:val="26"/>
        </w:rPr>
        <w:t>by providing other relevant evidence showing that the disputed bill is unreasonably high</w:t>
      </w:r>
      <w:r w:rsidRPr="00DA2CEC">
        <w:rPr>
          <w:rFonts w:cs="Arial"/>
          <w:color w:val="000000"/>
          <w:sz w:val="26"/>
          <w:szCs w:val="26"/>
        </w:rPr>
        <w:t>.  In evaluating a “high bill” complaint,</w:t>
      </w:r>
      <w:r w:rsidRPr="00DA2CEC">
        <w:rPr>
          <w:rFonts w:cs="Arial"/>
          <w:sz w:val="26"/>
          <w:szCs w:val="26"/>
        </w:rPr>
        <w:t xml:space="preserve"> the Commission may consider such evidence as </w:t>
      </w:r>
      <w:r w:rsidR="008A7AE9">
        <w:rPr>
          <w:rFonts w:cs="Arial"/>
          <w:sz w:val="26"/>
          <w:szCs w:val="26"/>
        </w:rPr>
        <w:t>“</w:t>
      </w:r>
      <w:r w:rsidRPr="00DA2CEC">
        <w:rPr>
          <w:rFonts w:cs="Arial"/>
          <w:sz w:val="26"/>
          <w:szCs w:val="26"/>
        </w:rPr>
        <w:t xml:space="preserve">the billing history of the account, any change in usage patterns (such as a change in the number of occupants residing in the household or potential energy utilization), </w:t>
      </w:r>
      <w:r w:rsidRPr="00DA2CEC">
        <w:rPr>
          <w:rFonts w:cs="Arial"/>
          <w:i/>
          <w:sz w:val="26"/>
          <w:szCs w:val="26"/>
        </w:rPr>
        <w:t>and</w:t>
      </w:r>
      <w:r w:rsidRPr="00DA2CEC">
        <w:rPr>
          <w:rFonts w:cs="Arial"/>
          <w:b/>
          <w:i/>
          <w:sz w:val="26"/>
          <w:szCs w:val="26"/>
        </w:rPr>
        <w:t xml:space="preserve"> </w:t>
      </w:r>
      <w:r w:rsidRPr="00DA2CEC">
        <w:rPr>
          <w:rFonts w:cs="Arial"/>
          <w:i/>
          <w:sz w:val="26"/>
          <w:szCs w:val="26"/>
        </w:rPr>
        <w:t>any other relevant facts or circumstances that come to light during the proceeding</w:t>
      </w:r>
      <w:r w:rsidRPr="00DA2CEC">
        <w:rPr>
          <w:rFonts w:cs="Arial"/>
          <w:sz w:val="26"/>
          <w:szCs w:val="26"/>
        </w:rPr>
        <w:t>.</w:t>
      </w:r>
      <w:r w:rsidR="008A7AE9">
        <w:rPr>
          <w:rFonts w:cs="Arial"/>
          <w:sz w:val="26"/>
          <w:szCs w:val="26"/>
        </w:rPr>
        <w:t xml:space="preserve">”  </w:t>
      </w:r>
      <w:r w:rsidR="008A7AE9">
        <w:rPr>
          <w:rFonts w:cs="Arial"/>
          <w:i/>
          <w:sz w:val="26"/>
          <w:szCs w:val="26"/>
        </w:rPr>
        <w:t>Id.</w:t>
      </w:r>
      <w:r w:rsidR="008A7AE9">
        <w:rPr>
          <w:rFonts w:cs="Arial"/>
          <w:sz w:val="26"/>
          <w:szCs w:val="26"/>
        </w:rPr>
        <w:t xml:space="preserve"> at 6 (emphasis added).  </w:t>
      </w:r>
    </w:p>
    <w:p w:rsidR="00DA2CEC" w:rsidRPr="00DA2CEC" w:rsidRDefault="00DA2CEC" w:rsidP="00DA2CEC">
      <w:pPr>
        <w:spacing w:line="360" w:lineRule="auto"/>
        <w:ind w:firstLine="720"/>
        <w:jc w:val="both"/>
        <w:rPr>
          <w:rFonts w:cs="Arial"/>
          <w:sz w:val="26"/>
          <w:szCs w:val="26"/>
        </w:rPr>
      </w:pPr>
    </w:p>
    <w:p w:rsidR="00DA2CEC" w:rsidRPr="00DA2CEC" w:rsidRDefault="00DA2CEC" w:rsidP="00B33BDB">
      <w:pPr>
        <w:spacing w:line="360" w:lineRule="auto"/>
        <w:ind w:firstLine="1440"/>
        <w:rPr>
          <w:rFonts w:cs="Arial"/>
          <w:sz w:val="26"/>
          <w:szCs w:val="26"/>
        </w:rPr>
      </w:pPr>
      <w:r w:rsidRPr="00DA2CEC">
        <w:rPr>
          <w:rFonts w:cs="Arial"/>
          <w:sz w:val="26"/>
          <w:szCs w:val="26"/>
        </w:rPr>
        <w:t xml:space="preserve">As stated in </w:t>
      </w:r>
      <w:r w:rsidRPr="00DA2CEC">
        <w:rPr>
          <w:rFonts w:cs="Arial"/>
          <w:i/>
          <w:sz w:val="26"/>
          <w:szCs w:val="26"/>
        </w:rPr>
        <w:t>Bennett,</w:t>
      </w:r>
      <w:r w:rsidRPr="00DA2CEC">
        <w:rPr>
          <w:rFonts w:cs="Arial"/>
          <w:sz w:val="26"/>
          <w:szCs w:val="26"/>
        </w:rPr>
        <w:t xml:space="preserve"> limiting the </w:t>
      </w:r>
      <w:r w:rsidRPr="00DA2CEC">
        <w:rPr>
          <w:rFonts w:cs="Arial"/>
          <w:i/>
          <w:sz w:val="26"/>
          <w:szCs w:val="26"/>
        </w:rPr>
        <w:t>Waldron</w:t>
      </w:r>
      <w:r w:rsidRPr="00DA2CEC">
        <w:rPr>
          <w:rFonts w:cs="Arial"/>
          <w:sz w:val="26"/>
          <w:szCs w:val="26"/>
        </w:rPr>
        <w:t xml:space="preserve"> </w:t>
      </w:r>
      <w:r w:rsidR="00281587">
        <w:rPr>
          <w:rFonts w:cs="Arial"/>
          <w:sz w:val="26"/>
          <w:szCs w:val="26"/>
        </w:rPr>
        <w:t>R</w:t>
      </w:r>
      <w:r w:rsidRPr="00DA2CEC">
        <w:rPr>
          <w:rFonts w:cs="Arial"/>
          <w:sz w:val="26"/>
          <w:szCs w:val="26"/>
        </w:rPr>
        <w:t xml:space="preserve">ule to the above three factors creates </w:t>
      </w:r>
      <w:r w:rsidR="00281587">
        <w:rPr>
          <w:rFonts w:cs="Arial"/>
          <w:sz w:val="26"/>
          <w:szCs w:val="26"/>
        </w:rPr>
        <w:t>a</w:t>
      </w:r>
      <w:r w:rsidRPr="00DA2CEC">
        <w:rPr>
          <w:rFonts w:cs="Arial"/>
          <w:sz w:val="26"/>
          <w:szCs w:val="26"/>
        </w:rPr>
        <w:t xml:space="preserve"> situation </w:t>
      </w:r>
      <w:r w:rsidR="00281587">
        <w:rPr>
          <w:rFonts w:cs="Arial"/>
          <w:sz w:val="26"/>
          <w:szCs w:val="26"/>
        </w:rPr>
        <w:t xml:space="preserve">in which </w:t>
      </w:r>
      <w:r w:rsidRPr="00DA2CEC">
        <w:rPr>
          <w:rFonts w:cs="Arial"/>
          <w:sz w:val="26"/>
          <w:szCs w:val="26"/>
        </w:rPr>
        <w:t xml:space="preserve">a new customer is asked to produce evidence </w:t>
      </w:r>
      <w:r w:rsidR="00281587">
        <w:rPr>
          <w:rFonts w:cs="Arial"/>
          <w:sz w:val="26"/>
          <w:szCs w:val="26"/>
        </w:rPr>
        <w:t xml:space="preserve">regarding prior usage </w:t>
      </w:r>
      <w:r w:rsidRPr="00DA2CEC">
        <w:rPr>
          <w:rFonts w:cs="Arial"/>
          <w:sz w:val="26"/>
          <w:szCs w:val="26"/>
        </w:rPr>
        <w:t xml:space="preserve">that he or she does not possess. </w:t>
      </w:r>
      <w:r w:rsidR="00281587">
        <w:rPr>
          <w:rFonts w:cs="Arial"/>
          <w:sz w:val="26"/>
          <w:szCs w:val="26"/>
        </w:rPr>
        <w:t xml:space="preserve"> </w:t>
      </w:r>
      <w:r w:rsidR="00B33BDB">
        <w:rPr>
          <w:rFonts w:cs="Arial"/>
          <w:i/>
          <w:sz w:val="26"/>
          <w:szCs w:val="26"/>
        </w:rPr>
        <w:t xml:space="preserve">See Bennett </w:t>
      </w:r>
      <w:r w:rsidR="00B33BDB">
        <w:rPr>
          <w:rFonts w:cs="Arial"/>
          <w:sz w:val="26"/>
          <w:szCs w:val="26"/>
        </w:rPr>
        <w:t xml:space="preserve">at 6.  </w:t>
      </w:r>
      <w:r w:rsidRPr="00DA2CEC">
        <w:rPr>
          <w:rFonts w:cs="Arial"/>
          <w:sz w:val="26"/>
          <w:szCs w:val="26"/>
        </w:rPr>
        <w:t xml:space="preserve">This interpretation of </w:t>
      </w:r>
      <w:r w:rsidRPr="00DA2CEC">
        <w:rPr>
          <w:rFonts w:cs="Arial"/>
          <w:i/>
          <w:sz w:val="26"/>
          <w:szCs w:val="26"/>
        </w:rPr>
        <w:t xml:space="preserve">Waldron </w:t>
      </w:r>
      <w:r w:rsidRPr="00DA2CEC">
        <w:rPr>
          <w:rFonts w:cs="Arial"/>
          <w:sz w:val="26"/>
          <w:szCs w:val="26"/>
        </w:rPr>
        <w:t>is too narrow and would prevent a new customer from challenging a high bill.</w:t>
      </w:r>
      <w:r w:rsidR="00B33BDB">
        <w:rPr>
          <w:rFonts w:cs="Arial"/>
          <w:sz w:val="26"/>
          <w:szCs w:val="26"/>
        </w:rPr>
        <w:t xml:space="preserve">  </w:t>
      </w:r>
      <w:r w:rsidRPr="00DA2CEC">
        <w:rPr>
          <w:rFonts w:cs="Arial"/>
          <w:color w:val="000000"/>
          <w:sz w:val="26"/>
          <w:szCs w:val="26"/>
        </w:rPr>
        <w:t>Nevertheless, for the reasons stated in the I</w:t>
      </w:r>
      <w:r w:rsidR="00B33BDB">
        <w:rPr>
          <w:rFonts w:cs="Arial"/>
          <w:color w:val="000000"/>
          <w:sz w:val="26"/>
          <w:szCs w:val="26"/>
        </w:rPr>
        <w:t>nitial Decision,</w:t>
      </w:r>
      <w:r w:rsidRPr="00DA2CEC">
        <w:rPr>
          <w:rFonts w:cs="Arial"/>
          <w:color w:val="000000"/>
          <w:sz w:val="26"/>
          <w:szCs w:val="26"/>
        </w:rPr>
        <w:t xml:space="preserve"> </w:t>
      </w:r>
      <w:r w:rsidR="00B33BDB">
        <w:rPr>
          <w:rFonts w:cs="Arial"/>
          <w:color w:val="000000"/>
          <w:sz w:val="26"/>
          <w:szCs w:val="26"/>
        </w:rPr>
        <w:t>we</w:t>
      </w:r>
      <w:r w:rsidRPr="00DA2CEC">
        <w:rPr>
          <w:rFonts w:cs="Arial"/>
          <w:color w:val="000000"/>
          <w:sz w:val="26"/>
          <w:szCs w:val="26"/>
        </w:rPr>
        <w:t xml:space="preserve"> agree that the Complainant has not met his burden of proof that he was over billed</w:t>
      </w:r>
      <w:r w:rsidR="00B33BDB">
        <w:rPr>
          <w:rFonts w:cs="Arial"/>
          <w:color w:val="000000"/>
          <w:sz w:val="26"/>
          <w:szCs w:val="26"/>
        </w:rPr>
        <w:t>, and, accordingly, we will not disturb the holding of the ALJ dismissing the Complaint</w:t>
      </w:r>
      <w:r w:rsidRPr="00DA2CEC">
        <w:rPr>
          <w:rFonts w:cs="Arial"/>
          <w:color w:val="000000"/>
          <w:sz w:val="26"/>
          <w:szCs w:val="26"/>
        </w:rPr>
        <w:t xml:space="preserve">.           </w:t>
      </w:r>
      <w:r w:rsidRPr="00DA2CEC">
        <w:rPr>
          <w:rFonts w:cs="Arial"/>
          <w:sz w:val="26"/>
          <w:szCs w:val="26"/>
        </w:rPr>
        <w:t xml:space="preserve">  </w:t>
      </w:r>
    </w:p>
    <w:p w:rsidR="00DA2CEC" w:rsidRPr="00DA2CEC" w:rsidRDefault="00DA2CEC" w:rsidP="00DA2CEC">
      <w:pPr>
        <w:spacing w:line="360" w:lineRule="auto"/>
        <w:ind w:firstLine="720"/>
        <w:jc w:val="both"/>
        <w:rPr>
          <w:rFonts w:cs="Arial"/>
          <w:sz w:val="26"/>
          <w:szCs w:val="26"/>
        </w:rPr>
      </w:pPr>
    </w:p>
    <w:p w:rsidR="009542EE" w:rsidRDefault="009542EE" w:rsidP="00B33BDB">
      <w:pPr>
        <w:spacing w:line="360" w:lineRule="auto"/>
        <w:jc w:val="center"/>
        <w:rPr>
          <w:b/>
          <w:sz w:val="26"/>
          <w:szCs w:val="26"/>
        </w:rPr>
      </w:pPr>
    </w:p>
    <w:p w:rsidR="009542EE" w:rsidRDefault="009542EE" w:rsidP="00B33BDB">
      <w:pPr>
        <w:spacing w:line="360" w:lineRule="auto"/>
        <w:jc w:val="center"/>
        <w:rPr>
          <w:b/>
          <w:sz w:val="26"/>
          <w:szCs w:val="26"/>
        </w:rPr>
      </w:pPr>
    </w:p>
    <w:p w:rsidR="00956972" w:rsidRPr="00385898" w:rsidRDefault="00956972" w:rsidP="00B33BDB">
      <w:pPr>
        <w:spacing w:line="360" w:lineRule="auto"/>
        <w:jc w:val="center"/>
        <w:rPr>
          <w:b/>
          <w:sz w:val="26"/>
          <w:szCs w:val="26"/>
        </w:rPr>
      </w:pPr>
      <w:r w:rsidRPr="00385898">
        <w:rPr>
          <w:b/>
          <w:sz w:val="26"/>
          <w:szCs w:val="26"/>
        </w:rPr>
        <w:lastRenderedPageBreak/>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8B496B">
        <w:rPr>
          <w:sz w:val="26"/>
          <w:szCs w:val="26"/>
        </w:rPr>
        <w:t>record</w:t>
      </w:r>
      <w:r w:rsidR="003928E1">
        <w:rPr>
          <w:sz w:val="26"/>
          <w:szCs w:val="26"/>
        </w:rPr>
        <w:t xml:space="preserve">, the ALJ’s Initial Decision, </w:t>
      </w:r>
      <w:r w:rsidR="0023377F">
        <w:rPr>
          <w:sz w:val="26"/>
          <w:szCs w:val="26"/>
        </w:rPr>
        <w:t>and the applicable</w:t>
      </w:r>
      <w:r w:rsidR="003928E1">
        <w:rPr>
          <w:sz w:val="26"/>
          <w:szCs w:val="26"/>
        </w:rPr>
        <w:t xml:space="preserve"> </w:t>
      </w:r>
      <w:r w:rsidR="0023377F">
        <w:rPr>
          <w:sz w:val="26"/>
          <w:szCs w:val="26"/>
        </w:rPr>
        <w:t>law,</w:t>
      </w:r>
      <w:r w:rsidR="00474DBB">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7473AC">
        <w:rPr>
          <w:sz w:val="26"/>
          <w:szCs w:val="26"/>
        </w:rPr>
        <w:t xml:space="preserve">dismiss the Complaint of Mr. Thomas and adopt the </w:t>
      </w:r>
      <w:r w:rsidR="0023377F">
        <w:rPr>
          <w:sz w:val="26"/>
          <w:szCs w:val="26"/>
        </w:rPr>
        <w:t>ALJ’s Initial Decision</w:t>
      </w:r>
      <w:r w:rsidR="0019251E">
        <w:rPr>
          <w:sz w:val="26"/>
          <w:szCs w:val="26"/>
        </w:rPr>
        <w:t xml:space="preserve">, </w:t>
      </w:r>
      <w:r w:rsidR="007473AC">
        <w:rPr>
          <w:sz w:val="26"/>
          <w:szCs w:val="26"/>
        </w:rPr>
        <w:t xml:space="preserve">as modified by </w:t>
      </w:r>
      <w:r w:rsidR="0019251E">
        <w:rPr>
          <w:sz w:val="26"/>
          <w:szCs w:val="26"/>
        </w:rPr>
        <w:t>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E23CB4" w:rsidRPr="00E23CB4" w:rsidRDefault="00431F78" w:rsidP="00E23CB4">
      <w:pPr>
        <w:pStyle w:val="ListParagraph"/>
        <w:numPr>
          <w:ilvl w:val="0"/>
          <w:numId w:val="12"/>
        </w:numPr>
        <w:spacing w:line="360" w:lineRule="auto"/>
        <w:rPr>
          <w:sz w:val="26"/>
          <w:szCs w:val="26"/>
        </w:rPr>
      </w:pPr>
      <w:r w:rsidRPr="00E23CB4">
        <w:rPr>
          <w:sz w:val="26"/>
          <w:szCs w:val="26"/>
        </w:rPr>
        <w:t xml:space="preserve">That the </w:t>
      </w:r>
      <w:r w:rsidR="00527A20" w:rsidRPr="00E23CB4">
        <w:rPr>
          <w:sz w:val="26"/>
          <w:szCs w:val="26"/>
        </w:rPr>
        <w:t xml:space="preserve">Initial Decision of </w:t>
      </w:r>
      <w:r w:rsidR="00C05103" w:rsidRPr="00E23CB4">
        <w:rPr>
          <w:sz w:val="26"/>
          <w:szCs w:val="26"/>
        </w:rPr>
        <w:t xml:space="preserve">Administrative Law </w:t>
      </w:r>
      <w:r w:rsidR="00B809EB" w:rsidRPr="00E23CB4">
        <w:rPr>
          <w:sz w:val="26"/>
          <w:szCs w:val="26"/>
        </w:rPr>
        <w:t xml:space="preserve">Judge </w:t>
      </w:r>
    </w:p>
    <w:p w:rsidR="00F97807" w:rsidRPr="00E23CB4" w:rsidRDefault="008B496B" w:rsidP="00E23CB4">
      <w:pPr>
        <w:spacing w:line="360" w:lineRule="auto"/>
        <w:rPr>
          <w:sz w:val="26"/>
          <w:szCs w:val="26"/>
        </w:rPr>
      </w:pPr>
      <w:r w:rsidRPr="00E23CB4">
        <w:rPr>
          <w:sz w:val="26"/>
          <w:szCs w:val="26"/>
        </w:rPr>
        <w:t>Ky Van Nguyen</w:t>
      </w:r>
      <w:r w:rsidR="00B809EB" w:rsidRPr="00E23CB4">
        <w:rPr>
          <w:sz w:val="26"/>
          <w:szCs w:val="26"/>
        </w:rPr>
        <w:t xml:space="preserve">, issued </w:t>
      </w:r>
      <w:r w:rsidRPr="00E23CB4">
        <w:rPr>
          <w:sz w:val="26"/>
          <w:szCs w:val="26"/>
        </w:rPr>
        <w:t>September 14</w:t>
      </w:r>
      <w:r w:rsidR="00B809EB" w:rsidRPr="00E23CB4">
        <w:rPr>
          <w:sz w:val="26"/>
          <w:szCs w:val="26"/>
        </w:rPr>
        <w:t>, 2011,</w:t>
      </w:r>
      <w:r w:rsidR="008E45DB" w:rsidRPr="00E23CB4">
        <w:rPr>
          <w:sz w:val="26"/>
          <w:szCs w:val="26"/>
        </w:rPr>
        <w:t xml:space="preserve"> </w:t>
      </w:r>
      <w:r w:rsidR="005154BC" w:rsidRPr="00E23CB4">
        <w:rPr>
          <w:sz w:val="26"/>
          <w:szCs w:val="26"/>
        </w:rPr>
        <w:t xml:space="preserve">is </w:t>
      </w:r>
      <w:r w:rsidR="007473AC" w:rsidRPr="00E23CB4">
        <w:rPr>
          <w:sz w:val="26"/>
          <w:szCs w:val="26"/>
        </w:rPr>
        <w:t>adopted</w:t>
      </w:r>
      <w:r w:rsidR="00527A20" w:rsidRPr="00E23CB4">
        <w:rPr>
          <w:sz w:val="26"/>
          <w:szCs w:val="26"/>
        </w:rPr>
        <w:t xml:space="preserve">, </w:t>
      </w:r>
      <w:r w:rsidR="007473AC" w:rsidRPr="00E23CB4">
        <w:rPr>
          <w:sz w:val="26"/>
          <w:szCs w:val="26"/>
        </w:rPr>
        <w:t>as modified by</w:t>
      </w:r>
      <w:r w:rsidR="00243CC9" w:rsidRPr="00E23CB4">
        <w:rPr>
          <w:sz w:val="26"/>
          <w:szCs w:val="26"/>
        </w:rPr>
        <w:t xml:space="preserve"> this Opinion and Order</w:t>
      </w:r>
      <w:r w:rsidR="00EF782F" w:rsidRPr="00E23CB4">
        <w:rPr>
          <w:sz w:val="26"/>
          <w:szCs w:val="26"/>
        </w:rPr>
        <w:t>.</w:t>
      </w:r>
    </w:p>
    <w:p w:rsidR="00120C2F" w:rsidRDefault="00120C2F" w:rsidP="00F97807">
      <w:pPr>
        <w:spacing w:line="360" w:lineRule="auto"/>
        <w:rPr>
          <w:sz w:val="26"/>
          <w:szCs w:val="26"/>
        </w:rPr>
      </w:pPr>
    </w:p>
    <w:p w:rsidR="007473AC" w:rsidRDefault="0019251E" w:rsidP="007473AC">
      <w:pPr>
        <w:spacing w:line="360" w:lineRule="auto"/>
        <w:ind w:firstLine="1440"/>
        <w:rPr>
          <w:sz w:val="26"/>
          <w:szCs w:val="26"/>
        </w:rPr>
      </w:pPr>
      <w:r>
        <w:rPr>
          <w:sz w:val="26"/>
          <w:szCs w:val="26"/>
        </w:rPr>
        <w:t>2</w:t>
      </w:r>
      <w:r w:rsidR="00120C2F">
        <w:rPr>
          <w:sz w:val="26"/>
          <w:szCs w:val="26"/>
        </w:rPr>
        <w:t>.</w:t>
      </w:r>
      <w:r w:rsidR="00120C2F">
        <w:rPr>
          <w:sz w:val="26"/>
          <w:szCs w:val="26"/>
        </w:rPr>
        <w:tab/>
      </w:r>
      <w:r w:rsidR="007473AC">
        <w:rPr>
          <w:sz w:val="26"/>
          <w:szCs w:val="26"/>
        </w:rPr>
        <w:t>That the Complaint of Neh</w:t>
      </w:r>
      <w:r w:rsidR="005D74D6">
        <w:rPr>
          <w:sz w:val="26"/>
          <w:szCs w:val="26"/>
        </w:rPr>
        <w:t>emiah B. Thomas against PECO Energy Company, at Docket No. C-2010-2187197, is dismissed.</w:t>
      </w:r>
    </w:p>
    <w:p w:rsidR="00F24526" w:rsidRDefault="005D74D6" w:rsidP="001A1AD3">
      <w:pPr>
        <w:spacing w:line="360" w:lineRule="auto"/>
        <w:rPr>
          <w:sz w:val="26"/>
          <w:szCs w:val="26"/>
        </w:rPr>
      </w:pPr>
      <w:r>
        <w:rPr>
          <w:sz w:val="26"/>
          <w:szCs w:val="26"/>
        </w:rPr>
        <w:tab/>
      </w:r>
    </w:p>
    <w:p w:rsidR="005D74D6" w:rsidRDefault="005D74D6" w:rsidP="001A1AD3">
      <w:pPr>
        <w:spacing w:line="360" w:lineRule="auto"/>
        <w:rPr>
          <w:sz w:val="26"/>
          <w:szCs w:val="26"/>
        </w:rPr>
      </w:pPr>
      <w:r>
        <w:rPr>
          <w:sz w:val="26"/>
          <w:szCs w:val="26"/>
        </w:rPr>
        <w:tab/>
      </w:r>
      <w:r>
        <w:rPr>
          <w:sz w:val="26"/>
          <w:szCs w:val="26"/>
        </w:rPr>
        <w:tab/>
        <w:t>3.</w:t>
      </w:r>
      <w:r>
        <w:rPr>
          <w:sz w:val="26"/>
          <w:szCs w:val="26"/>
        </w:rPr>
        <w:tab/>
        <w:t xml:space="preserve">That the record at this docket be marked closed.  </w:t>
      </w:r>
    </w:p>
    <w:p w:rsidR="005D74D6" w:rsidRDefault="005D74D6" w:rsidP="001A1AD3">
      <w:pPr>
        <w:spacing w:line="360" w:lineRule="auto"/>
        <w:rPr>
          <w:sz w:val="26"/>
          <w:szCs w:val="26"/>
        </w:rPr>
      </w:pPr>
    </w:p>
    <w:p w:rsidR="00503B2F" w:rsidRPr="003C63B1" w:rsidRDefault="00F623BF" w:rsidP="0019251E">
      <w:pPr>
        <w:spacing w:line="360" w:lineRule="auto"/>
        <w:rPr>
          <w:sz w:val="26"/>
        </w:rPr>
      </w:pPr>
      <w:bookmarkStart w:id="0" w:name="_GoBack"/>
      <w:r w:rsidRPr="00A14635">
        <w:rPr>
          <w:noProof/>
        </w:rPr>
        <w:drawing>
          <wp:anchor distT="0" distB="0" distL="114300" distR="114300" simplePos="0" relativeHeight="251659264" behindDoc="1" locked="0" layoutInCell="1" allowOverlap="1" wp14:anchorId="229D2447" wp14:editId="01857B62">
            <wp:simplePos x="0" y="0"/>
            <wp:positionH relativeFrom="column">
              <wp:posOffset>2910840</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2E7206">
        <w:rPr>
          <w:sz w:val="26"/>
          <w:szCs w:val="26"/>
        </w:rPr>
        <w:tab/>
      </w:r>
      <w:r w:rsidR="002E7206">
        <w:rPr>
          <w:sz w:val="26"/>
          <w:szCs w:val="26"/>
        </w:rPr>
        <w:tab/>
      </w:r>
      <w:r w:rsidR="001A1AD3" w:rsidRPr="000D6043">
        <w:rPr>
          <w:sz w:val="26"/>
          <w:szCs w:val="26"/>
        </w:rPr>
        <w:tab/>
      </w:r>
      <w:r w:rsidR="001A1AD3" w:rsidRPr="000D6043">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19251E">
        <w:rPr>
          <w:sz w:val="26"/>
        </w:rPr>
        <w:t xml:space="preserve">October </w:t>
      </w:r>
      <w:r w:rsidR="005D74D6">
        <w:rPr>
          <w:sz w:val="26"/>
        </w:rPr>
        <w:t>28</w:t>
      </w:r>
      <w:r>
        <w:rPr>
          <w:sz w:val="26"/>
        </w:rPr>
        <w:t xml:space="preserve">, 2011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F623BF">
        <w:rPr>
          <w:sz w:val="26"/>
        </w:rPr>
        <w:t xml:space="preserve"> November 15, 2011</w:t>
      </w:r>
    </w:p>
    <w:p w:rsidR="009304FE" w:rsidRDefault="009304FE" w:rsidP="00503B2F">
      <w:pPr>
        <w:spacing w:line="360" w:lineRule="auto"/>
      </w:pPr>
    </w:p>
    <w:sectPr w:rsidR="009304FE"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FB" w:rsidRDefault="00671EFB">
      <w:r>
        <w:separator/>
      </w:r>
    </w:p>
  </w:endnote>
  <w:endnote w:type="continuationSeparator" w:id="0">
    <w:p w:rsidR="00671EFB" w:rsidRDefault="0067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F623BF">
      <w:rPr>
        <w:rStyle w:val="PageNumber"/>
        <w:noProof/>
      </w:rPr>
      <w:t>6</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FB" w:rsidRDefault="00671EFB">
      <w:r>
        <w:separator/>
      </w:r>
    </w:p>
  </w:footnote>
  <w:footnote w:type="continuationSeparator" w:id="0">
    <w:p w:rsidR="00671EFB" w:rsidRDefault="00671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149D1"/>
    <w:multiLevelType w:val="hybridMultilevel"/>
    <w:tmpl w:val="8F625034"/>
    <w:lvl w:ilvl="0" w:tplc="DAC2E0F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9"/>
  </w:num>
  <w:num w:numId="2">
    <w:abstractNumId w:val="2"/>
  </w:num>
  <w:num w:numId="3">
    <w:abstractNumId w:val="11"/>
  </w:num>
  <w:num w:numId="4">
    <w:abstractNumId w:val="4"/>
  </w:num>
  <w:num w:numId="5">
    <w:abstractNumId w:val="8"/>
  </w:num>
  <w:num w:numId="6">
    <w:abstractNumId w:val="5"/>
  </w:num>
  <w:num w:numId="7">
    <w:abstractNumId w:val="3"/>
  </w:num>
  <w:num w:numId="8">
    <w:abstractNumId w:val="6"/>
  </w:num>
  <w:num w:numId="9">
    <w:abstractNumId w:val="10"/>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3CB2"/>
    <w:rsid w:val="0003588B"/>
    <w:rsid w:val="00035F25"/>
    <w:rsid w:val="000378DC"/>
    <w:rsid w:val="0004071F"/>
    <w:rsid w:val="000416ED"/>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F62"/>
    <w:rsid w:val="000777D8"/>
    <w:rsid w:val="00080C6A"/>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B80"/>
    <w:rsid w:val="000B3FB4"/>
    <w:rsid w:val="000B4F29"/>
    <w:rsid w:val="000B5487"/>
    <w:rsid w:val="000B5DF8"/>
    <w:rsid w:val="000B71E3"/>
    <w:rsid w:val="000B77E2"/>
    <w:rsid w:val="000C4BFD"/>
    <w:rsid w:val="000C608B"/>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662E"/>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70A6"/>
    <w:rsid w:val="001D7137"/>
    <w:rsid w:val="001E05C6"/>
    <w:rsid w:val="001E0B29"/>
    <w:rsid w:val="001E19BC"/>
    <w:rsid w:val="001E1A53"/>
    <w:rsid w:val="001E2CFB"/>
    <w:rsid w:val="001E3574"/>
    <w:rsid w:val="001E4225"/>
    <w:rsid w:val="001E5B8E"/>
    <w:rsid w:val="001F0488"/>
    <w:rsid w:val="001F3BF4"/>
    <w:rsid w:val="001F3C68"/>
    <w:rsid w:val="001F4194"/>
    <w:rsid w:val="001F49F1"/>
    <w:rsid w:val="001F55D5"/>
    <w:rsid w:val="001F5F40"/>
    <w:rsid w:val="001F75D6"/>
    <w:rsid w:val="001F79C6"/>
    <w:rsid w:val="001F7B55"/>
    <w:rsid w:val="00203F27"/>
    <w:rsid w:val="00205242"/>
    <w:rsid w:val="00205B95"/>
    <w:rsid w:val="00206D03"/>
    <w:rsid w:val="00207453"/>
    <w:rsid w:val="0020784E"/>
    <w:rsid w:val="00210868"/>
    <w:rsid w:val="00210BB0"/>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1587"/>
    <w:rsid w:val="00282019"/>
    <w:rsid w:val="002830F0"/>
    <w:rsid w:val="00283433"/>
    <w:rsid w:val="002838E3"/>
    <w:rsid w:val="002851CE"/>
    <w:rsid w:val="002854BF"/>
    <w:rsid w:val="00285856"/>
    <w:rsid w:val="00285EB1"/>
    <w:rsid w:val="00286C9A"/>
    <w:rsid w:val="00287BE6"/>
    <w:rsid w:val="00290876"/>
    <w:rsid w:val="002911A8"/>
    <w:rsid w:val="00291657"/>
    <w:rsid w:val="002919FB"/>
    <w:rsid w:val="00296493"/>
    <w:rsid w:val="00297040"/>
    <w:rsid w:val="00297213"/>
    <w:rsid w:val="002A0E82"/>
    <w:rsid w:val="002A3250"/>
    <w:rsid w:val="002A3A6E"/>
    <w:rsid w:val="002A3AC8"/>
    <w:rsid w:val="002A5399"/>
    <w:rsid w:val="002A740E"/>
    <w:rsid w:val="002A782B"/>
    <w:rsid w:val="002B0089"/>
    <w:rsid w:val="002B03EA"/>
    <w:rsid w:val="002B31AD"/>
    <w:rsid w:val="002B3767"/>
    <w:rsid w:val="002B4B0D"/>
    <w:rsid w:val="002C011D"/>
    <w:rsid w:val="002C116F"/>
    <w:rsid w:val="002C4014"/>
    <w:rsid w:val="002C4311"/>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B42"/>
    <w:rsid w:val="00342149"/>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7D1"/>
    <w:rsid w:val="003F287E"/>
    <w:rsid w:val="003F3939"/>
    <w:rsid w:val="003F5CC4"/>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6953"/>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3EA"/>
    <w:rsid w:val="004A572B"/>
    <w:rsid w:val="004A6496"/>
    <w:rsid w:val="004A7831"/>
    <w:rsid w:val="004B1011"/>
    <w:rsid w:val="004B14C4"/>
    <w:rsid w:val="004B30C3"/>
    <w:rsid w:val="004B35DC"/>
    <w:rsid w:val="004C40E8"/>
    <w:rsid w:val="004C4F45"/>
    <w:rsid w:val="004C54A0"/>
    <w:rsid w:val="004C5B03"/>
    <w:rsid w:val="004C749A"/>
    <w:rsid w:val="004C7AC4"/>
    <w:rsid w:val="004D08F5"/>
    <w:rsid w:val="004D12A1"/>
    <w:rsid w:val="004D311C"/>
    <w:rsid w:val="004D34A0"/>
    <w:rsid w:val="004D362A"/>
    <w:rsid w:val="004D3C08"/>
    <w:rsid w:val="004D55FA"/>
    <w:rsid w:val="004D5A16"/>
    <w:rsid w:val="004D5B29"/>
    <w:rsid w:val="004D5E02"/>
    <w:rsid w:val="004D5F70"/>
    <w:rsid w:val="004D75D8"/>
    <w:rsid w:val="004E05E7"/>
    <w:rsid w:val="004E1757"/>
    <w:rsid w:val="004E2F35"/>
    <w:rsid w:val="004E3204"/>
    <w:rsid w:val="004E3FFF"/>
    <w:rsid w:val="004E58C3"/>
    <w:rsid w:val="004E65E9"/>
    <w:rsid w:val="004E75A8"/>
    <w:rsid w:val="004E7901"/>
    <w:rsid w:val="004E79BD"/>
    <w:rsid w:val="004F2383"/>
    <w:rsid w:val="004F23E9"/>
    <w:rsid w:val="004F2FF1"/>
    <w:rsid w:val="004F366A"/>
    <w:rsid w:val="004F3D3B"/>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564F"/>
    <w:rsid w:val="005673FC"/>
    <w:rsid w:val="00567F85"/>
    <w:rsid w:val="00572F46"/>
    <w:rsid w:val="00580871"/>
    <w:rsid w:val="0058183A"/>
    <w:rsid w:val="00584D1A"/>
    <w:rsid w:val="005850E9"/>
    <w:rsid w:val="00585605"/>
    <w:rsid w:val="00585FF4"/>
    <w:rsid w:val="00590A8E"/>
    <w:rsid w:val="005921ED"/>
    <w:rsid w:val="00592536"/>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5271"/>
    <w:rsid w:val="005C55BC"/>
    <w:rsid w:val="005D090E"/>
    <w:rsid w:val="005D33F7"/>
    <w:rsid w:val="005D40C7"/>
    <w:rsid w:val="005D436B"/>
    <w:rsid w:val="005D4382"/>
    <w:rsid w:val="005D4D4F"/>
    <w:rsid w:val="005D5B48"/>
    <w:rsid w:val="005D60FF"/>
    <w:rsid w:val="005D6922"/>
    <w:rsid w:val="005D74D6"/>
    <w:rsid w:val="005D75C3"/>
    <w:rsid w:val="005E0C51"/>
    <w:rsid w:val="005E214B"/>
    <w:rsid w:val="005E50A3"/>
    <w:rsid w:val="005E5393"/>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74A"/>
    <w:rsid w:val="00621F3C"/>
    <w:rsid w:val="00623C44"/>
    <w:rsid w:val="00625470"/>
    <w:rsid w:val="00625C7F"/>
    <w:rsid w:val="006301EB"/>
    <w:rsid w:val="006313B8"/>
    <w:rsid w:val="00631505"/>
    <w:rsid w:val="006327F5"/>
    <w:rsid w:val="0063491D"/>
    <w:rsid w:val="00636992"/>
    <w:rsid w:val="00640D08"/>
    <w:rsid w:val="00640D3D"/>
    <w:rsid w:val="00642706"/>
    <w:rsid w:val="00642A13"/>
    <w:rsid w:val="00642A8F"/>
    <w:rsid w:val="006437DA"/>
    <w:rsid w:val="00643ECB"/>
    <w:rsid w:val="0064401B"/>
    <w:rsid w:val="0064422C"/>
    <w:rsid w:val="00644D7F"/>
    <w:rsid w:val="00645170"/>
    <w:rsid w:val="006451ED"/>
    <w:rsid w:val="00645E6F"/>
    <w:rsid w:val="0065242B"/>
    <w:rsid w:val="00652638"/>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368"/>
    <w:rsid w:val="00666BF3"/>
    <w:rsid w:val="00667712"/>
    <w:rsid w:val="006706A5"/>
    <w:rsid w:val="006709E7"/>
    <w:rsid w:val="0067105F"/>
    <w:rsid w:val="00671138"/>
    <w:rsid w:val="0067116A"/>
    <w:rsid w:val="00671293"/>
    <w:rsid w:val="00671A52"/>
    <w:rsid w:val="00671D61"/>
    <w:rsid w:val="00671EFB"/>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1632"/>
    <w:rsid w:val="006B23FF"/>
    <w:rsid w:val="006B247F"/>
    <w:rsid w:val="006B3C0B"/>
    <w:rsid w:val="006B460D"/>
    <w:rsid w:val="006B59EF"/>
    <w:rsid w:val="006C0F2D"/>
    <w:rsid w:val="006C2D84"/>
    <w:rsid w:val="006C56A5"/>
    <w:rsid w:val="006C58A2"/>
    <w:rsid w:val="006C5BFF"/>
    <w:rsid w:val="006C5D46"/>
    <w:rsid w:val="006C5DAF"/>
    <w:rsid w:val="006C65F1"/>
    <w:rsid w:val="006D0207"/>
    <w:rsid w:val="006D04EE"/>
    <w:rsid w:val="006D250A"/>
    <w:rsid w:val="006D3169"/>
    <w:rsid w:val="006D590F"/>
    <w:rsid w:val="006D60A4"/>
    <w:rsid w:val="006D6E56"/>
    <w:rsid w:val="006E0ACD"/>
    <w:rsid w:val="006E19CA"/>
    <w:rsid w:val="006E270D"/>
    <w:rsid w:val="006E3777"/>
    <w:rsid w:val="006E50F1"/>
    <w:rsid w:val="006E7B1A"/>
    <w:rsid w:val="006F0018"/>
    <w:rsid w:val="006F32C7"/>
    <w:rsid w:val="006F381F"/>
    <w:rsid w:val="006F4482"/>
    <w:rsid w:val="006F45BC"/>
    <w:rsid w:val="006F472E"/>
    <w:rsid w:val="006F59DE"/>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881"/>
    <w:rsid w:val="00754AB5"/>
    <w:rsid w:val="0075617D"/>
    <w:rsid w:val="007564AB"/>
    <w:rsid w:val="00756930"/>
    <w:rsid w:val="00756975"/>
    <w:rsid w:val="00756DFA"/>
    <w:rsid w:val="00757C4B"/>
    <w:rsid w:val="007611CB"/>
    <w:rsid w:val="00761B0B"/>
    <w:rsid w:val="007631E0"/>
    <w:rsid w:val="00765781"/>
    <w:rsid w:val="00766353"/>
    <w:rsid w:val="00767CE0"/>
    <w:rsid w:val="00773BDD"/>
    <w:rsid w:val="00774460"/>
    <w:rsid w:val="00776EC9"/>
    <w:rsid w:val="00780296"/>
    <w:rsid w:val="00780707"/>
    <w:rsid w:val="00780972"/>
    <w:rsid w:val="00780E2F"/>
    <w:rsid w:val="00781C27"/>
    <w:rsid w:val="00787B2C"/>
    <w:rsid w:val="00787B36"/>
    <w:rsid w:val="00787D24"/>
    <w:rsid w:val="00791EEE"/>
    <w:rsid w:val="007946EB"/>
    <w:rsid w:val="0079543C"/>
    <w:rsid w:val="00795F8D"/>
    <w:rsid w:val="00796AEA"/>
    <w:rsid w:val="007A1316"/>
    <w:rsid w:val="007A1DC5"/>
    <w:rsid w:val="007A20AD"/>
    <w:rsid w:val="007A28CD"/>
    <w:rsid w:val="007A5D05"/>
    <w:rsid w:val="007A5E2B"/>
    <w:rsid w:val="007A7331"/>
    <w:rsid w:val="007A7415"/>
    <w:rsid w:val="007B0CB0"/>
    <w:rsid w:val="007B116D"/>
    <w:rsid w:val="007B1A13"/>
    <w:rsid w:val="007B1F99"/>
    <w:rsid w:val="007B27DF"/>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9CF"/>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65B1"/>
    <w:rsid w:val="007F0FF4"/>
    <w:rsid w:val="007F2683"/>
    <w:rsid w:val="007F2956"/>
    <w:rsid w:val="007F2E32"/>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6480"/>
    <w:rsid w:val="00830148"/>
    <w:rsid w:val="008316AD"/>
    <w:rsid w:val="00831855"/>
    <w:rsid w:val="00832D13"/>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A42"/>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A7AE9"/>
    <w:rsid w:val="008B0C5E"/>
    <w:rsid w:val="008B1D85"/>
    <w:rsid w:val="008B24E5"/>
    <w:rsid w:val="008B270A"/>
    <w:rsid w:val="008B3920"/>
    <w:rsid w:val="008B496B"/>
    <w:rsid w:val="008B5B9D"/>
    <w:rsid w:val="008B68C6"/>
    <w:rsid w:val="008B6F16"/>
    <w:rsid w:val="008B6F4B"/>
    <w:rsid w:val="008C0156"/>
    <w:rsid w:val="008C0189"/>
    <w:rsid w:val="008C0257"/>
    <w:rsid w:val="008C12FB"/>
    <w:rsid w:val="008C2607"/>
    <w:rsid w:val="008C465E"/>
    <w:rsid w:val="008C4CE4"/>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E91"/>
    <w:rsid w:val="00963876"/>
    <w:rsid w:val="00964CD3"/>
    <w:rsid w:val="00966051"/>
    <w:rsid w:val="00970E28"/>
    <w:rsid w:val="00973088"/>
    <w:rsid w:val="00974568"/>
    <w:rsid w:val="0097493A"/>
    <w:rsid w:val="0097619C"/>
    <w:rsid w:val="009765DF"/>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B28"/>
    <w:rsid w:val="009B4E8F"/>
    <w:rsid w:val="009B5E0E"/>
    <w:rsid w:val="009B75B8"/>
    <w:rsid w:val="009B7FCB"/>
    <w:rsid w:val="009C07DF"/>
    <w:rsid w:val="009C0E2E"/>
    <w:rsid w:val="009C1047"/>
    <w:rsid w:val="009C1908"/>
    <w:rsid w:val="009C190C"/>
    <w:rsid w:val="009C2436"/>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9DC"/>
    <w:rsid w:val="009E3FC0"/>
    <w:rsid w:val="009E44D4"/>
    <w:rsid w:val="009E455F"/>
    <w:rsid w:val="009E5645"/>
    <w:rsid w:val="009E56B4"/>
    <w:rsid w:val="009E67DD"/>
    <w:rsid w:val="009F00E2"/>
    <w:rsid w:val="009F43C3"/>
    <w:rsid w:val="009F4C44"/>
    <w:rsid w:val="009F61A9"/>
    <w:rsid w:val="009F6A19"/>
    <w:rsid w:val="00A020B4"/>
    <w:rsid w:val="00A02F3C"/>
    <w:rsid w:val="00A03358"/>
    <w:rsid w:val="00A043FE"/>
    <w:rsid w:val="00A044A3"/>
    <w:rsid w:val="00A05916"/>
    <w:rsid w:val="00A05AA6"/>
    <w:rsid w:val="00A06192"/>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716C"/>
    <w:rsid w:val="00A50DA6"/>
    <w:rsid w:val="00A511E6"/>
    <w:rsid w:val="00A52978"/>
    <w:rsid w:val="00A52C86"/>
    <w:rsid w:val="00A53130"/>
    <w:rsid w:val="00A5412B"/>
    <w:rsid w:val="00A55158"/>
    <w:rsid w:val="00A57DA5"/>
    <w:rsid w:val="00A6042C"/>
    <w:rsid w:val="00A628DE"/>
    <w:rsid w:val="00A63B97"/>
    <w:rsid w:val="00A64735"/>
    <w:rsid w:val="00A64AC6"/>
    <w:rsid w:val="00A666B7"/>
    <w:rsid w:val="00A66B50"/>
    <w:rsid w:val="00A677C0"/>
    <w:rsid w:val="00A67FAE"/>
    <w:rsid w:val="00A72556"/>
    <w:rsid w:val="00A72AF8"/>
    <w:rsid w:val="00A7322E"/>
    <w:rsid w:val="00A73601"/>
    <w:rsid w:val="00A7422E"/>
    <w:rsid w:val="00A746B4"/>
    <w:rsid w:val="00A80B08"/>
    <w:rsid w:val="00A81E64"/>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2BF"/>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7C0"/>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351"/>
    <w:rsid w:val="00C869F3"/>
    <w:rsid w:val="00C86F0C"/>
    <w:rsid w:val="00C87880"/>
    <w:rsid w:val="00C918DF"/>
    <w:rsid w:val="00C93939"/>
    <w:rsid w:val="00C93C0C"/>
    <w:rsid w:val="00C95721"/>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AE9"/>
    <w:rsid w:val="00D21282"/>
    <w:rsid w:val="00D21CD0"/>
    <w:rsid w:val="00D222D0"/>
    <w:rsid w:val="00D2292C"/>
    <w:rsid w:val="00D229F9"/>
    <w:rsid w:val="00D2377A"/>
    <w:rsid w:val="00D23D51"/>
    <w:rsid w:val="00D24A7F"/>
    <w:rsid w:val="00D30E85"/>
    <w:rsid w:val="00D325CD"/>
    <w:rsid w:val="00D32B20"/>
    <w:rsid w:val="00D33BAD"/>
    <w:rsid w:val="00D33F51"/>
    <w:rsid w:val="00D3501F"/>
    <w:rsid w:val="00D36224"/>
    <w:rsid w:val="00D40999"/>
    <w:rsid w:val="00D416AA"/>
    <w:rsid w:val="00D41FF6"/>
    <w:rsid w:val="00D4491E"/>
    <w:rsid w:val="00D45FDF"/>
    <w:rsid w:val="00D50742"/>
    <w:rsid w:val="00D50EE4"/>
    <w:rsid w:val="00D53BB6"/>
    <w:rsid w:val="00D540B2"/>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97D9B"/>
    <w:rsid w:val="00DA1938"/>
    <w:rsid w:val="00DA2CEC"/>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D05"/>
    <w:rsid w:val="00DE6CE8"/>
    <w:rsid w:val="00DE6DAB"/>
    <w:rsid w:val="00DE7AB3"/>
    <w:rsid w:val="00DF0036"/>
    <w:rsid w:val="00DF0724"/>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CB4"/>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3390"/>
    <w:rsid w:val="00ED3CE7"/>
    <w:rsid w:val="00ED64E6"/>
    <w:rsid w:val="00ED6560"/>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9C5"/>
    <w:rsid w:val="00EF7CD6"/>
    <w:rsid w:val="00F00694"/>
    <w:rsid w:val="00F00C8E"/>
    <w:rsid w:val="00F00E17"/>
    <w:rsid w:val="00F02ACE"/>
    <w:rsid w:val="00F04D8F"/>
    <w:rsid w:val="00F06195"/>
    <w:rsid w:val="00F061E4"/>
    <w:rsid w:val="00F06524"/>
    <w:rsid w:val="00F0674E"/>
    <w:rsid w:val="00F06FD3"/>
    <w:rsid w:val="00F07424"/>
    <w:rsid w:val="00F07D5F"/>
    <w:rsid w:val="00F12408"/>
    <w:rsid w:val="00F12DC2"/>
    <w:rsid w:val="00F139DD"/>
    <w:rsid w:val="00F13AE9"/>
    <w:rsid w:val="00F147F9"/>
    <w:rsid w:val="00F1522A"/>
    <w:rsid w:val="00F1579D"/>
    <w:rsid w:val="00F15AA1"/>
    <w:rsid w:val="00F167EB"/>
    <w:rsid w:val="00F1720D"/>
    <w:rsid w:val="00F177E3"/>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C10"/>
    <w:rsid w:val="00F50F89"/>
    <w:rsid w:val="00F52C7E"/>
    <w:rsid w:val="00F54ECE"/>
    <w:rsid w:val="00F550EA"/>
    <w:rsid w:val="00F55BED"/>
    <w:rsid w:val="00F5729E"/>
    <w:rsid w:val="00F57956"/>
    <w:rsid w:val="00F60783"/>
    <w:rsid w:val="00F60984"/>
    <w:rsid w:val="00F620AF"/>
    <w:rsid w:val="00F62172"/>
    <w:rsid w:val="00F623BF"/>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87775"/>
    <w:rsid w:val="00F923D8"/>
    <w:rsid w:val="00F93027"/>
    <w:rsid w:val="00F945B3"/>
    <w:rsid w:val="00F948A6"/>
    <w:rsid w:val="00F95BA3"/>
    <w:rsid w:val="00F96208"/>
    <w:rsid w:val="00F96664"/>
    <w:rsid w:val="00F97807"/>
    <w:rsid w:val="00FA1E4A"/>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79B"/>
    <w:rsid w:val="00FE63DF"/>
    <w:rsid w:val="00FE7460"/>
    <w:rsid w:val="00FE7B3B"/>
    <w:rsid w:val="00FF0555"/>
    <w:rsid w:val="00FF0F23"/>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B0B2-3649-446E-BC2C-53D5BB53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6</cp:revision>
  <cp:lastPrinted>2011-11-15T15:51:00Z</cp:lastPrinted>
  <dcterms:created xsi:type="dcterms:W3CDTF">2011-11-08T21:22:00Z</dcterms:created>
  <dcterms:modified xsi:type="dcterms:W3CDTF">2011-11-15T15:51:00Z</dcterms:modified>
</cp:coreProperties>
</file>