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52" w:rsidRPr="00FB1329" w:rsidRDefault="00324652" w:rsidP="00324652">
      <w:pPr>
        <w:tabs>
          <w:tab w:val="center" w:pos="4680"/>
        </w:tabs>
        <w:suppressAutoHyphens/>
        <w:jc w:val="center"/>
        <w:rPr>
          <w:b/>
          <w:bCs/>
          <w:spacing w:val="-3"/>
          <w:sz w:val="26"/>
          <w:szCs w:val="26"/>
        </w:rPr>
      </w:pPr>
      <w:bookmarkStart w:id="0" w:name="_GoBack"/>
      <w:bookmarkEnd w:id="0"/>
      <w:r w:rsidRPr="00FB1329">
        <w:rPr>
          <w:b/>
          <w:bCs/>
          <w:spacing w:val="-3"/>
          <w:sz w:val="26"/>
          <w:szCs w:val="26"/>
        </w:rPr>
        <w:t>PENNSYLVANIA</w:t>
      </w:r>
    </w:p>
    <w:p w:rsidR="00324652" w:rsidRPr="00FB1329" w:rsidRDefault="00324652" w:rsidP="00324652">
      <w:pPr>
        <w:tabs>
          <w:tab w:val="center" w:pos="4680"/>
        </w:tabs>
        <w:suppressAutoHyphens/>
        <w:jc w:val="center"/>
        <w:rPr>
          <w:b/>
          <w:bCs/>
          <w:spacing w:val="-3"/>
          <w:sz w:val="26"/>
          <w:szCs w:val="26"/>
        </w:rPr>
      </w:pPr>
      <w:r w:rsidRPr="00FB1329">
        <w:rPr>
          <w:b/>
          <w:bCs/>
          <w:spacing w:val="-3"/>
          <w:sz w:val="26"/>
          <w:szCs w:val="26"/>
        </w:rPr>
        <w:t>PUBLIC UTILITY COMMISSION</w:t>
      </w:r>
    </w:p>
    <w:p w:rsidR="00324652" w:rsidRPr="00FB1329" w:rsidRDefault="00324652" w:rsidP="00324652">
      <w:pPr>
        <w:tabs>
          <w:tab w:val="center" w:pos="4680"/>
        </w:tabs>
        <w:suppressAutoHyphens/>
        <w:jc w:val="center"/>
        <w:rPr>
          <w:b/>
          <w:bCs/>
          <w:spacing w:val="-3"/>
          <w:sz w:val="26"/>
          <w:szCs w:val="26"/>
        </w:rPr>
      </w:pPr>
      <w:r w:rsidRPr="00FB1329">
        <w:rPr>
          <w:b/>
          <w:bCs/>
          <w:spacing w:val="-3"/>
          <w:sz w:val="26"/>
          <w:szCs w:val="26"/>
        </w:rPr>
        <w:t>Harrisburg, PA  17105-3265</w:t>
      </w:r>
    </w:p>
    <w:p w:rsidR="00324652" w:rsidRPr="00FB1329" w:rsidRDefault="00324652" w:rsidP="00324652">
      <w:pPr>
        <w:tabs>
          <w:tab w:val="center" w:pos="4680"/>
        </w:tabs>
        <w:suppressAutoHyphens/>
        <w:jc w:val="center"/>
        <w:rPr>
          <w:b/>
          <w:bCs/>
          <w:spacing w:val="-3"/>
          <w:sz w:val="26"/>
          <w:szCs w:val="26"/>
        </w:rPr>
      </w:pPr>
    </w:p>
    <w:p w:rsidR="00324652" w:rsidRPr="00FB1329" w:rsidRDefault="00324652" w:rsidP="00324652">
      <w:pPr>
        <w:tabs>
          <w:tab w:val="center" w:pos="4680"/>
        </w:tabs>
        <w:suppressAutoHyphens/>
        <w:jc w:val="center"/>
        <w:rPr>
          <w:b/>
          <w:bCs/>
          <w:spacing w:val="-3"/>
          <w:sz w:val="26"/>
          <w:szCs w:val="26"/>
        </w:rPr>
      </w:pPr>
    </w:p>
    <w:p w:rsidR="00324652" w:rsidRPr="00FB1329" w:rsidRDefault="00324652" w:rsidP="00324652">
      <w:pPr>
        <w:tabs>
          <w:tab w:val="right" w:pos="9360"/>
        </w:tabs>
        <w:suppressAutoHyphens/>
        <w:rPr>
          <w:sz w:val="26"/>
          <w:szCs w:val="26"/>
        </w:rPr>
      </w:pPr>
      <w:r w:rsidRPr="00FB1329">
        <w:rPr>
          <w:sz w:val="26"/>
        </w:rPr>
        <w:tab/>
        <w:t>P</w:t>
      </w:r>
      <w:r w:rsidRPr="00FB1329">
        <w:rPr>
          <w:sz w:val="26"/>
          <w:szCs w:val="26"/>
        </w:rPr>
        <w:t xml:space="preserve">ublic Meeting held November 10, 2011 </w:t>
      </w:r>
    </w:p>
    <w:p w:rsidR="00324652" w:rsidRPr="00FB1329" w:rsidRDefault="00324652" w:rsidP="00324652">
      <w:pPr>
        <w:tabs>
          <w:tab w:val="left" w:pos="-720"/>
        </w:tabs>
        <w:suppressAutoHyphens/>
        <w:rPr>
          <w:sz w:val="26"/>
        </w:rPr>
      </w:pPr>
    </w:p>
    <w:p w:rsidR="00324652" w:rsidRPr="00FB1329" w:rsidRDefault="00324652" w:rsidP="00324652">
      <w:pPr>
        <w:tabs>
          <w:tab w:val="left" w:pos="-720"/>
        </w:tabs>
        <w:suppressAutoHyphens/>
        <w:rPr>
          <w:sz w:val="26"/>
        </w:rPr>
      </w:pPr>
      <w:r w:rsidRPr="00FB1329">
        <w:rPr>
          <w:sz w:val="26"/>
        </w:rPr>
        <w:t>Commissioners Present:</w:t>
      </w:r>
    </w:p>
    <w:p w:rsidR="00324652" w:rsidRPr="00FB1329" w:rsidRDefault="00324652" w:rsidP="00324652">
      <w:pPr>
        <w:tabs>
          <w:tab w:val="left" w:pos="-720"/>
        </w:tabs>
        <w:suppressAutoHyphens/>
        <w:rPr>
          <w:sz w:val="26"/>
        </w:rPr>
      </w:pPr>
    </w:p>
    <w:tbl>
      <w:tblPr>
        <w:tblW w:w="0" w:type="auto"/>
        <w:tblLayout w:type="fixed"/>
        <w:tblLook w:val="0000" w:firstRow="0" w:lastRow="0" w:firstColumn="0" w:lastColumn="0" w:noHBand="0" w:noVBand="0"/>
      </w:tblPr>
      <w:tblGrid>
        <w:gridCol w:w="9468"/>
      </w:tblGrid>
      <w:tr w:rsidR="00324652" w:rsidRPr="00FB1329" w:rsidTr="00566751">
        <w:tc>
          <w:tcPr>
            <w:tcW w:w="9468" w:type="dxa"/>
          </w:tcPr>
          <w:p w:rsidR="00324652" w:rsidRPr="00FB1329" w:rsidRDefault="00324652" w:rsidP="00566751">
            <w:pPr>
              <w:pStyle w:val="p5"/>
              <w:rPr>
                <w:szCs w:val="26"/>
              </w:rPr>
            </w:pPr>
            <w:r w:rsidRPr="00FB1329">
              <w:rPr>
                <w:szCs w:val="26"/>
              </w:rPr>
              <w:t>Robert F. Powelson, Chairman</w:t>
            </w:r>
          </w:p>
          <w:p w:rsidR="00324652" w:rsidRPr="00FB1329" w:rsidRDefault="00324652" w:rsidP="00566751">
            <w:pPr>
              <w:pStyle w:val="p5"/>
              <w:rPr>
                <w:szCs w:val="26"/>
              </w:rPr>
            </w:pPr>
            <w:r w:rsidRPr="00FB1329">
              <w:rPr>
                <w:szCs w:val="26"/>
              </w:rPr>
              <w:t>John F. Coleman, Jr., Vice Chairman</w:t>
            </w:r>
          </w:p>
        </w:tc>
      </w:tr>
      <w:tr w:rsidR="00324652" w:rsidRPr="00FB1329" w:rsidTr="00566751">
        <w:tc>
          <w:tcPr>
            <w:tcW w:w="9468" w:type="dxa"/>
          </w:tcPr>
          <w:p w:rsidR="00324652" w:rsidRPr="00FB1329" w:rsidRDefault="00324652" w:rsidP="00566751">
            <w:pPr>
              <w:pStyle w:val="p5"/>
              <w:rPr>
                <w:szCs w:val="26"/>
              </w:rPr>
            </w:pPr>
            <w:r w:rsidRPr="00FB1329">
              <w:rPr>
                <w:szCs w:val="26"/>
              </w:rPr>
              <w:t>Wayne E. Gardner</w:t>
            </w:r>
          </w:p>
          <w:p w:rsidR="00324652" w:rsidRPr="00FB1329" w:rsidRDefault="00324652" w:rsidP="00566751">
            <w:pPr>
              <w:pStyle w:val="p5"/>
              <w:rPr>
                <w:szCs w:val="26"/>
              </w:rPr>
            </w:pPr>
            <w:r w:rsidRPr="00FB1329">
              <w:rPr>
                <w:szCs w:val="26"/>
              </w:rPr>
              <w:t>James H. Cawley</w:t>
            </w:r>
          </w:p>
        </w:tc>
      </w:tr>
      <w:tr w:rsidR="00324652" w:rsidRPr="00FB1329" w:rsidTr="00566751">
        <w:tc>
          <w:tcPr>
            <w:tcW w:w="9468" w:type="dxa"/>
          </w:tcPr>
          <w:p w:rsidR="00324652" w:rsidRPr="00FB1329" w:rsidRDefault="00324652" w:rsidP="00566751">
            <w:pPr>
              <w:pStyle w:val="p5"/>
              <w:rPr>
                <w:szCs w:val="26"/>
              </w:rPr>
            </w:pPr>
            <w:r w:rsidRPr="00FB1329">
              <w:rPr>
                <w:szCs w:val="26"/>
              </w:rPr>
              <w:t>Pamela A. Witmer</w:t>
            </w:r>
            <w:r>
              <w:rPr>
                <w:szCs w:val="26"/>
              </w:rPr>
              <w:t>, Statement</w:t>
            </w:r>
          </w:p>
        </w:tc>
      </w:tr>
    </w:tbl>
    <w:p w:rsidR="00324652" w:rsidRPr="00FB1329" w:rsidRDefault="00324652" w:rsidP="00324652">
      <w:pPr>
        <w:tabs>
          <w:tab w:val="left" w:pos="-720"/>
        </w:tabs>
        <w:suppressAutoHyphens/>
        <w:jc w:val="both"/>
        <w:rPr>
          <w:spacing w:val="-3"/>
          <w:sz w:val="26"/>
          <w:szCs w:val="26"/>
        </w:rPr>
      </w:pPr>
    </w:p>
    <w:p w:rsidR="00324652" w:rsidRPr="00FB1329" w:rsidRDefault="00324652" w:rsidP="00324652">
      <w:pPr>
        <w:tabs>
          <w:tab w:val="left" w:pos="-720"/>
        </w:tabs>
        <w:suppressAutoHyphens/>
        <w:jc w:val="both"/>
        <w:rPr>
          <w:spacing w:val="-3"/>
          <w:sz w:val="26"/>
          <w:szCs w:val="26"/>
        </w:rPr>
      </w:pPr>
      <w:proofErr w:type="gramStart"/>
      <w:r w:rsidRPr="00FB1329">
        <w:rPr>
          <w:spacing w:val="-3"/>
          <w:sz w:val="26"/>
          <w:szCs w:val="26"/>
        </w:rPr>
        <w:t>Interim Guidelines</w:t>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t>Docket No.</w:t>
      </w:r>
      <w:proofErr w:type="gramEnd"/>
    </w:p>
    <w:p w:rsidR="00324652" w:rsidRPr="00FB1329" w:rsidRDefault="00324652" w:rsidP="00324652">
      <w:pPr>
        <w:tabs>
          <w:tab w:val="left" w:pos="-720"/>
        </w:tabs>
        <w:suppressAutoHyphens/>
        <w:jc w:val="both"/>
        <w:rPr>
          <w:spacing w:val="-3"/>
          <w:sz w:val="26"/>
          <w:szCs w:val="26"/>
        </w:rPr>
      </w:pPr>
      <w:r w:rsidRPr="00FB1329">
        <w:rPr>
          <w:spacing w:val="-3"/>
          <w:sz w:val="26"/>
          <w:szCs w:val="26"/>
        </w:rPr>
        <w:t xml:space="preserve">For Eligible Customer Lists </w:t>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r>
      <w:r w:rsidRPr="00FB1329">
        <w:rPr>
          <w:spacing w:val="-3"/>
          <w:sz w:val="26"/>
          <w:szCs w:val="26"/>
        </w:rPr>
        <w:tab/>
        <w:t>M-2010-2183412</w:t>
      </w:r>
    </w:p>
    <w:p w:rsidR="00324652" w:rsidRPr="00FB1329" w:rsidRDefault="00324652" w:rsidP="00324652">
      <w:pPr>
        <w:tabs>
          <w:tab w:val="left" w:pos="-720"/>
        </w:tabs>
        <w:suppressAutoHyphens/>
        <w:jc w:val="both"/>
        <w:rPr>
          <w:spacing w:val="-3"/>
          <w:sz w:val="26"/>
          <w:szCs w:val="26"/>
        </w:rPr>
      </w:pPr>
    </w:p>
    <w:p w:rsidR="00324652" w:rsidRPr="00FB1329" w:rsidRDefault="00324652" w:rsidP="00324652">
      <w:pPr>
        <w:tabs>
          <w:tab w:val="left" w:pos="-720"/>
        </w:tabs>
        <w:suppressAutoHyphens/>
        <w:jc w:val="both"/>
        <w:rPr>
          <w:spacing w:val="-3"/>
          <w:sz w:val="26"/>
          <w:szCs w:val="26"/>
        </w:rPr>
      </w:pPr>
      <w:r w:rsidRPr="00FB1329">
        <w:rPr>
          <w:spacing w:val="-3"/>
          <w:sz w:val="26"/>
          <w:szCs w:val="26"/>
        </w:rPr>
        <w:t>PPL Electric Utilities Corporation Retail Markets</w:t>
      </w:r>
      <w:r w:rsidRPr="00FB1329">
        <w:rPr>
          <w:spacing w:val="-3"/>
          <w:sz w:val="26"/>
          <w:szCs w:val="26"/>
        </w:rPr>
        <w:tab/>
      </w:r>
      <w:r w:rsidRPr="00FB1329">
        <w:rPr>
          <w:spacing w:val="-3"/>
          <w:sz w:val="26"/>
          <w:szCs w:val="26"/>
        </w:rPr>
        <w:tab/>
        <w:t>M-2009-2104271</w:t>
      </w:r>
    </w:p>
    <w:p w:rsidR="00324652" w:rsidRPr="00FB1329" w:rsidRDefault="00324652" w:rsidP="00324652">
      <w:pPr>
        <w:tabs>
          <w:tab w:val="left" w:pos="-720"/>
        </w:tabs>
        <w:suppressAutoHyphens/>
        <w:jc w:val="both"/>
        <w:rPr>
          <w:spacing w:val="-3"/>
          <w:sz w:val="26"/>
          <w:szCs w:val="26"/>
        </w:rPr>
      </w:pPr>
    </w:p>
    <w:p w:rsidR="00324652" w:rsidRPr="00FB1329" w:rsidRDefault="00324652" w:rsidP="00324652">
      <w:pPr>
        <w:tabs>
          <w:tab w:val="left" w:pos="-720"/>
        </w:tabs>
        <w:suppressAutoHyphens/>
        <w:jc w:val="both"/>
        <w:rPr>
          <w:spacing w:val="-3"/>
          <w:sz w:val="26"/>
          <w:szCs w:val="26"/>
        </w:rPr>
      </w:pPr>
      <w:r w:rsidRPr="00FB1329">
        <w:rPr>
          <w:spacing w:val="-3"/>
          <w:sz w:val="26"/>
          <w:szCs w:val="26"/>
        </w:rPr>
        <w:t>Petition of Duquesne Light Company for</w:t>
      </w:r>
    </w:p>
    <w:p w:rsidR="00324652" w:rsidRPr="00FB1329" w:rsidRDefault="00324652" w:rsidP="00324652">
      <w:pPr>
        <w:tabs>
          <w:tab w:val="left" w:pos="-720"/>
        </w:tabs>
        <w:suppressAutoHyphens/>
        <w:jc w:val="both"/>
        <w:rPr>
          <w:spacing w:val="-3"/>
          <w:sz w:val="26"/>
          <w:szCs w:val="26"/>
        </w:rPr>
      </w:pPr>
      <w:r w:rsidRPr="00FB1329">
        <w:rPr>
          <w:spacing w:val="-3"/>
          <w:sz w:val="26"/>
          <w:szCs w:val="26"/>
        </w:rPr>
        <w:t xml:space="preserve">Approval of Default Service Plan for the </w:t>
      </w:r>
      <w:r w:rsidRPr="00FB1329">
        <w:rPr>
          <w:spacing w:val="-3"/>
          <w:sz w:val="26"/>
          <w:szCs w:val="26"/>
        </w:rPr>
        <w:tab/>
      </w:r>
      <w:r w:rsidRPr="00FB1329">
        <w:rPr>
          <w:spacing w:val="-3"/>
          <w:sz w:val="26"/>
          <w:szCs w:val="26"/>
        </w:rPr>
        <w:tab/>
      </w:r>
      <w:r w:rsidRPr="00FB1329">
        <w:rPr>
          <w:spacing w:val="-3"/>
          <w:sz w:val="26"/>
          <w:szCs w:val="26"/>
        </w:rPr>
        <w:tab/>
      </w:r>
      <w:r w:rsidRPr="00FB1329">
        <w:rPr>
          <w:sz w:val="26"/>
          <w:szCs w:val="26"/>
        </w:rPr>
        <w:t>P-2009-2135500</w:t>
      </w:r>
    </w:p>
    <w:p w:rsidR="00324652" w:rsidRPr="00FB1329" w:rsidRDefault="00324652" w:rsidP="00324652">
      <w:pPr>
        <w:tabs>
          <w:tab w:val="left" w:pos="-720"/>
        </w:tabs>
        <w:suppressAutoHyphens/>
        <w:jc w:val="both"/>
        <w:rPr>
          <w:spacing w:val="-3"/>
          <w:sz w:val="26"/>
          <w:szCs w:val="26"/>
        </w:rPr>
      </w:pPr>
      <w:r w:rsidRPr="00FB1329">
        <w:rPr>
          <w:spacing w:val="-3"/>
          <w:sz w:val="26"/>
          <w:szCs w:val="26"/>
        </w:rPr>
        <w:t>Period January 1, 2011 through May 31, 2013</w:t>
      </w:r>
      <w:r w:rsidRPr="00FB1329">
        <w:rPr>
          <w:sz w:val="26"/>
          <w:szCs w:val="26"/>
        </w:rPr>
        <w:t xml:space="preserve"> </w:t>
      </w:r>
    </w:p>
    <w:p w:rsidR="00324652" w:rsidRPr="00FB1329" w:rsidRDefault="00324652" w:rsidP="00324652">
      <w:pPr>
        <w:tabs>
          <w:tab w:val="left" w:pos="-720"/>
        </w:tabs>
        <w:suppressAutoHyphens/>
        <w:jc w:val="both"/>
        <w:rPr>
          <w:spacing w:val="-3"/>
          <w:sz w:val="26"/>
          <w:szCs w:val="26"/>
        </w:rPr>
      </w:pPr>
    </w:p>
    <w:p w:rsidR="00324652" w:rsidRPr="00324652" w:rsidRDefault="00324652" w:rsidP="00324652">
      <w:pPr>
        <w:tabs>
          <w:tab w:val="left" w:pos="-720"/>
        </w:tabs>
        <w:suppressAutoHyphens/>
        <w:spacing w:line="360" w:lineRule="auto"/>
        <w:jc w:val="both"/>
        <w:rPr>
          <w:spacing w:val="-3"/>
          <w:sz w:val="26"/>
          <w:szCs w:val="26"/>
        </w:rPr>
      </w:pPr>
    </w:p>
    <w:p w:rsidR="00324652" w:rsidRPr="00324652" w:rsidRDefault="00324652" w:rsidP="00324652">
      <w:pPr>
        <w:jc w:val="center"/>
        <w:rPr>
          <w:sz w:val="26"/>
          <w:szCs w:val="26"/>
        </w:rPr>
      </w:pPr>
      <w:r w:rsidRPr="00324652">
        <w:rPr>
          <w:b/>
          <w:bCs/>
          <w:sz w:val="26"/>
          <w:szCs w:val="26"/>
          <w:u w:val="single"/>
        </w:rPr>
        <w:t xml:space="preserve">ERRATA NOTICE </w:t>
      </w:r>
    </w:p>
    <w:p w:rsidR="00324652" w:rsidRPr="00324652" w:rsidRDefault="00324652" w:rsidP="00324652">
      <w:pPr>
        <w:ind w:firstLine="1440"/>
        <w:jc w:val="center"/>
        <w:rPr>
          <w:sz w:val="26"/>
          <w:szCs w:val="26"/>
        </w:rPr>
      </w:pPr>
    </w:p>
    <w:p w:rsidR="00324652" w:rsidRPr="00324652" w:rsidRDefault="00324652" w:rsidP="00324652">
      <w:pPr>
        <w:ind w:firstLine="1440"/>
        <w:jc w:val="center"/>
        <w:rPr>
          <w:sz w:val="26"/>
          <w:szCs w:val="26"/>
        </w:rPr>
      </w:pPr>
    </w:p>
    <w:p w:rsidR="00324652" w:rsidRPr="00324652" w:rsidRDefault="00324652" w:rsidP="00190AF1">
      <w:pPr>
        <w:spacing w:line="360" w:lineRule="auto"/>
        <w:ind w:firstLine="1440"/>
        <w:rPr>
          <w:sz w:val="26"/>
          <w:szCs w:val="26"/>
        </w:rPr>
      </w:pPr>
      <w:r w:rsidRPr="00324652">
        <w:rPr>
          <w:sz w:val="26"/>
          <w:szCs w:val="26"/>
        </w:rPr>
        <w:t xml:space="preserve">This is to advise all parties of record that the </w:t>
      </w:r>
      <w:r w:rsidR="00F32BC0">
        <w:rPr>
          <w:sz w:val="26"/>
          <w:szCs w:val="26"/>
        </w:rPr>
        <w:t xml:space="preserve">Final </w:t>
      </w:r>
      <w:r w:rsidRPr="00324652">
        <w:rPr>
          <w:sz w:val="26"/>
          <w:szCs w:val="26"/>
        </w:rPr>
        <w:t xml:space="preserve">Order </w:t>
      </w:r>
      <w:r w:rsidR="00F32BC0">
        <w:rPr>
          <w:sz w:val="26"/>
          <w:szCs w:val="26"/>
        </w:rPr>
        <w:t xml:space="preserve">on Reconsideration </w:t>
      </w:r>
      <w:r w:rsidRPr="00324652">
        <w:rPr>
          <w:sz w:val="26"/>
          <w:szCs w:val="26"/>
        </w:rPr>
        <w:t xml:space="preserve">entered on </w:t>
      </w:r>
      <w:r>
        <w:rPr>
          <w:sz w:val="26"/>
          <w:szCs w:val="26"/>
        </w:rPr>
        <w:t>November 15, 2011</w:t>
      </w:r>
      <w:r w:rsidRPr="00324652">
        <w:rPr>
          <w:sz w:val="26"/>
          <w:szCs w:val="26"/>
        </w:rPr>
        <w:t>, in the above-captioned proceeding contain</w:t>
      </w:r>
      <w:r w:rsidR="008835E5">
        <w:rPr>
          <w:sz w:val="26"/>
          <w:szCs w:val="26"/>
        </w:rPr>
        <w:t>ed</w:t>
      </w:r>
      <w:r>
        <w:rPr>
          <w:sz w:val="26"/>
          <w:szCs w:val="26"/>
        </w:rPr>
        <w:t xml:space="preserve"> an</w:t>
      </w:r>
      <w:r w:rsidRPr="00324652">
        <w:rPr>
          <w:sz w:val="26"/>
          <w:szCs w:val="26"/>
        </w:rPr>
        <w:t xml:space="preserve"> error </w:t>
      </w:r>
      <w:r w:rsidRPr="001D196D">
        <w:rPr>
          <w:sz w:val="26"/>
          <w:szCs w:val="26"/>
        </w:rPr>
        <w:t>on Page 17.</w:t>
      </w:r>
    </w:p>
    <w:p w:rsidR="00324652" w:rsidRPr="00324652" w:rsidRDefault="00324652" w:rsidP="00190AF1">
      <w:pPr>
        <w:spacing w:line="360" w:lineRule="auto"/>
        <w:ind w:firstLine="1440"/>
        <w:rPr>
          <w:sz w:val="26"/>
          <w:szCs w:val="26"/>
        </w:rPr>
      </w:pPr>
    </w:p>
    <w:p w:rsidR="00324652" w:rsidRPr="00324652" w:rsidRDefault="008835E5" w:rsidP="00190AF1">
      <w:pPr>
        <w:spacing w:line="360" w:lineRule="auto"/>
        <w:ind w:firstLine="1440"/>
        <w:rPr>
          <w:sz w:val="26"/>
          <w:szCs w:val="26"/>
        </w:rPr>
      </w:pPr>
      <w:r>
        <w:rPr>
          <w:sz w:val="26"/>
          <w:szCs w:val="26"/>
        </w:rPr>
        <w:t xml:space="preserve">The discussion of items on the ECL in the first full paragraph </w:t>
      </w:r>
      <w:r w:rsidR="00324652">
        <w:rPr>
          <w:sz w:val="26"/>
          <w:szCs w:val="26"/>
        </w:rPr>
        <w:t>included “</w:t>
      </w:r>
      <w:r w:rsidR="00324652" w:rsidRPr="00312E09">
        <w:rPr>
          <w:strike/>
          <w:sz w:val="26"/>
          <w:szCs w:val="26"/>
        </w:rPr>
        <w:t>telephone number</w:t>
      </w:r>
      <w:r w:rsidR="00324652">
        <w:rPr>
          <w:sz w:val="26"/>
          <w:szCs w:val="26"/>
        </w:rPr>
        <w:t xml:space="preserve">” </w:t>
      </w:r>
      <w:r w:rsidR="00312E09">
        <w:rPr>
          <w:sz w:val="26"/>
          <w:szCs w:val="26"/>
        </w:rPr>
        <w:t>which</w:t>
      </w:r>
      <w:r w:rsidR="001D196D">
        <w:rPr>
          <w:sz w:val="26"/>
          <w:szCs w:val="26"/>
        </w:rPr>
        <w:t>,</w:t>
      </w:r>
      <w:r w:rsidR="00312E09">
        <w:rPr>
          <w:sz w:val="26"/>
          <w:szCs w:val="26"/>
        </w:rPr>
        <w:t xml:space="preserve"> while correctly stricken out, should not have appeared at</w:t>
      </w:r>
      <w:r w:rsidR="001D196D">
        <w:rPr>
          <w:sz w:val="26"/>
          <w:szCs w:val="26"/>
        </w:rPr>
        <w:t xml:space="preserve"> all.  </w:t>
      </w:r>
      <w:r>
        <w:rPr>
          <w:sz w:val="26"/>
          <w:szCs w:val="26"/>
        </w:rPr>
        <w:t>A corrected page 17 is attached for your convenience.</w:t>
      </w:r>
    </w:p>
    <w:p w:rsidR="00FF6B69" w:rsidRDefault="00FF6B69">
      <w:pPr>
        <w:spacing w:after="200" w:line="276" w:lineRule="auto"/>
        <w:rPr>
          <w:sz w:val="26"/>
          <w:szCs w:val="26"/>
        </w:rPr>
        <w:sectPr w:rsidR="00FF6B69" w:rsidSect="00FF6B69">
          <w:footerReference w:type="default" r:id="rId8"/>
          <w:pgSz w:w="12240" w:h="15840"/>
          <w:pgMar w:top="1440" w:right="1440" w:bottom="1440" w:left="1440" w:header="720" w:footer="720" w:gutter="0"/>
          <w:pgNumType w:start="17"/>
          <w:cols w:space="720"/>
          <w:docGrid w:linePitch="360"/>
        </w:sectPr>
      </w:pPr>
      <w:r>
        <w:rPr>
          <w:sz w:val="26"/>
          <w:szCs w:val="26"/>
        </w:rPr>
        <w:br w:type="page"/>
      </w:r>
    </w:p>
    <w:p w:rsidR="00FF6B69" w:rsidRDefault="00FF6B69" w:rsidP="00FF6B69">
      <w:pPr>
        <w:ind w:left="1440" w:right="1728"/>
        <w:rPr>
          <w:sz w:val="26"/>
          <w:szCs w:val="26"/>
        </w:rPr>
      </w:pPr>
      <w:proofErr w:type="gramStart"/>
      <w:r>
        <w:rPr>
          <w:sz w:val="26"/>
          <w:szCs w:val="26"/>
        </w:rPr>
        <w:lastRenderedPageBreak/>
        <w:t>proof</w:t>
      </w:r>
      <w:proofErr w:type="gramEnd"/>
      <w:r>
        <w:rPr>
          <w:sz w:val="26"/>
          <w:szCs w:val="26"/>
        </w:rPr>
        <w:t xml:space="preserve"> of fraud, bad faith or abuse of discretion, a decision of the PUC will stand. </w:t>
      </w:r>
    </w:p>
    <w:p w:rsidR="00FF6B69" w:rsidRDefault="00FF6B69" w:rsidP="00FF6B69">
      <w:pPr>
        <w:ind w:left="1440" w:right="1728" w:firstLine="360"/>
        <w:rPr>
          <w:sz w:val="26"/>
          <w:szCs w:val="26"/>
        </w:rPr>
      </w:pPr>
    </w:p>
    <w:p w:rsidR="00FF6B69" w:rsidRDefault="00FF6B69" w:rsidP="00FF6B69">
      <w:pPr>
        <w:ind w:left="1440" w:right="1728" w:firstLine="360"/>
        <w:rPr>
          <w:sz w:val="26"/>
          <w:szCs w:val="26"/>
        </w:rPr>
      </w:pPr>
      <w:r>
        <w:rPr>
          <w:sz w:val="26"/>
          <w:szCs w:val="26"/>
        </w:rPr>
        <w:t xml:space="preserve">The PUC's Final Order enabled the customer to restrict any information from being divulged to Suppliers, at the same time it afforded the customer the opportunity to participate in the program. The PUC properly exercised its discretion and preserved the delicate balance between a viable and competitive marketplace and customer privacy. </w:t>
      </w:r>
    </w:p>
    <w:p w:rsidR="00FF6B69" w:rsidRDefault="00FF6B69" w:rsidP="00FF6B69">
      <w:pPr>
        <w:rPr>
          <w:sz w:val="26"/>
          <w:szCs w:val="26"/>
        </w:rPr>
      </w:pPr>
    </w:p>
    <w:p w:rsidR="00FF6B69" w:rsidRDefault="00FF6B69" w:rsidP="00FF6B69">
      <w:pPr>
        <w:spacing w:line="360" w:lineRule="auto"/>
        <w:rPr>
          <w:sz w:val="26"/>
          <w:szCs w:val="26"/>
        </w:rPr>
      </w:pPr>
      <w:proofErr w:type="gramStart"/>
      <w:r>
        <w:rPr>
          <w:i/>
          <w:sz w:val="26"/>
          <w:szCs w:val="26"/>
        </w:rPr>
        <w:t>Mid-Atlantic Power Supply Association v. Pa. PUC</w:t>
      </w:r>
      <w:r>
        <w:rPr>
          <w:sz w:val="26"/>
          <w:szCs w:val="26"/>
        </w:rPr>
        <w:t xml:space="preserve">, 746 A.2d 1196, 1201 (Pa. Cmwlth. 2000), </w:t>
      </w:r>
      <w:r>
        <w:rPr>
          <w:i/>
          <w:sz w:val="26"/>
          <w:szCs w:val="26"/>
        </w:rPr>
        <w:t>citation omitted</w:t>
      </w:r>
      <w:r>
        <w:rPr>
          <w:sz w:val="26"/>
          <w:szCs w:val="26"/>
        </w:rPr>
        <w:t>.</w:t>
      </w:r>
      <w:proofErr w:type="gramEnd"/>
      <w:r>
        <w:rPr>
          <w:sz w:val="26"/>
          <w:szCs w:val="26"/>
        </w:rPr>
        <w:t xml:space="preserve">  The court agreed that the Commission had struck the appropriate balance between customer privacy and implementation of retail competition pursuant to Chapter 28 and, based on our review of the comments in this reconsideration proceeding, we shall continue that same balance and allow customers to withhold account information by means of the opt-out process.</w:t>
      </w:r>
    </w:p>
    <w:p w:rsidR="00FF6B69" w:rsidRDefault="00FF6B69" w:rsidP="00FF6B69">
      <w:pPr>
        <w:spacing w:line="360" w:lineRule="auto"/>
        <w:rPr>
          <w:sz w:val="26"/>
          <w:szCs w:val="26"/>
        </w:rPr>
      </w:pPr>
    </w:p>
    <w:p w:rsidR="00FF6B69" w:rsidRDefault="00FF6B69" w:rsidP="00FF6B69">
      <w:pPr>
        <w:spacing w:line="360" w:lineRule="auto"/>
        <w:rPr>
          <w:sz w:val="26"/>
          <w:szCs w:val="26"/>
        </w:rPr>
      </w:pPr>
      <w:r>
        <w:rPr>
          <w:sz w:val="26"/>
          <w:szCs w:val="26"/>
        </w:rPr>
        <w:tab/>
        <w:t xml:space="preserve">While we are not altering our </w:t>
      </w:r>
      <w:r>
        <w:rPr>
          <w:b/>
          <w:sz w:val="26"/>
          <w:szCs w:val="26"/>
        </w:rPr>
        <w:t>interim guidelines</w:t>
      </w:r>
      <w:r>
        <w:rPr>
          <w:sz w:val="26"/>
          <w:szCs w:val="26"/>
        </w:rPr>
        <w:t xml:space="preserve"> regarding the method by which customers are able to exercise their right to restrict disclosure of their account and usage information, in terms of opt-out process details, EDCs should take reasonable steps to make sure customers are aware of what their choice means, how the information would be used, and clear instruction on how to opt-out.  Therefore, in the EDC’s customer solicitation and other customer contacts, it must be made clear that if a customer does not take affirmative action to opt-out, by return post card, via Internet website or by calling a toll free telephone number, the customer’s name, address, account number, and usage will be included on the ECL and made available to licensed EGSs.  </w:t>
      </w:r>
    </w:p>
    <w:p w:rsidR="00FF6B69" w:rsidRDefault="00FF6B69" w:rsidP="00FF6B69">
      <w:pPr>
        <w:spacing w:line="360" w:lineRule="auto"/>
        <w:rPr>
          <w:sz w:val="26"/>
          <w:szCs w:val="26"/>
        </w:rPr>
      </w:pPr>
    </w:p>
    <w:p w:rsidR="00FF6B69" w:rsidRDefault="00FF6B69" w:rsidP="00FF6B69">
      <w:pPr>
        <w:spacing w:line="360" w:lineRule="auto"/>
        <w:ind w:firstLine="720"/>
        <w:rPr>
          <w:sz w:val="26"/>
          <w:szCs w:val="26"/>
        </w:rPr>
      </w:pPr>
      <w:r>
        <w:rPr>
          <w:sz w:val="26"/>
          <w:szCs w:val="26"/>
        </w:rPr>
        <w:t xml:space="preserve">Accordingly, on reconsideration, our </w:t>
      </w:r>
      <w:r>
        <w:rPr>
          <w:b/>
          <w:sz w:val="26"/>
          <w:szCs w:val="26"/>
        </w:rPr>
        <w:t>interim guidelines</w:t>
      </w:r>
      <w:r>
        <w:rPr>
          <w:sz w:val="26"/>
          <w:szCs w:val="26"/>
        </w:rPr>
        <w:t xml:space="preserve"> on use of the opt-out process shall continue and, similarly, the </w:t>
      </w:r>
      <w:r>
        <w:rPr>
          <w:i/>
          <w:sz w:val="26"/>
          <w:szCs w:val="26"/>
        </w:rPr>
        <w:t>PPL</w:t>
      </w:r>
      <w:r>
        <w:rPr>
          <w:sz w:val="26"/>
          <w:szCs w:val="26"/>
        </w:rPr>
        <w:t xml:space="preserve"> and </w:t>
      </w:r>
      <w:r>
        <w:rPr>
          <w:i/>
          <w:sz w:val="26"/>
          <w:szCs w:val="26"/>
        </w:rPr>
        <w:t>Duquesne</w:t>
      </w:r>
      <w:r>
        <w:rPr>
          <w:sz w:val="26"/>
          <w:szCs w:val="26"/>
        </w:rPr>
        <w:t xml:space="preserve"> order shall remain unchanged in this regard. </w:t>
      </w:r>
    </w:p>
    <w:p w:rsidR="00696C9C" w:rsidRPr="00324652" w:rsidRDefault="00696C9C" w:rsidP="00190AF1">
      <w:pPr>
        <w:rPr>
          <w:sz w:val="26"/>
          <w:szCs w:val="26"/>
        </w:rPr>
      </w:pPr>
    </w:p>
    <w:sectPr w:rsidR="00696C9C" w:rsidRPr="00324652" w:rsidSect="00FF6B69">
      <w:headerReference w:type="default" r:id="rId9"/>
      <w:footerReference w:type="default" r:id="rId10"/>
      <w:pgSz w:w="12240" w:h="15840"/>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5FC" w:rsidRDefault="00BD65FC" w:rsidP="00FF6B69">
      <w:r>
        <w:separator/>
      </w:r>
    </w:p>
  </w:endnote>
  <w:endnote w:type="continuationSeparator" w:id="0">
    <w:p w:rsidR="00BD65FC" w:rsidRDefault="00BD65FC" w:rsidP="00FF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69" w:rsidRDefault="00FF6B69">
    <w:pPr>
      <w:pStyle w:val="Footer"/>
      <w:jc w:val="center"/>
    </w:pPr>
  </w:p>
  <w:p w:rsidR="00FF6B69" w:rsidRDefault="00FF6B69" w:rsidP="00FF6B69">
    <w:pPr>
      <w:pStyle w:val="Footer"/>
      <w:tabs>
        <w:tab w:val="clear" w:pos="4680"/>
        <w:tab w:val="clear" w:pos="9360"/>
        <w:tab w:val="left" w:pos="38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69" w:rsidRDefault="00FF6B69">
    <w:pPr>
      <w:pStyle w:val="Footer"/>
      <w:jc w:val="center"/>
    </w:pPr>
    <w:r>
      <w:t>17</w:t>
    </w:r>
  </w:p>
  <w:p w:rsidR="00FF6B69" w:rsidRDefault="00FF6B69" w:rsidP="00FF6B69">
    <w:pPr>
      <w:pStyle w:val="Footer"/>
      <w:tabs>
        <w:tab w:val="clear" w:pos="4680"/>
        <w:tab w:val="clear" w:pos="9360"/>
        <w:tab w:val="left" w:pos="38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5FC" w:rsidRDefault="00BD65FC" w:rsidP="00FF6B69">
      <w:r>
        <w:separator/>
      </w:r>
    </w:p>
  </w:footnote>
  <w:footnote w:type="continuationSeparator" w:id="0">
    <w:p w:rsidR="00BD65FC" w:rsidRDefault="00BD65FC" w:rsidP="00FF6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6F7" w:rsidRPr="00F476F7" w:rsidRDefault="00F476F7" w:rsidP="00F476F7">
    <w:pPr>
      <w:pStyle w:val="Header"/>
    </w:pPr>
    <w:r>
      <w:t>CORRECTED PAGE 17 FROM THE ORDER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52"/>
    <w:rsid w:val="00021B8D"/>
    <w:rsid w:val="000F5696"/>
    <w:rsid w:val="00190AF1"/>
    <w:rsid w:val="001D196D"/>
    <w:rsid w:val="002C1C4C"/>
    <w:rsid w:val="00312E09"/>
    <w:rsid w:val="00324652"/>
    <w:rsid w:val="00696C9C"/>
    <w:rsid w:val="008835E5"/>
    <w:rsid w:val="009D0166"/>
    <w:rsid w:val="00BD65FC"/>
    <w:rsid w:val="00EF29F1"/>
    <w:rsid w:val="00F32BC0"/>
    <w:rsid w:val="00F476F7"/>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5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324652"/>
    <w:pPr>
      <w:widowControl w:val="0"/>
      <w:tabs>
        <w:tab w:val="left" w:pos="391"/>
      </w:tabs>
      <w:autoSpaceDE w:val="0"/>
      <w:autoSpaceDN w:val="0"/>
      <w:adjustRightInd w:val="0"/>
      <w:ind w:left="1049"/>
    </w:pPr>
    <w:rPr>
      <w:rFonts w:eastAsiaTheme="minorHAnsi"/>
      <w:sz w:val="26"/>
    </w:rPr>
  </w:style>
  <w:style w:type="paragraph" w:styleId="Header">
    <w:name w:val="header"/>
    <w:basedOn w:val="Normal"/>
    <w:link w:val="HeaderChar"/>
    <w:uiPriority w:val="99"/>
    <w:unhideWhenUsed/>
    <w:rsid w:val="00FF6B69"/>
    <w:pPr>
      <w:tabs>
        <w:tab w:val="center" w:pos="4680"/>
        <w:tab w:val="right" w:pos="9360"/>
      </w:tabs>
    </w:pPr>
  </w:style>
  <w:style w:type="character" w:customStyle="1" w:styleId="HeaderChar">
    <w:name w:val="Header Char"/>
    <w:basedOn w:val="DefaultParagraphFont"/>
    <w:link w:val="Header"/>
    <w:uiPriority w:val="99"/>
    <w:rsid w:val="00FF6B69"/>
    <w:rPr>
      <w:rFonts w:eastAsia="Times New Roman" w:cs="Times New Roman"/>
      <w:sz w:val="24"/>
      <w:szCs w:val="24"/>
    </w:rPr>
  </w:style>
  <w:style w:type="paragraph" w:styleId="Footer">
    <w:name w:val="footer"/>
    <w:basedOn w:val="Normal"/>
    <w:link w:val="FooterChar"/>
    <w:uiPriority w:val="99"/>
    <w:unhideWhenUsed/>
    <w:rsid w:val="00FF6B69"/>
    <w:pPr>
      <w:tabs>
        <w:tab w:val="center" w:pos="4680"/>
        <w:tab w:val="right" w:pos="9360"/>
      </w:tabs>
    </w:pPr>
  </w:style>
  <w:style w:type="character" w:customStyle="1" w:styleId="FooterChar">
    <w:name w:val="Footer Char"/>
    <w:basedOn w:val="DefaultParagraphFont"/>
    <w:link w:val="Footer"/>
    <w:uiPriority w:val="99"/>
    <w:rsid w:val="00FF6B69"/>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5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324652"/>
    <w:pPr>
      <w:widowControl w:val="0"/>
      <w:tabs>
        <w:tab w:val="left" w:pos="391"/>
      </w:tabs>
      <w:autoSpaceDE w:val="0"/>
      <w:autoSpaceDN w:val="0"/>
      <w:adjustRightInd w:val="0"/>
      <w:ind w:left="1049"/>
    </w:pPr>
    <w:rPr>
      <w:rFonts w:eastAsiaTheme="minorHAnsi"/>
      <w:sz w:val="26"/>
    </w:rPr>
  </w:style>
  <w:style w:type="paragraph" w:styleId="Header">
    <w:name w:val="header"/>
    <w:basedOn w:val="Normal"/>
    <w:link w:val="HeaderChar"/>
    <w:uiPriority w:val="99"/>
    <w:unhideWhenUsed/>
    <w:rsid w:val="00FF6B69"/>
    <w:pPr>
      <w:tabs>
        <w:tab w:val="center" w:pos="4680"/>
        <w:tab w:val="right" w:pos="9360"/>
      </w:tabs>
    </w:pPr>
  </w:style>
  <w:style w:type="character" w:customStyle="1" w:styleId="HeaderChar">
    <w:name w:val="Header Char"/>
    <w:basedOn w:val="DefaultParagraphFont"/>
    <w:link w:val="Header"/>
    <w:uiPriority w:val="99"/>
    <w:rsid w:val="00FF6B69"/>
    <w:rPr>
      <w:rFonts w:eastAsia="Times New Roman" w:cs="Times New Roman"/>
      <w:sz w:val="24"/>
      <w:szCs w:val="24"/>
    </w:rPr>
  </w:style>
  <w:style w:type="paragraph" w:styleId="Footer">
    <w:name w:val="footer"/>
    <w:basedOn w:val="Normal"/>
    <w:link w:val="FooterChar"/>
    <w:uiPriority w:val="99"/>
    <w:unhideWhenUsed/>
    <w:rsid w:val="00FF6B69"/>
    <w:pPr>
      <w:tabs>
        <w:tab w:val="center" w:pos="4680"/>
        <w:tab w:val="right" w:pos="9360"/>
      </w:tabs>
    </w:pPr>
  </w:style>
  <w:style w:type="character" w:customStyle="1" w:styleId="FooterChar">
    <w:name w:val="Footer Char"/>
    <w:basedOn w:val="DefaultParagraphFont"/>
    <w:link w:val="Footer"/>
    <w:uiPriority w:val="99"/>
    <w:rsid w:val="00FF6B6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520F-0FC5-40EF-AA0A-1DC42C54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dmaher</cp:lastModifiedBy>
  <cp:revision>4</cp:revision>
  <dcterms:created xsi:type="dcterms:W3CDTF">2011-11-28T21:33:00Z</dcterms:created>
  <dcterms:modified xsi:type="dcterms:W3CDTF">2011-11-28T21:35:00Z</dcterms:modified>
</cp:coreProperties>
</file>