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916AB5" w:rsidP="00AF603D">
      <w:pPr>
        <w:spacing w:line="240" w:lineRule="auto"/>
        <w:contextualSpacing/>
        <w:rPr>
          <w:b/>
        </w:rPr>
      </w:pPr>
      <w:r>
        <w:rPr>
          <w:b/>
        </w:rPr>
        <w:t xml:space="preserve">BEFORE THE </w:t>
      </w:r>
    </w:p>
    <w:p w:rsidR="00916AB5" w:rsidRDefault="00916AB5" w:rsidP="00AF603D">
      <w:pPr>
        <w:spacing w:line="240" w:lineRule="auto"/>
        <w:contextualSpacing/>
        <w:rPr>
          <w:b/>
        </w:rPr>
      </w:pPr>
      <w:r>
        <w:rPr>
          <w:b/>
        </w:rPr>
        <w:t>PENNSYLVANIA PUBLIC UTILITY COMMISSION</w:t>
      </w:r>
    </w:p>
    <w:p w:rsidR="00916AB5" w:rsidRDefault="00916AB5" w:rsidP="00AF603D">
      <w:pPr>
        <w:spacing w:line="240" w:lineRule="auto"/>
        <w:contextualSpacing/>
        <w:rPr>
          <w:b/>
        </w:rPr>
      </w:pPr>
    </w:p>
    <w:p w:rsidR="00AF603D" w:rsidRDefault="00AF603D" w:rsidP="00AF603D">
      <w:pPr>
        <w:spacing w:line="240" w:lineRule="auto"/>
        <w:contextualSpacing/>
        <w:rPr>
          <w:b/>
        </w:rPr>
      </w:pPr>
    </w:p>
    <w:p w:rsidR="00AF603D" w:rsidRDefault="00AF603D" w:rsidP="00AF603D">
      <w:pPr>
        <w:spacing w:line="240" w:lineRule="auto"/>
        <w:contextualSpacing/>
        <w:rPr>
          <w:b/>
        </w:rPr>
      </w:pPr>
    </w:p>
    <w:p w:rsidR="00916AB5" w:rsidRDefault="00916AB5" w:rsidP="00AF603D">
      <w:pPr>
        <w:spacing w:line="240" w:lineRule="auto"/>
        <w:contextualSpacing/>
        <w:jc w:val="left"/>
      </w:pPr>
      <w:r>
        <w:t>Rennae Taylor</w:t>
      </w:r>
      <w:r>
        <w:tab/>
      </w:r>
      <w:r>
        <w:tab/>
      </w:r>
      <w:r>
        <w:tab/>
      </w:r>
      <w:r>
        <w:tab/>
      </w:r>
      <w:r>
        <w:tab/>
      </w:r>
      <w:r>
        <w:tab/>
        <w:t>:</w:t>
      </w:r>
    </w:p>
    <w:p w:rsidR="00916AB5" w:rsidRDefault="00916AB5" w:rsidP="00AF603D">
      <w:pPr>
        <w:spacing w:line="240" w:lineRule="auto"/>
        <w:contextualSpacing/>
        <w:jc w:val="left"/>
      </w:pPr>
      <w:r>
        <w:tab/>
      </w:r>
      <w:r>
        <w:tab/>
      </w:r>
      <w:r>
        <w:tab/>
      </w:r>
      <w:r>
        <w:tab/>
      </w:r>
      <w:r>
        <w:tab/>
      </w:r>
      <w:r>
        <w:tab/>
      </w:r>
      <w:r>
        <w:tab/>
        <w:t>:</w:t>
      </w:r>
    </w:p>
    <w:p w:rsidR="00916AB5" w:rsidRDefault="00916AB5" w:rsidP="00AF603D">
      <w:pPr>
        <w:spacing w:line="240" w:lineRule="auto"/>
        <w:contextualSpacing/>
        <w:jc w:val="left"/>
      </w:pPr>
      <w:r>
        <w:tab/>
        <w:t>v.</w:t>
      </w:r>
      <w:r>
        <w:tab/>
      </w:r>
      <w:r>
        <w:tab/>
      </w:r>
      <w:r>
        <w:tab/>
      </w:r>
      <w:r>
        <w:tab/>
      </w:r>
      <w:r>
        <w:tab/>
      </w:r>
      <w:r>
        <w:tab/>
        <w:t>:</w:t>
      </w:r>
      <w:r>
        <w:tab/>
      </w:r>
      <w:r>
        <w:tab/>
      </w:r>
      <w:r>
        <w:tab/>
        <w:t>F-2010-2184949</w:t>
      </w:r>
    </w:p>
    <w:p w:rsidR="00916AB5" w:rsidRDefault="00916AB5" w:rsidP="00AF603D">
      <w:pPr>
        <w:spacing w:line="240" w:lineRule="auto"/>
        <w:contextualSpacing/>
        <w:jc w:val="left"/>
      </w:pPr>
      <w:r>
        <w:tab/>
      </w:r>
      <w:r>
        <w:tab/>
      </w:r>
      <w:r>
        <w:tab/>
      </w:r>
      <w:r>
        <w:tab/>
      </w:r>
      <w:r>
        <w:tab/>
      </w:r>
      <w:r>
        <w:tab/>
      </w:r>
      <w:r>
        <w:tab/>
        <w:t>:</w:t>
      </w:r>
    </w:p>
    <w:p w:rsidR="00916AB5" w:rsidRDefault="00916AB5" w:rsidP="00AF603D">
      <w:pPr>
        <w:spacing w:line="240" w:lineRule="auto"/>
        <w:contextualSpacing/>
        <w:jc w:val="left"/>
      </w:pPr>
      <w:r>
        <w:t>Philadelphia Gas Works</w:t>
      </w:r>
      <w:r>
        <w:tab/>
      </w:r>
      <w:r>
        <w:tab/>
      </w:r>
      <w:r>
        <w:tab/>
      </w:r>
      <w:r>
        <w:tab/>
        <w:t>:</w:t>
      </w:r>
    </w:p>
    <w:p w:rsidR="00916AB5" w:rsidRDefault="00916AB5" w:rsidP="00AF603D">
      <w:pPr>
        <w:spacing w:line="240" w:lineRule="auto"/>
        <w:contextualSpacing/>
        <w:jc w:val="left"/>
      </w:pPr>
    </w:p>
    <w:p w:rsidR="00AF603D" w:rsidRDefault="00AF603D" w:rsidP="00AF603D">
      <w:pPr>
        <w:spacing w:line="240" w:lineRule="auto"/>
        <w:contextualSpacing/>
        <w:jc w:val="left"/>
      </w:pPr>
    </w:p>
    <w:p w:rsidR="00916AB5" w:rsidRDefault="00916AB5" w:rsidP="00AF603D">
      <w:pPr>
        <w:spacing w:line="240" w:lineRule="auto"/>
        <w:contextualSpacing/>
        <w:jc w:val="left"/>
      </w:pPr>
    </w:p>
    <w:p w:rsidR="00916AB5" w:rsidRPr="00AF603D" w:rsidRDefault="00916AB5" w:rsidP="00AF603D">
      <w:pPr>
        <w:spacing w:line="240" w:lineRule="auto"/>
        <w:contextualSpacing/>
        <w:rPr>
          <w:b/>
          <w:u w:val="single"/>
        </w:rPr>
      </w:pPr>
      <w:r w:rsidRPr="00AF603D">
        <w:rPr>
          <w:b/>
          <w:u w:val="single"/>
        </w:rPr>
        <w:t>INITIAL DECISION</w:t>
      </w:r>
    </w:p>
    <w:p w:rsidR="00916AB5" w:rsidRDefault="00916AB5" w:rsidP="00AF603D">
      <w:pPr>
        <w:spacing w:line="240" w:lineRule="auto"/>
        <w:contextualSpacing/>
        <w:rPr>
          <w:b/>
        </w:rPr>
      </w:pPr>
    </w:p>
    <w:p w:rsidR="00AF603D" w:rsidRDefault="00AF603D" w:rsidP="00AF603D">
      <w:pPr>
        <w:spacing w:line="240" w:lineRule="auto"/>
        <w:contextualSpacing/>
        <w:rPr>
          <w:b/>
        </w:rPr>
      </w:pPr>
    </w:p>
    <w:p w:rsidR="00916AB5" w:rsidRDefault="00916AB5" w:rsidP="00AF603D">
      <w:pPr>
        <w:spacing w:line="240" w:lineRule="auto"/>
        <w:contextualSpacing/>
      </w:pPr>
      <w:r>
        <w:t>Before</w:t>
      </w:r>
    </w:p>
    <w:p w:rsidR="00916AB5" w:rsidRDefault="00916AB5" w:rsidP="00AF603D">
      <w:pPr>
        <w:spacing w:line="240" w:lineRule="auto"/>
        <w:contextualSpacing/>
      </w:pPr>
      <w:r>
        <w:t>Susan D. Colwell</w:t>
      </w:r>
    </w:p>
    <w:p w:rsidR="00916AB5" w:rsidRDefault="00916AB5" w:rsidP="00AF603D">
      <w:pPr>
        <w:spacing w:line="240" w:lineRule="auto"/>
        <w:contextualSpacing/>
      </w:pPr>
      <w:r>
        <w:t>Administrative Law Judge</w:t>
      </w:r>
    </w:p>
    <w:p w:rsidR="00916AB5" w:rsidRDefault="00916AB5" w:rsidP="00AF603D">
      <w:pPr>
        <w:spacing w:line="240" w:lineRule="auto"/>
        <w:contextualSpacing/>
      </w:pPr>
    </w:p>
    <w:p w:rsidR="00916AB5" w:rsidRDefault="00916AB5" w:rsidP="00AF603D">
      <w:pPr>
        <w:spacing w:line="240" w:lineRule="auto"/>
        <w:contextualSpacing/>
      </w:pPr>
    </w:p>
    <w:p w:rsidR="00916AB5" w:rsidRDefault="00916AB5" w:rsidP="00AF603D">
      <w:pPr>
        <w:spacing w:line="240" w:lineRule="auto"/>
        <w:contextualSpacing/>
        <w:rPr>
          <w:u w:val="single"/>
        </w:rPr>
      </w:pPr>
      <w:r>
        <w:rPr>
          <w:u w:val="single"/>
        </w:rPr>
        <w:t>HISTORY OF THE PROCEEDING</w:t>
      </w:r>
    </w:p>
    <w:p w:rsidR="00916AB5" w:rsidRDefault="00916AB5" w:rsidP="00AF603D">
      <w:pPr>
        <w:spacing w:line="240" w:lineRule="auto"/>
        <w:contextualSpacing/>
        <w:rPr>
          <w:u w:val="single"/>
        </w:rPr>
      </w:pPr>
    </w:p>
    <w:p w:rsidR="00916AB5" w:rsidRDefault="00916AB5" w:rsidP="00AF603D">
      <w:pPr>
        <w:spacing w:line="240" w:lineRule="auto"/>
        <w:contextualSpacing/>
        <w:jc w:val="left"/>
      </w:pPr>
    </w:p>
    <w:p w:rsidR="00916AB5" w:rsidRDefault="00916AB5" w:rsidP="00916AB5">
      <w:pPr>
        <w:contextualSpacing/>
        <w:jc w:val="left"/>
      </w:pPr>
      <w:r>
        <w:tab/>
      </w:r>
      <w:r>
        <w:tab/>
        <w:t>On June 28, 2010, Rennae Taylor (Complainant) filed a formal Complaint against Philadelphia Gas Works (PGW or Respondent or Company) alleging that she sought a reasonable payment arrangement or some assistance because she was no longer employed and had no income.  On July 14, 2010, PGW filed its Answer which admitted that Complainant sought a payment arrangement and stat</w:t>
      </w:r>
      <w:r w:rsidR="00B676C1">
        <w:t>ed</w:t>
      </w:r>
      <w:r>
        <w:t xml:space="preserve"> that Complainant had not made a payment on her account since its inception on October 1, 2009, and that the arrearage at that time was $5,664.70.  The Answer stated that the Complainant had filed for bankruptcy under a different account number, which was dismissed on October 26, 2009 for $3,572.19.  </w:t>
      </w:r>
      <w:r w:rsidR="007072A4">
        <w:t>The amount owed on that account was transferred to the Complainant’s current account.  In addition, the Commission’s Bureau of Consumer Services issued a decision on June 8, 2010, which established a payment agreement by which the Complainant was to pay $191 budget plus $93 towards the account arrears each month.  The first payment was due July 8, 2010.</w:t>
      </w:r>
    </w:p>
    <w:p w:rsidR="007072A4" w:rsidRDefault="007072A4" w:rsidP="00916AB5">
      <w:pPr>
        <w:contextualSpacing/>
        <w:jc w:val="left"/>
      </w:pPr>
    </w:p>
    <w:p w:rsidR="007072A4" w:rsidRDefault="007072A4" w:rsidP="00916AB5">
      <w:pPr>
        <w:contextualSpacing/>
        <w:jc w:val="left"/>
      </w:pPr>
      <w:r>
        <w:tab/>
      </w:r>
      <w:r>
        <w:tab/>
        <w:t xml:space="preserve">On October 5, 2011, a Telephonic Hearing Notice was issued which set the formal evidentiary hearing for Monday, October 31, 2011, and assigned the matter to me.  I </w:t>
      </w:r>
      <w:r>
        <w:lastRenderedPageBreak/>
        <w:t>issued a prehearing order on that same day, which set forth some of the requirements for a formal hearing before the Commission.  Neither was returned as undeliverable.</w:t>
      </w:r>
    </w:p>
    <w:p w:rsidR="007072A4" w:rsidRDefault="007072A4" w:rsidP="00916AB5">
      <w:pPr>
        <w:contextualSpacing/>
        <w:jc w:val="left"/>
      </w:pPr>
    </w:p>
    <w:p w:rsidR="007072A4" w:rsidRDefault="007072A4" w:rsidP="00916AB5">
      <w:pPr>
        <w:contextualSpacing/>
        <w:jc w:val="left"/>
      </w:pPr>
      <w:r>
        <w:tab/>
      </w:r>
      <w:r>
        <w:tab/>
        <w:t xml:space="preserve">On October 17, 2011, Complainant called the Office of Administrative Law Judge (OALJ) and gave the OALJ support staff a different telephone number for use on the hearing date.  </w:t>
      </w:r>
    </w:p>
    <w:p w:rsidR="007072A4" w:rsidRDefault="007072A4" w:rsidP="00916AB5">
      <w:pPr>
        <w:contextualSpacing/>
        <w:jc w:val="left"/>
      </w:pPr>
    </w:p>
    <w:p w:rsidR="007072A4" w:rsidRDefault="007072A4" w:rsidP="00916AB5">
      <w:pPr>
        <w:contextualSpacing/>
        <w:jc w:val="left"/>
      </w:pPr>
      <w:r>
        <w:tab/>
      </w:r>
      <w:r>
        <w:tab/>
        <w:t xml:space="preserve">On the date set for the hearing, I called the telephone number and listened to an automated message which told me that the number I called was not available.  I called each of the numbers that Complainant had provided on her Complaint, and </w:t>
      </w:r>
      <w:r w:rsidR="009C008D">
        <w:t xml:space="preserve">left a message of the machines of each.  </w:t>
      </w:r>
      <w:r w:rsidR="00651A14">
        <w:t>No further contacts were received by the Office of Administrative Law Judge.</w:t>
      </w:r>
    </w:p>
    <w:p w:rsidR="009C008D" w:rsidRDefault="009C008D" w:rsidP="00916AB5">
      <w:pPr>
        <w:contextualSpacing/>
        <w:jc w:val="left"/>
      </w:pPr>
    </w:p>
    <w:p w:rsidR="009C008D" w:rsidRDefault="009C008D" w:rsidP="00916AB5">
      <w:pPr>
        <w:contextualSpacing/>
        <w:jc w:val="left"/>
      </w:pPr>
      <w:r>
        <w:tab/>
      </w:r>
      <w:r>
        <w:tab/>
        <w:t xml:space="preserve">Laureto Farinas, Esq., appeared on behalf of PGW and was prepared to present his witness, Linda Pereira, and has submitted a packet of four proposed exhibits in advance, in accordance with the directions in the prehearing order.  </w:t>
      </w:r>
    </w:p>
    <w:p w:rsidR="009C008D" w:rsidRDefault="009C008D" w:rsidP="00916AB5">
      <w:pPr>
        <w:contextualSpacing/>
        <w:jc w:val="left"/>
      </w:pPr>
    </w:p>
    <w:p w:rsidR="009C008D" w:rsidRDefault="009C008D" w:rsidP="00916AB5">
      <w:pPr>
        <w:contextualSpacing/>
        <w:jc w:val="left"/>
      </w:pPr>
      <w:r>
        <w:tab/>
      </w:r>
      <w:r>
        <w:tab/>
        <w:t>A transcript</w:t>
      </w:r>
      <w:r w:rsidR="00651A14">
        <w:t xml:space="preserve"> of six pages</w:t>
      </w:r>
      <w:r>
        <w:t xml:space="preserve"> was generated. </w:t>
      </w:r>
      <w:r w:rsidR="00651A14">
        <w:t xml:space="preserve"> The record closed upon its receipt on</w:t>
      </w:r>
      <w:r w:rsidR="000F05F4">
        <w:t xml:space="preserve"> November 3, 2</w:t>
      </w:r>
      <w:r w:rsidR="00651A14">
        <w:t xml:space="preserve">011. </w:t>
      </w:r>
      <w:r>
        <w:t xml:space="preserve"> The matter is ripe for decision.</w:t>
      </w:r>
    </w:p>
    <w:p w:rsidR="009C008D" w:rsidRDefault="009C008D" w:rsidP="00916AB5">
      <w:pPr>
        <w:contextualSpacing/>
        <w:jc w:val="left"/>
      </w:pPr>
    </w:p>
    <w:p w:rsidR="009C008D" w:rsidRDefault="009C008D" w:rsidP="009B4EA9">
      <w:pPr>
        <w:contextualSpacing/>
        <w:rPr>
          <w:u w:val="single"/>
        </w:rPr>
      </w:pPr>
      <w:r>
        <w:rPr>
          <w:u w:val="single"/>
        </w:rPr>
        <w:t>FINDINGS OF FACT</w:t>
      </w:r>
    </w:p>
    <w:p w:rsidR="009C008D" w:rsidRDefault="009C008D" w:rsidP="009B4EA9">
      <w:pPr>
        <w:contextualSpacing/>
        <w:rPr>
          <w:u w:val="single"/>
        </w:rPr>
      </w:pPr>
    </w:p>
    <w:p w:rsidR="009C008D" w:rsidRDefault="009C008D" w:rsidP="00AF603D">
      <w:pPr>
        <w:pStyle w:val="ListParagraph"/>
        <w:numPr>
          <w:ilvl w:val="0"/>
          <w:numId w:val="4"/>
        </w:numPr>
        <w:tabs>
          <w:tab w:val="left" w:pos="2160"/>
        </w:tabs>
        <w:ind w:left="0" w:firstLine="1440"/>
        <w:jc w:val="left"/>
      </w:pPr>
      <w:r>
        <w:t>Complainant is Rennae Taylor, 4119 N. Fairhill, Philadelphia PA 19140.</w:t>
      </w:r>
    </w:p>
    <w:p w:rsidR="009B4EA9" w:rsidRDefault="009B4EA9" w:rsidP="009B4EA9">
      <w:pPr>
        <w:jc w:val="left"/>
      </w:pPr>
    </w:p>
    <w:p w:rsidR="009B4EA9" w:rsidRDefault="009B4EA9" w:rsidP="009B4EA9">
      <w:pPr>
        <w:jc w:val="left"/>
      </w:pPr>
      <w:r>
        <w:tab/>
      </w:r>
      <w:r>
        <w:tab/>
        <w:t>2.</w:t>
      </w:r>
      <w:r>
        <w:tab/>
      </w:r>
      <w:r w:rsidR="009C008D">
        <w:t xml:space="preserve">Respondent is Philadelphia Gas Works, a jurisdictional public utility providing </w:t>
      </w:r>
      <w:r>
        <w:t>residential gas service in the Commonwealth of Pennsylvania.</w:t>
      </w:r>
    </w:p>
    <w:p w:rsidR="009B4EA9" w:rsidRDefault="009B4EA9" w:rsidP="009B4EA9">
      <w:pPr>
        <w:jc w:val="left"/>
      </w:pPr>
    </w:p>
    <w:p w:rsidR="009B4EA9" w:rsidRDefault="009B4EA9" w:rsidP="009B4EA9">
      <w:pPr>
        <w:jc w:val="left"/>
      </w:pPr>
      <w:r>
        <w:tab/>
      </w:r>
      <w:r>
        <w:tab/>
        <w:t>3.</w:t>
      </w:r>
      <w:r>
        <w:tab/>
        <w:t>The Complaint was filed on June 28, 2010 as an appeal from a decision from the Commission's Bureau of Consumer Services.</w:t>
      </w:r>
    </w:p>
    <w:p w:rsidR="009B4EA9" w:rsidRDefault="009B4EA9" w:rsidP="009B4EA9">
      <w:pPr>
        <w:jc w:val="left"/>
      </w:pPr>
    </w:p>
    <w:p w:rsidR="009B4EA9" w:rsidRDefault="009B4EA9" w:rsidP="009B4EA9">
      <w:pPr>
        <w:jc w:val="left"/>
      </w:pPr>
      <w:r>
        <w:tab/>
      </w:r>
      <w:r>
        <w:tab/>
        <w:t>4.</w:t>
      </w:r>
      <w:r>
        <w:tab/>
        <w:t>The BCS had issued a decision on June 8, 2010, which set a payment arrangement for Complainant with Respondent at BCS Case No. 2658732.</w:t>
      </w:r>
    </w:p>
    <w:p w:rsidR="009B4EA9" w:rsidRDefault="009B4EA9" w:rsidP="009B4EA9">
      <w:pPr>
        <w:jc w:val="left"/>
      </w:pPr>
      <w:r>
        <w:lastRenderedPageBreak/>
        <w:tab/>
      </w:r>
      <w:r>
        <w:tab/>
        <w:t>5.</w:t>
      </w:r>
      <w:r>
        <w:tab/>
        <w:t>The Telephonic Hearing Notice was issued on October 5, 2011</w:t>
      </w:r>
      <w:r w:rsidR="000F05F4">
        <w:t>,</w:t>
      </w:r>
      <w:r>
        <w:t xml:space="preserve"> and set the initial telephonic hearing for Monday, October 31, 2011</w:t>
      </w:r>
      <w:r w:rsidR="000F05F4">
        <w:t>,</w:t>
      </w:r>
      <w:r>
        <w:t xml:space="preserve"> at 10:00 am.</w:t>
      </w:r>
    </w:p>
    <w:p w:rsidR="009B4EA9" w:rsidRDefault="009B4EA9" w:rsidP="009B4EA9">
      <w:pPr>
        <w:jc w:val="left"/>
      </w:pPr>
    </w:p>
    <w:p w:rsidR="009B4EA9" w:rsidRDefault="009B4EA9" w:rsidP="009B4EA9">
      <w:pPr>
        <w:jc w:val="left"/>
      </w:pPr>
      <w:r>
        <w:tab/>
      </w:r>
      <w:r>
        <w:tab/>
        <w:t>6.</w:t>
      </w:r>
      <w:r>
        <w:tab/>
        <w:t>On October 17, 2011, Complainant provided a telephone number different from the numbers on her formal Complaint form and asked that the new number be used for the telephonic hearing.</w:t>
      </w:r>
    </w:p>
    <w:p w:rsidR="009B4EA9" w:rsidRDefault="009B4EA9" w:rsidP="009B4EA9">
      <w:pPr>
        <w:jc w:val="left"/>
      </w:pPr>
    </w:p>
    <w:p w:rsidR="00C471FF" w:rsidRDefault="009B4EA9" w:rsidP="009B4EA9">
      <w:pPr>
        <w:jc w:val="left"/>
      </w:pPr>
      <w:r>
        <w:tab/>
      </w:r>
      <w:r>
        <w:tab/>
        <w:t>7.</w:t>
      </w:r>
      <w:r>
        <w:tab/>
      </w:r>
      <w:r w:rsidR="00C471FF">
        <w:t>At 10:00 am on October 31, 2011, I called four different telephone numbers, three of which appear on the Complaint and the fourth number, provided on October 17, 2011, during a telephone call to the OALJ.</w:t>
      </w:r>
    </w:p>
    <w:p w:rsidR="00C471FF" w:rsidRDefault="00C471FF" w:rsidP="009B4EA9">
      <w:pPr>
        <w:jc w:val="left"/>
      </w:pPr>
    </w:p>
    <w:p w:rsidR="00C471FF" w:rsidRDefault="00C471FF" w:rsidP="009B4EA9">
      <w:pPr>
        <w:jc w:val="left"/>
      </w:pPr>
      <w:r>
        <w:tab/>
      </w:r>
      <w:r>
        <w:tab/>
        <w:t>8.</w:t>
      </w:r>
      <w:r>
        <w:tab/>
        <w:t xml:space="preserve">Each of the telephone calls was met with an automated voice, two of which advised the caller to leave a message and two which simply stated that the number is not available.  None of the numbers identified the person to whose phone the number rang.  </w:t>
      </w:r>
    </w:p>
    <w:p w:rsidR="00C471FF" w:rsidRDefault="00C471FF" w:rsidP="009B4EA9">
      <w:pPr>
        <w:jc w:val="left"/>
      </w:pPr>
    </w:p>
    <w:p w:rsidR="00C471FF" w:rsidRDefault="00C471FF" w:rsidP="009B4EA9">
      <w:pPr>
        <w:jc w:val="left"/>
      </w:pPr>
      <w:r>
        <w:tab/>
      </w:r>
      <w:r>
        <w:tab/>
        <w:t>9.</w:t>
      </w:r>
      <w:r>
        <w:tab/>
        <w:t>Neither the prehearing order nor the Telephonic Hearing Notice was returned as undeliverable.</w:t>
      </w:r>
    </w:p>
    <w:p w:rsidR="00C471FF" w:rsidRDefault="00C471FF" w:rsidP="009B4EA9">
      <w:pPr>
        <w:jc w:val="left"/>
      </w:pPr>
    </w:p>
    <w:p w:rsidR="009C008D" w:rsidRDefault="00C471FF" w:rsidP="00C471FF">
      <w:pPr>
        <w:rPr>
          <w:u w:val="single"/>
        </w:rPr>
      </w:pPr>
      <w:r>
        <w:rPr>
          <w:u w:val="single"/>
        </w:rPr>
        <w:t>DISCUSSION</w:t>
      </w:r>
    </w:p>
    <w:p w:rsidR="00FA4B5B" w:rsidRDefault="00FA4B5B" w:rsidP="00C471FF">
      <w:pPr>
        <w:rPr>
          <w:u w:val="single"/>
        </w:rPr>
      </w:pPr>
    </w:p>
    <w:p w:rsidR="00FA4B5B" w:rsidRDefault="00FA4B5B" w:rsidP="00FA4B5B">
      <w:pPr>
        <w:jc w:val="left"/>
      </w:pPr>
      <w:r>
        <w:tab/>
      </w:r>
      <w:r>
        <w:tab/>
      </w:r>
      <w:r w:rsidR="000C722C">
        <w:t>Complain</w:t>
      </w:r>
      <w:r w:rsidR="00AF603D">
        <w:t xml:space="preserve">ant asks for a more affordable </w:t>
      </w:r>
      <w:r w:rsidR="000C722C">
        <w:t xml:space="preserve">payment arrangement than she received from the Commission's BCS on June 8, 2010.  </w:t>
      </w:r>
      <w:r>
        <w:t>As the party seeking affirmative relief from the Commission, the Complainant bears the burden of proof.  66 Pa. C.S. § 332(a).</w:t>
      </w:r>
    </w:p>
    <w:p w:rsidR="00FA4B5B" w:rsidRDefault="00FA4B5B" w:rsidP="00FA4B5B">
      <w:pPr>
        <w:jc w:val="left"/>
      </w:pPr>
    </w:p>
    <w:p w:rsidR="00FA4B5B" w:rsidRDefault="00FA4B5B" w:rsidP="00FA4B5B">
      <w:pPr>
        <w:jc w:val="left"/>
      </w:pPr>
      <w:r>
        <w:tab/>
      </w:r>
      <w:r>
        <w:tab/>
        <w:t xml:space="preserve">To uphold this burden, Complainant must show that the named utility is responsible or accountable for the problem described in the Complaint in order to prevail.  </w:t>
      </w:r>
      <w:r>
        <w:rPr>
          <w:i/>
        </w:rPr>
        <w:t>Patterson v. Bell Telephone Company of PA,</w:t>
      </w:r>
      <w:r>
        <w:t xml:space="preserve"> 72 Pa. PUC 196 (1990); </w:t>
      </w:r>
      <w:r>
        <w:rPr>
          <w:i/>
        </w:rPr>
        <w:t>Feinstein v. Philadelphia Suburban Water Company</w:t>
      </w:r>
      <w:r>
        <w:t xml:space="preserve">, 50 Pa. PUC 300 (1976).  This must be shown by a preponderance of the evidence.  </w:t>
      </w:r>
      <w:r>
        <w:rPr>
          <w:i/>
        </w:rPr>
        <w:t>Samuel J. Lansberry, Inc. v. Pa. Publ. Util. Comm’n</w:t>
      </w:r>
      <w:r>
        <w:t xml:space="preserve">, 578 A.2d 600 (Pa. Cmwlth. Ct.1990), </w:t>
      </w:r>
      <w:r>
        <w:rPr>
          <w:i/>
        </w:rPr>
        <w:t>alloc. denied</w:t>
      </w:r>
      <w:r>
        <w:t xml:space="preserve">, 529 </w:t>
      </w:r>
      <w:smartTag w:uri="urn:schemas-microsoft-com:office:smarttags" w:element="place">
        <w:smartTag w:uri="urn:schemas-microsoft-com:office:smarttags" w:element="State">
          <w:r>
            <w:t>Pa.</w:t>
          </w:r>
        </w:smartTag>
      </w:smartTag>
      <w:r>
        <w:t xml:space="preserve"> 654, 602 A.2d 863 (1992).  That is, by presenting evidence more </w:t>
      </w:r>
      <w:r>
        <w:lastRenderedPageBreak/>
        <w:t xml:space="preserve">convincing, by even the smallest amount, than that presented by the other party.  </w:t>
      </w:r>
      <w:r>
        <w:rPr>
          <w:i/>
        </w:rPr>
        <w:t>Se-Ling Hosiery v. Marqulies,</w:t>
      </w:r>
      <w:r>
        <w:t xml:space="preserve"> 364 Pa. 45, 70 A.2d 854 (1950).  </w:t>
      </w:r>
    </w:p>
    <w:p w:rsidR="00FA4B5B" w:rsidRDefault="00FA4B5B" w:rsidP="00FA4B5B">
      <w:pPr>
        <w:jc w:val="left"/>
      </w:pPr>
    </w:p>
    <w:p w:rsidR="00FA4B5B" w:rsidRDefault="00FA4B5B" w:rsidP="00FA4B5B">
      <w:pPr>
        <w:jc w:val="left"/>
      </w:pPr>
      <w:r>
        <w:tab/>
      </w:r>
      <w:r>
        <w:tab/>
        <w:t xml:space="preserve">Additionally, any finding of fact necessary to support the Commission’s adjudication must be based upon substantial evidence.  </w:t>
      </w:r>
      <w:r>
        <w:rPr>
          <w:i/>
        </w:rPr>
        <w:t>Mill v. Comm., Pa. Publ. Util. Comm’n</w:t>
      </w:r>
      <w:r>
        <w:t xml:space="preserve">, 447 A.2d 1100 (Pa. Cmwlth. Ct.1982); </w:t>
      </w:r>
      <w:r>
        <w:rPr>
          <w:i/>
        </w:rPr>
        <w:t>Edan Transportation Corp. v. Pa. Publ. Util. Comm’n,</w:t>
      </w:r>
      <w:r>
        <w:t xml:space="preserve"> 623 A.2d 6 (Pa. Cmwlth. Ct.1993), 2 Pa. C.S. § 704.  More is required than a mere trace of evidence or a suspicion of the existence of a fact sought to be established.  </w:t>
      </w:r>
      <w:r>
        <w:rPr>
          <w:i/>
        </w:rPr>
        <w:t xml:space="preserve">Norfolk &amp; Western Ry. V. Pa. Publ. Util. Comm’n, </w:t>
      </w:r>
      <w:r>
        <w:t xml:space="preserve">489 Pa. 109, 413 A.2d 1037 (1980); </w:t>
      </w:r>
      <w:r>
        <w:rPr>
          <w:i/>
        </w:rPr>
        <w:t>Erie Resistor Corp. V. Unemployment Com. Bd. Of Review</w:t>
      </w:r>
      <w:r>
        <w:t xml:space="preserve">, 166 A.2d 96 (Pa. Super. Ct.1960); </w:t>
      </w:r>
      <w:r>
        <w:rPr>
          <w:i/>
        </w:rPr>
        <w:t xml:space="preserve">Murphy v. Comm., Dept. of Public Welfare, White Haven Center, </w:t>
      </w:r>
      <w:r>
        <w:t>480 A.2d 382 (Pa. Cmwlth. Ct.1984).</w:t>
      </w:r>
    </w:p>
    <w:p w:rsidR="00FA4B5B" w:rsidRDefault="00FA4B5B" w:rsidP="00FA4B5B">
      <w:pPr>
        <w:jc w:val="left"/>
      </w:pPr>
    </w:p>
    <w:p w:rsidR="00FA4B5B" w:rsidRDefault="00FA4B5B" w:rsidP="00FA4B5B">
      <w:pPr>
        <w:jc w:val="left"/>
      </w:pPr>
      <w:r>
        <w:tab/>
      </w:r>
      <w:r>
        <w:tab/>
        <w:t xml:space="preserve">The Commission is required to provide due process to the parties appearing before them.  This requirement is satisfied when the parties are afforded notice and the opportunity to appear and be heard.  </w:t>
      </w:r>
      <w:r>
        <w:rPr>
          <w:i/>
        </w:rPr>
        <w:t>Schneider v. Pa. Publ. Util. Comm’n</w:t>
      </w:r>
      <w:r>
        <w:t xml:space="preserve">, 479 A.2d 10 (Pa. Cmwlth. Ct.1984).  Notice mailed to a party’s last known address and not returned by the post office is presumed to have been received.  </w:t>
      </w:r>
      <w:smartTag w:uri="urn:schemas-microsoft-com:office:smarttags" w:element="place">
        <w:smartTag w:uri="urn:schemas-microsoft-com:office:smarttags" w:element="City">
          <w:r>
            <w:rPr>
              <w:i/>
            </w:rPr>
            <w:t>Chartiers</w:t>
          </w:r>
        </w:smartTag>
        <w:r>
          <w:rPr>
            <w:i/>
          </w:rPr>
          <w:t xml:space="preserve"> </w:t>
        </w:r>
        <w:smartTag w:uri="urn:schemas-microsoft-com:office:smarttags" w:element="State">
          <w:r>
            <w:rPr>
              <w:i/>
            </w:rPr>
            <w:t>Ind.</w:t>
          </w:r>
        </w:smartTag>
      </w:smartTag>
      <w:r>
        <w:rPr>
          <w:i/>
        </w:rPr>
        <w:t xml:space="preserve"> And Com. Dev. Auth. v. Allegheny County Bd. Of Property Assessment Appeals and Review</w:t>
      </w:r>
      <w:r>
        <w:t>, 645 A.2d 944 (Pa. Cmwlth. Ct.1994).</w:t>
      </w:r>
    </w:p>
    <w:p w:rsidR="00FA4B5B" w:rsidRDefault="00FA4B5B" w:rsidP="00FA4B5B">
      <w:pPr>
        <w:jc w:val="left"/>
      </w:pPr>
    </w:p>
    <w:p w:rsidR="00FA4B5B" w:rsidRDefault="00FA4B5B" w:rsidP="00FA4B5B">
      <w:pPr>
        <w:jc w:val="left"/>
      </w:pPr>
      <w:r>
        <w:tab/>
      </w:r>
      <w:r>
        <w:tab/>
        <w:t xml:space="preserve">The Hearing Notice and Prehearing Order were mailed to the Complainant at the address listed on her Complaint form and have not been returned to the Commission by the post office.  Therefore, the Complainant is deemed to have received these documents and had sufficient notice of the date and time of the scheduled hearing.  In addition, a member of the OALJ support staff spoke on the telephone with a woman who identified herself as Rennae Taylor and who asked that a different telephone number be used on the day of the hearing.  </w:t>
      </w:r>
      <w:r w:rsidRPr="00FA4B5B">
        <w:t>See</w:t>
      </w:r>
      <w:r>
        <w:t xml:space="preserve"> Verification of OALJ Staff, ALJ Exhibit 1.  </w:t>
      </w:r>
    </w:p>
    <w:p w:rsidR="00FA4B5B" w:rsidRDefault="00FA4B5B" w:rsidP="00FA4B5B">
      <w:pPr>
        <w:jc w:val="left"/>
      </w:pPr>
    </w:p>
    <w:p w:rsidR="00FA4B5B" w:rsidRDefault="00FA4B5B" w:rsidP="00FA4B5B">
      <w:pPr>
        <w:jc w:val="left"/>
      </w:pPr>
      <w:r>
        <w:tab/>
      </w:r>
      <w:r>
        <w:tab/>
      </w:r>
      <w:r w:rsidRPr="00FA4B5B">
        <w:t>Once</w:t>
      </w:r>
      <w:r>
        <w:t xml:space="preserve"> notice of a hearing and the opportunity to be heard has been provided, it is the responsibility of the parties to appear and participate in the hearing.  </w:t>
      </w:r>
      <w:r>
        <w:rPr>
          <w:i/>
        </w:rPr>
        <w:t>Sentner v. Bell Tel. Co. of PA</w:t>
      </w:r>
      <w:r>
        <w:t>, PUC Docket No. F-00161106 (Opinion and Order entered October 24, 1993).</w:t>
      </w:r>
    </w:p>
    <w:p w:rsidR="000C722C" w:rsidRDefault="000C722C" w:rsidP="00FA4B5B">
      <w:pPr>
        <w:jc w:val="left"/>
      </w:pPr>
    </w:p>
    <w:p w:rsidR="000C722C" w:rsidRDefault="000C722C" w:rsidP="00FA4B5B">
      <w:pPr>
        <w:jc w:val="left"/>
      </w:pPr>
      <w:r>
        <w:lastRenderedPageBreak/>
        <w:tab/>
      </w:r>
      <w:r>
        <w:tab/>
        <w:t xml:space="preserve">Four different telephone numbers were dialed on the day of the hearing.  Two numbers appeared on the lines provided for telephone numbers on the Complaint form, one was handwritten in blue ink at the top of the form with the notation "most recent" printed above it, and the fourth was provided on October 17, 2011 by phone call to OALJ offices in Harrisburg. </w:t>
      </w:r>
      <w:r w:rsidR="00AF603D">
        <w:t xml:space="preserve"> </w:t>
      </w:r>
      <w:r w:rsidR="00B676C1">
        <w:t>A verification signed by the staffer who took the call is admitted to the record in this Initial Decision and is available in the yellow folder in the File Room.</w:t>
      </w:r>
      <w:r>
        <w:t xml:space="preserve"> There was no answer at any of the numbers.  Two numbers permitted me to leave a message, and two simply stated that the number I had reached was not available.  </w:t>
      </w:r>
    </w:p>
    <w:p w:rsidR="00B676C1" w:rsidRDefault="00B676C1" w:rsidP="00FA4B5B">
      <w:pPr>
        <w:jc w:val="left"/>
      </w:pPr>
    </w:p>
    <w:p w:rsidR="00B676C1" w:rsidRPr="00B676C1" w:rsidRDefault="00B676C1" w:rsidP="00FA4B5B">
      <w:pPr>
        <w:jc w:val="left"/>
        <w:rPr>
          <w:i/>
        </w:rPr>
      </w:pPr>
      <w:r>
        <w:tab/>
      </w:r>
      <w:r>
        <w:tab/>
        <w:t xml:space="preserve">A change in address which occurs during the course of the proceeding shall be reported to the Secretary promptly, 52 Pa. Code § 1.24(a), and such documents that are filed in proceedings pending before the Commission shall be served upon parties in the proceeding </w:t>
      </w:r>
      <w:r>
        <w:rPr>
          <w:i/>
        </w:rPr>
        <w:t xml:space="preserve">and upon the presiding officer. </w:t>
      </w:r>
      <w:r>
        <w:t>52 Pa. Code §1.54(a).  If Complainant moves and obtains a new telephone number, it is her responsibility to inform the Commission, including the presiding officer, of the new contact information.</w:t>
      </w:r>
      <w:r>
        <w:rPr>
          <w:i/>
        </w:rPr>
        <w:t xml:space="preserve"> </w:t>
      </w:r>
    </w:p>
    <w:p w:rsidR="00B676C1" w:rsidRDefault="00B676C1" w:rsidP="00FA4B5B">
      <w:pPr>
        <w:jc w:val="left"/>
      </w:pPr>
    </w:p>
    <w:p w:rsidR="00FA4B5B" w:rsidRDefault="00FA4B5B" w:rsidP="00FA4B5B">
      <w:pPr>
        <w:jc w:val="left"/>
      </w:pPr>
      <w:r>
        <w:tab/>
      </w:r>
      <w:r>
        <w:tab/>
        <w:t>By her failure to appear, Complainant has failed to carry her burden of proof, and Respondent’s motion to dismiss for failure to prosecute will be granted.  Since the utility was present and ready to proceed, it is unfair to require it to prepare again for the same set of facts.  Therefore, the Complaint will be dismissed with prejudice.</w:t>
      </w:r>
    </w:p>
    <w:p w:rsidR="00FA4B5B" w:rsidRDefault="00FA4B5B" w:rsidP="00FA4B5B">
      <w:pPr>
        <w:jc w:val="left"/>
      </w:pPr>
    </w:p>
    <w:p w:rsidR="00FA4B5B" w:rsidRDefault="00FA4B5B" w:rsidP="00FA4B5B">
      <w:pPr>
        <w:rPr>
          <w:u w:val="single"/>
        </w:rPr>
      </w:pPr>
      <w:r>
        <w:rPr>
          <w:u w:val="single"/>
        </w:rPr>
        <w:t>CONCLUSIONS OF LAW</w:t>
      </w:r>
    </w:p>
    <w:p w:rsidR="00FA4B5B" w:rsidRDefault="00FA4B5B" w:rsidP="00FA4B5B">
      <w:pPr>
        <w:jc w:val="left"/>
        <w:rPr>
          <w:u w:val="single"/>
        </w:rPr>
      </w:pPr>
    </w:p>
    <w:p w:rsidR="00FA4B5B" w:rsidRDefault="00FA4B5B" w:rsidP="00FA4B5B">
      <w:pPr>
        <w:jc w:val="left"/>
      </w:pPr>
      <w:r>
        <w:tab/>
      </w:r>
      <w:r>
        <w:tab/>
        <w:t>1.</w:t>
      </w:r>
      <w:r>
        <w:tab/>
        <w:t>The Commission has jurisdiction over the parties and the subject matter of this proceeding.  66 Pa. C.S. § 701.</w:t>
      </w:r>
    </w:p>
    <w:p w:rsidR="00FA4B5B" w:rsidRDefault="00FA4B5B" w:rsidP="00FA4B5B">
      <w:pPr>
        <w:jc w:val="left"/>
      </w:pPr>
    </w:p>
    <w:p w:rsidR="00FA4B5B" w:rsidRDefault="00FA4B5B" w:rsidP="00FA4B5B">
      <w:pPr>
        <w:jc w:val="left"/>
      </w:pPr>
      <w:r>
        <w:tab/>
      </w:r>
      <w:r>
        <w:tab/>
        <w:t>2.</w:t>
      </w:r>
      <w:r>
        <w:tab/>
        <w:t>As the party seeking affirmative relief from the Commission, the Complainant bears the burden of proof.  66 Pa. C.S. § 332(a).</w:t>
      </w:r>
    </w:p>
    <w:p w:rsidR="00FA4B5B" w:rsidRDefault="00FA4B5B" w:rsidP="00FA4B5B">
      <w:pPr>
        <w:jc w:val="left"/>
      </w:pPr>
    </w:p>
    <w:p w:rsidR="00FA4B5B" w:rsidRDefault="00FA4B5B" w:rsidP="00FA4B5B">
      <w:pPr>
        <w:jc w:val="left"/>
      </w:pPr>
      <w:r>
        <w:tab/>
      </w:r>
      <w:r>
        <w:tab/>
        <w:t>3.</w:t>
      </w:r>
      <w:r>
        <w:tab/>
        <w:t xml:space="preserve">To uphold this burden, Complainant must show that the named utility is responsible or accountable for the problem described in the Complaint in order to prevail.  </w:t>
      </w:r>
      <w:r>
        <w:rPr>
          <w:i/>
        </w:rPr>
        <w:lastRenderedPageBreak/>
        <w:t>Patterson v. Bell Telephone Company of PA,</w:t>
      </w:r>
      <w:r>
        <w:t xml:space="preserve"> 72 Pa. PUC 196 (1990); </w:t>
      </w:r>
      <w:r>
        <w:rPr>
          <w:i/>
        </w:rPr>
        <w:t>Feinstein v. Philadelphia Suburban Water Company</w:t>
      </w:r>
      <w:r>
        <w:t xml:space="preserve">, 50 Pa. PUC 300 (1976).  </w:t>
      </w:r>
    </w:p>
    <w:p w:rsidR="00FA4B5B" w:rsidRDefault="00FA4B5B" w:rsidP="00FA4B5B">
      <w:pPr>
        <w:jc w:val="left"/>
      </w:pPr>
    </w:p>
    <w:p w:rsidR="00FA4B5B" w:rsidRDefault="00FA4B5B" w:rsidP="00FA4B5B">
      <w:pPr>
        <w:jc w:val="left"/>
      </w:pPr>
      <w:r>
        <w:tab/>
      </w:r>
      <w:r>
        <w:tab/>
        <w:t>4.</w:t>
      </w:r>
      <w:r>
        <w:tab/>
        <w:t xml:space="preserve">The burden of proof must be shown by a preponderance of the evidence.  </w:t>
      </w:r>
      <w:r>
        <w:rPr>
          <w:i/>
        </w:rPr>
        <w:t>Samuel J. Lansberry, Inc. v. Pa. Publ. Util. Comm’n</w:t>
      </w:r>
      <w:r>
        <w:t xml:space="preserve">, 578 A.2d 600 (Pa. Cmwlth. Ct.1990), </w:t>
      </w:r>
      <w:r>
        <w:rPr>
          <w:i/>
        </w:rPr>
        <w:t>alloc. denied</w:t>
      </w:r>
      <w:r>
        <w:t xml:space="preserve">, 529 </w:t>
      </w:r>
      <w:smartTag w:uri="urn:schemas-microsoft-com:office:smarttags" w:element="place">
        <w:smartTag w:uri="urn:schemas-microsoft-com:office:smarttags" w:element="State">
          <w:r>
            <w:t>Pa.</w:t>
          </w:r>
        </w:smartTag>
      </w:smartTag>
      <w:r>
        <w:t xml:space="preserve"> 654, 602 A.2d 863 (1992).  That is, by presenting evidence more convincing, by even the smallest amount, than that presented by the other party.  </w:t>
      </w:r>
      <w:r>
        <w:rPr>
          <w:i/>
        </w:rPr>
        <w:t>Se-Ling Hosiery v. Margulies,</w:t>
      </w:r>
      <w:r>
        <w:t xml:space="preserve"> 364 Pa. 45, 70 A.2d 854 (1950).  </w:t>
      </w:r>
    </w:p>
    <w:p w:rsidR="00FA4B5B" w:rsidRDefault="00FA4B5B" w:rsidP="00FA4B5B">
      <w:pPr>
        <w:jc w:val="left"/>
      </w:pPr>
    </w:p>
    <w:p w:rsidR="00FA4B5B" w:rsidRDefault="00FA4B5B" w:rsidP="00FA4B5B">
      <w:pPr>
        <w:jc w:val="left"/>
      </w:pPr>
      <w:r>
        <w:tab/>
      </w:r>
      <w:r>
        <w:tab/>
        <w:t>5.</w:t>
      </w:r>
      <w:r>
        <w:tab/>
        <w:t xml:space="preserve">The Commission is required to provide due process to the parties appearing before them.  This requirement is satisfied when the parties are afforded notice and the opportunity to appear and be heard.  </w:t>
      </w:r>
      <w:r>
        <w:rPr>
          <w:i/>
        </w:rPr>
        <w:t>Schneider v. Pa. Publ. Util. Comm’n</w:t>
      </w:r>
      <w:r>
        <w:t xml:space="preserve">, 479 A.2d 10 (Pa. Cmwlth. Ct.1984).  </w:t>
      </w:r>
    </w:p>
    <w:p w:rsidR="00FA4B5B" w:rsidRDefault="00FA4B5B" w:rsidP="00FA4B5B">
      <w:pPr>
        <w:jc w:val="left"/>
      </w:pPr>
    </w:p>
    <w:p w:rsidR="00FA4B5B" w:rsidRDefault="00FA4B5B" w:rsidP="00FA4B5B">
      <w:pPr>
        <w:jc w:val="left"/>
      </w:pPr>
      <w:r>
        <w:tab/>
      </w:r>
      <w:r>
        <w:tab/>
        <w:t>6.</w:t>
      </w:r>
      <w:r>
        <w:tab/>
        <w:t xml:space="preserve">Notice mailed to a party’s last known address and not returned by the post office is presumed to have been received.  </w:t>
      </w:r>
      <w:smartTag w:uri="urn:schemas-microsoft-com:office:smarttags" w:element="place">
        <w:smartTag w:uri="urn:schemas-microsoft-com:office:smarttags" w:element="City">
          <w:r>
            <w:rPr>
              <w:i/>
            </w:rPr>
            <w:t>Chartiers</w:t>
          </w:r>
        </w:smartTag>
        <w:r>
          <w:rPr>
            <w:i/>
          </w:rPr>
          <w:t xml:space="preserve"> </w:t>
        </w:r>
        <w:smartTag w:uri="urn:schemas-microsoft-com:office:smarttags" w:element="State">
          <w:r>
            <w:rPr>
              <w:i/>
            </w:rPr>
            <w:t>Ind.</w:t>
          </w:r>
        </w:smartTag>
      </w:smartTag>
      <w:r>
        <w:rPr>
          <w:i/>
        </w:rPr>
        <w:t xml:space="preserve"> And Com. Dev. Auth. v. Allegheny County Bd. Of Property Assessment Appeals and Review</w:t>
      </w:r>
      <w:r>
        <w:t>, 645 A.2d 944 (Pa. Cmwlth. Ct. 1994).</w:t>
      </w:r>
    </w:p>
    <w:p w:rsidR="00FA4B5B" w:rsidRDefault="00FA4B5B" w:rsidP="00FA4B5B">
      <w:pPr>
        <w:jc w:val="left"/>
      </w:pPr>
    </w:p>
    <w:p w:rsidR="00FA4B5B" w:rsidRDefault="00FA4B5B" w:rsidP="00FA4B5B">
      <w:pPr>
        <w:jc w:val="left"/>
      </w:pPr>
      <w:r>
        <w:tab/>
      </w:r>
      <w:r>
        <w:tab/>
        <w:t>7.</w:t>
      </w:r>
      <w:r>
        <w:tab/>
        <w:t xml:space="preserve">Once notice of a hearing and the opportunity to be heard has been provided, it is the responsibility of the parties to appear and participate in the hearing.  </w:t>
      </w:r>
      <w:r>
        <w:rPr>
          <w:i/>
        </w:rPr>
        <w:t>Sentner v. Bell Tel. Co. of PA</w:t>
      </w:r>
      <w:r>
        <w:t>, PUC Docket No. F-00161106 (Opinion and Order entered October 24, 1993).</w:t>
      </w:r>
    </w:p>
    <w:p w:rsidR="00FA4B5B" w:rsidRDefault="00FA4B5B" w:rsidP="00FA4B5B">
      <w:pPr>
        <w:jc w:val="left"/>
      </w:pPr>
    </w:p>
    <w:p w:rsidR="00FA4B5B" w:rsidRDefault="00FA4B5B" w:rsidP="00FA4B5B">
      <w:pPr>
        <w:jc w:val="left"/>
      </w:pPr>
      <w:r>
        <w:tab/>
      </w:r>
      <w:r>
        <w:tab/>
        <w:t>8.</w:t>
      </w:r>
      <w:r>
        <w:tab/>
        <w:t xml:space="preserve">By her failure to appear, Complainant has failed to carry her burden of proof.  </w:t>
      </w:r>
    </w:p>
    <w:p w:rsidR="00FA4B5B" w:rsidRDefault="00FA4B5B" w:rsidP="00FA4B5B">
      <w:pPr>
        <w:jc w:val="left"/>
      </w:pPr>
    </w:p>
    <w:p w:rsidR="00AF603D" w:rsidRDefault="00AF603D">
      <w:pPr>
        <w:rPr>
          <w:b/>
        </w:rPr>
      </w:pPr>
      <w:r>
        <w:rPr>
          <w:b/>
        </w:rPr>
        <w:br w:type="page"/>
      </w:r>
    </w:p>
    <w:p w:rsidR="00FA4B5B" w:rsidRPr="00AF603D" w:rsidRDefault="00FA4B5B" w:rsidP="00FA4B5B">
      <w:pPr>
        <w:rPr>
          <w:u w:val="single"/>
        </w:rPr>
      </w:pPr>
      <w:r w:rsidRPr="00AF603D">
        <w:rPr>
          <w:u w:val="single"/>
        </w:rPr>
        <w:lastRenderedPageBreak/>
        <w:t>ORDER</w:t>
      </w:r>
    </w:p>
    <w:p w:rsidR="00FA4B5B" w:rsidRDefault="00FA4B5B" w:rsidP="00FA4B5B">
      <w:pPr>
        <w:rPr>
          <w:b/>
        </w:rPr>
      </w:pPr>
    </w:p>
    <w:p w:rsidR="00FA4B5B" w:rsidRDefault="00FA4B5B" w:rsidP="00FA4B5B">
      <w:pPr>
        <w:jc w:val="left"/>
      </w:pPr>
      <w:r>
        <w:tab/>
      </w:r>
      <w:r>
        <w:tab/>
        <w:t>THEREFORE,</w:t>
      </w:r>
    </w:p>
    <w:p w:rsidR="00FA4B5B" w:rsidRDefault="00FA4B5B" w:rsidP="00FA4B5B">
      <w:pPr>
        <w:jc w:val="left"/>
      </w:pPr>
    </w:p>
    <w:p w:rsidR="00FA4B5B" w:rsidRDefault="00FA4B5B" w:rsidP="00FA4B5B">
      <w:pPr>
        <w:jc w:val="left"/>
      </w:pPr>
      <w:r>
        <w:tab/>
      </w:r>
      <w:r>
        <w:tab/>
        <w:t>IT IS ORDERED:</w:t>
      </w:r>
    </w:p>
    <w:p w:rsidR="00FA4B5B" w:rsidRDefault="00FA4B5B" w:rsidP="00FA4B5B">
      <w:pPr>
        <w:jc w:val="left"/>
      </w:pPr>
    </w:p>
    <w:p w:rsidR="000C722C" w:rsidRDefault="00FA4B5B" w:rsidP="00FA4B5B">
      <w:pPr>
        <w:jc w:val="left"/>
      </w:pPr>
      <w:r>
        <w:tab/>
      </w:r>
      <w:r>
        <w:tab/>
        <w:t>1.</w:t>
      </w:r>
      <w:r>
        <w:tab/>
      </w:r>
      <w:r w:rsidR="000C722C">
        <w:t>That the verification of Shelby Shreck-Beck is admitted to the record as ALJ Exhibit 1.</w:t>
      </w:r>
    </w:p>
    <w:p w:rsidR="000C722C" w:rsidRDefault="000C722C" w:rsidP="00FA4B5B">
      <w:pPr>
        <w:jc w:val="left"/>
      </w:pPr>
    </w:p>
    <w:p w:rsidR="00FA4B5B" w:rsidRDefault="000C722C" w:rsidP="00FA4B5B">
      <w:pPr>
        <w:jc w:val="left"/>
      </w:pPr>
      <w:r>
        <w:tab/>
      </w:r>
      <w:r>
        <w:tab/>
        <w:t>2.</w:t>
      </w:r>
      <w:r>
        <w:tab/>
      </w:r>
      <w:r w:rsidR="00FA4B5B">
        <w:t>That the Motion to Dismiss Complaint with prejudice made orally by Philadelphia Gas Works is granted.</w:t>
      </w:r>
    </w:p>
    <w:p w:rsidR="00FA4B5B" w:rsidRDefault="00FA4B5B" w:rsidP="00FA4B5B">
      <w:pPr>
        <w:jc w:val="left"/>
      </w:pPr>
    </w:p>
    <w:p w:rsidR="00FA4B5B" w:rsidRDefault="00FA4B5B" w:rsidP="00FA4B5B">
      <w:pPr>
        <w:jc w:val="left"/>
      </w:pPr>
      <w:r>
        <w:tab/>
      </w:r>
      <w:r>
        <w:tab/>
      </w:r>
      <w:r w:rsidR="000C722C">
        <w:t>3</w:t>
      </w:r>
      <w:r>
        <w:t>.</w:t>
      </w:r>
      <w:r>
        <w:tab/>
        <w:t>That the Complaint filed by Rennae Taylor against Philadelphia Gas Works at Docket No. F-2010-</w:t>
      </w:r>
      <w:proofErr w:type="gramStart"/>
      <w:r>
        <w:t>2</w:t>
      </w:r>
      <w:r w:rsidR="000C722C">
        <w:t>18494</w:t>
      </w:r>
      <w:r w:rsidR="000F05F4">
        <w:t>9</w:t>
      </w:r>
      <w:bookmarkStart w:id="0" w:name="_GoBack"/>
      <w:bookmarkEnd w:id="0"/>
      <w:r w:rsidR="000C722C">
        <w:t>,</w:t>
      </w:r>
      <w:proofErr w:type="gramEnd"/>
      <w:r w:rsidR="000C722C">
        <w:t xml:space="preserve"> is dismissed with prejudice.</w:t>
      </w:r>
    </w:p>
    <w:p w:rsidR="000C722C" w:rsidRDefault="000C722C" w:rsidP="00FA4B5B">
      <w:pPr>
        <w:jc w:val="left"/>
      </w:pPr>
    </w:p>
    <w:p w:rsidR="000C722C" w:rsidRPr="00FA4B5B" w:rsidRDefault="000C722C" w:rsidP="00FA4B5B">
      <w:pPr>
        <w:jc w:val="left"/>
      </w:pPr>
      <w:r>
        <w:tab/>
      </w:r>
      <w:r>
        <w:tab/>
        <w:t>4.</w:t>
      </w:r>
      <w:r>
        <w:tab/>
        <w:t>That the Secretary mark this docket closed.</w:t>
      </w:r>
    </w:p>
    <w:p w:rsidR="00FA4B5B" w:rsidRDefault="00FA4B5B" w:rsidP="00FA4B5B">
      <w:pPr>
        <w:jc w:val="left"/>
      </w:pPr>
    </w:p>
    <w:p w:rsidR="00AF603D" w:rsidRDefault="00AF603D" w:rsidP="00FA4B5B">
      <w:pPr>
        <w:jc w:val="left"/>
      </w:pPr>
    </w:p>
    <w:p w:rsidR="00FA4B5B" w:rsidRDefault="00FA4B5B" w:rsidP="00FA4B5B">
      <w:pPr>
        <w:spacing w:line="240" w:lineRule="auto"/>
        <w:contextualSpacing/>
        <w:jc w:val="left"/>
      </w:pPr>
      <w:r w:rsidRPr="0030236D">
        <w:t>Dated:</w:t>
      </w:r>
      <w:r w:rsidRPr="0030236D">
        <w:tab/>
        <w:t xml:space="preserve"> </w:t>
      </w:r>
      <w:r w:rsidR="00651A14">
        <w:rPr>
          <w:u w:val="single"/>
        </w:rPr>
        <w:t>Novem</w:t>
      </w:r>
      <w:r>
        <w:rPr>
          <w:u w:val="single"/>
        </w:rPr>
        <w:t>ber 1</w:t>
      </w:r>
      <w:r w:rsidR="00651A14">
        <w:rPr>
          <w:u w:val="single"/>
        </w:rPr>
        <w:t>8</w:t>
      </w:r>
      <w:r>
        <w:rPr>
          <w:u w:val="single"/>
        </w:rPr>
        <w:t>, 2011</w:t>
      </w:r>
      <w:r>
        <w:tab/>
      </w:r>
      <w:r>
        <w:tab/>
      </w:r>
      <w:r>
        <w:tab/>
        <w:t>_______________________________________</w:t>
      </w:r>
    </w:p>
    <w:p w:rsidR="00FA4B5B" w:rsidRDefault="00FA4B5B" w:rsidP="00FA4B5B">
      <w:pPr>
        <w:spacing w:line="240" w:lineRule="auto"/>
        <w:contextualSpacing/>
        <w:jc w:val="left"/>
      </w:pPr>
      <w:r>
        <w:tab/>
      </w:r>
      <w:r>
        <w:tab/>
      </w:r>
      <w:r>
        <w:tab/>
      </w:r>
      <w:r>
        <w:tab/>
      </w:r>
      <w:r>
        <w:tab/>
      </w:r>
      <w:r>
        <w:tab/>
        <w:t>Susan D. Colwell</w:t>
      </w:r>
    </w:p>
    <w:p w:rsidR="00FA4B5B" w:rsidRPr="00411ECF" w:rsidRDefault="00FA4B5B" w:rsidP="00FA4B5B">
      <w:pPr>
        <w:spacing w:line="240" w:lineRule="auto"/>
        <w:contextualSpacing/>
        <w:jc w:val="left"/>
        <w:rPr>
          <w:b/>
        </w:rPr>
      </w:pPr>
      <w:r>
        <w:tab/>
      </w:r>
      <w:r>
        <w:tab/>
      </w:r>
      <w:r>
        <w:tab/>
      </w:r>
      <w:r>
        <w:tab/>
      </w:r>
      <w:r>
        <w:tab/>
      </w:r>
      <w:r>
        <w:tab/>
        <w:t>Administrative Law Judge</w:t>
      </w:r>
    </w:p>
    <w:sectPr w:rsidR="00FA4B5B" w:rsidRPr="00411ECF" w:rsidSect="00FA4B5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FAC" w:rsidRDefault="00284FAC" w:rsidP="00FA4B5B">
      <w:pPr>
        <w:spacing w:line="240" w:lineRule="auto"/>
      </w:pPr>
      <w:r>
        <w:separator/>
      </w:r>
    </w:p>
  </w:endnote>
  <w:endnote w:type="continuationSeparator" w:id="0">
    <w:p w:rsidR="00284FAC" w:rsidRDefault="00284FAC" w:rsidP="00FA4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927211"/>
      <w:docPartObj>
        <w:docPartGallery w:val="Page Numbers (Bottom of Page)"/>
        <w:docPartUnique/>
      </w:docPartObj>
    </w:sdtPr>
    <w:sdtEndPr>
      <w:rPr>
        <w:noProof/>
        <w:sz w:val="20"/>
        <w:szCs w:val="20"/>
      </w:rPr>
    </w:sdtEndPr>
    <w:sdtContent>
      <w:p w:rsidR="00FA4B5B" w:rsidRPr="00AF603D" w:rsidRDefault="00FA4B5B">
        <w:pPr>
          <w:pStyle w:val="Footer"/>
          <w:rPr>
            <w:sz w:val="20"/>
            <w:szCs w:val="20"/>
          </w:rPr>
        </w:pPr>
        <w:r w:rsidRPr="00AF603D">
          <w:rPr>
            <w:sz w:val="20"/>
            <w:szCs w:val="20"/>
          </w:rPr>
          <w:fldChar w:fldCharType="begin"/>
        </w:r>
        <w:r w:rsidRPr="00AF603D">
          <w:rPr>
            <w:sz w:val="20"/>
            <w:szCs w:val="20"/>
          </w:rPr>
          <w:instrText xml:space="preserve"> PAGE   \* MERGEFORMAT </w:instrText>
        </w:r>
        <w:r w:rsidRPr="00AF603D">
          <w:rPr>
            <w:sz w:val="20"/>
            <w:szCs w:val="20"/>
          </w:rPr>
          <w:fldChar w:fldCharType="separate"/>
        </w:r>
        <w:r w:rsidR="000F05F4">
          <w:rPr>
            <w:noProof/>
            <w:sz w:val="20"/>
            <w:szCs w:val="20"/>
          </w:rPr>
          <w:t>7</w:t>
        </w:r>
        <w:r w:rsidRPr="00AF603D">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FAC" w:rsidRDefault="00284FAC" w:rsidP="00FA4B5B">
      <w:pPr>
        <w:spacing w:line="240" w:lineRule="auto"/>
      </w:pPr>
      <w:r>
        <w:separator/>
      </w:r>
    </w:p>
  </w:footnote>
  <w:footnote w:type="continuationSeparator" w:id="0">
    <w:p w:rsidR="00284FAC" w:rsidRDefault="00284FAC" w:rsidP="00FA4B5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16B03"/>
    <w:multiLevelType w:val="hybridMultilevel"/>
    <w:tmpl w:val="B9C41F88"/>
    <w:lvl w:ilvl="0" w:tplc="965E3C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36D6F01"/>
    <w:multiLevelType w:val="hybridMultilevel"/>
    <w:tmpl w:val="410A7982"/>
    <w:lvl w:ilvl="0" w:tplc="965E3C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7F12E1"/>
    <w:multiLevelType w:val="hybridMultilevel"/>
    <w:tmpl w:val="FF002BC4"/>
    <w:lvl w:ilvl="0" w:tplc="965E3C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C5579B0"/>
    <w:multiLevelType w:val="hybridMultilevel"/>
    <w:tmpl w:val="C5AC1368"/>
    <w:lvl w:ilvl="0" w:tplc="965E3C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B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22C"/>
    <w:rsid w:val="000C7A4F"/>
    <w:rsid w:val="000D29BA"/>
    <w:rsid w:val="000D3E49"/>
    <w:rsid w:val="000D5763"/>
    <w:rsid w:val="000E2F36"/>
    <w:rsid w:val="000E44C4"/>
    <w:rsid w:val="000E49E6"/>
    <w:rsid w:val="000E4A42"/>
    <w:rsid w:val="000E503F"/>
    <w:rsid w:val="000E6827"/>
    <w:rsid w:val="000E71B3"/>
    <w:rsid w:val="000E7515"/>
    <w:rsid w:val="000E7EF5"/>
    <w:rsid w:val="000F05F4"/>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4FAC"/>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A14"/>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072A4"/>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970F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311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3BCF"/>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0CC"/>
    <w:rsid w:val="008C11EE"/>
    <w:rsid w:val="008C1485"/>
    <w:rsid w:val="008C175C"/>
    <w:rsid w:val="008C2DAF"/>
    <w:rsid w:val="008C3720"/>
    <w:rsid w:val="008C668F"/>
    <w:rsid w:val="008D1DBE"/>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AB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4EA9"/>
    <w:rsid w:val="009B66C0"/>
    <w:rsid w:val="009B72A1"/>
    <w:rsid w:val="009B74A5"/>
    <w:rsid w:val="009C008D"/>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603D"/>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676C1"/>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5728"/>
    <w:rsid w:val="00C3643C"/>
    <w:rsid w:val="00C36C29"/>
    <w:rsid w:val="00C41646"/>
    <w:rsid w:val="00C4383B"/>
    <w:rsid w:val="00C4601A"/>
    <w:rsid w:val="00C471FF"/>
    <w:rsid w:val="00C478FE"/>
    <w:rsid w:val="00C502DD"/>
    <w:rsid w:val="00C613E2"/>
    <w:rsid w:val="00C621E3"/>
    <w:rsid w:val="00C6430C"/>
    <w:rsid w:val="00C64E24"/>
    <w:rsid w:val="00C65047"/>
    <w:rsid w:val="00C653CC"/>
    <w:rsid w:val="00C665D4"/>
    <w:rsid w:val="00C67E56"/>
    <w:rsid w:val="00C7360A"/>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B5B"/>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2497"/>
    <w:rsid w:val="00FF3E8D"/>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08D"/>
    <w:pPr>
      <w:ind w:left="720"/>
      <w:contextualSpacing/>
    </w:pPr>
  </w:style>
  <w:style w:type="paragraph" w:styleId="Revision">
    <w:name w:val="Revision"/>
    <w:hidden/>
    <w:uiPriority w:val="99"/>
    <w:semiHidden/>
    <w:rsid w:val="009C008D"/>
    <w:pPr>
      <w:spacing w:line="240" w:lineRule="auto"/>
      <w:jc w:val="left"/>
    </w:pPr>
  </w:style>
  <w:style w:type="paragraph" w:styleId="BalloonText">
    <w:name w:val="Balloon Text"/>
    <w:basedOn w:val="Normal"/>
    <w:link w:val="BalloonTextChar"/>
    <w:uiPriority w:val="99"/>
    <w:semiHidden/>
    <w:unhideWhenUsed/>
    <w:rsid w:val="009C00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08D"/>
    <w:rPr>
      <w:rFonts w:ascii="Tahoma" w:hAnsi="Tahoma" w:cs="Tahoma"/>
      <w:sz w:val="16"/>
      <w:szCs w:val="16"/>
    </w:rPr>
  </w:style>
  <w:style w:type="paragraph" w:styleId="NoSpacing">
    <w:name w:val="No Spacing"/>
    <w:uiPriority w:val="1"/>
    <w:qFormat/>
    <w:rsid w:val="009C008D"/>
    <w:pPr>
      <w:spacing w:line="240" w:lineRule="auto"/>
    </w:pPr>
  </w:style>
  <w:style w:type="character" w:styleId="Hyperlink">
    <w:name w:val="Hyperlink"/>
    <w:basedOn w:val="DefaultParagraphFont"/>
    <w:uiPriority w:val="99"/>
    <w:semiHidden/>
    <w:unhideWhenUsed/>
    <w:rsid w:val="00C7360A"/>
    <w:rPr>
      <w:strike w:val="0"/>
      <w:dstrike w:val="0"/>
      <w:color w:val="004B91"/>
      <w:u w:val="none"/>
      <w:effect w:val="none"/>
    </w:rPr>
  </w:style>
  <w:style w:type="paragraph" w:styleId="Header">
    <w:name w:val="header"/>
    <w:basedOn w:val="Normal"/>
    <w:link w:val="HeaderChar"/>
    <w:uiPriority w:val="99"/>
    <w:unhideWhenUsed/>
    <w:rsid w:val="00FA4B5B"/>
    <w:pPr>
      <w:tabs>
        <w:tab w:val="center" w:pos="4680"/>
        <w:tab w:val="right" w:pos="9360"/>
      </w:tabs>
      <w:spacing w:line="240" w:lineRule="auto"/>
    </w:pPr>
  </w:style>
  <w:style w:type="character" w:customStyle="1" w:styleId="HeaderChar">
    <w:name w:val="Header Char"/>
    <w:basedOn w:val="DefaultParagraphFont"/>
    <w:link w:val="Header"/>
    <w:uiPriority w:val="99"/>
    <w:rsid w:val="00FA4B5B"/>
  </w:style>
  <w:style w:type="paragraph" w:styleId="Footer">
    <w:name w:val="footer"/>
    <w:basedOn w:val="Normal"/>
    <w:link w:val="FooterChar"/>
    <w:uiPriority w:val="99"/>
    <w:unhideWhenUsed/>
    <w:rsid w:val="00FA4B5B"/>
    <w:pPr>
      <w:tabs>
        <w:tab w:val="center" w:pos="4680"/>
        <w:tab w:val="right" w:pos="9360"/>
      </w:tabs>
      <w:spacing w:line="240" w:lineRule="auto"/>
    </w:pPr>
  </w:style>
  <w:style w:type="character" w:customStyle="1" w:styleId="FooterChar">
    <w:name w:val="Footer Char"/>
    <w:basedOn w:val="DefaultParagraphFont"/>
    <w:link w:val="Footer"/>
    <w:uiPriority w:val="99"/>
    <w:rsid w:val="00FA4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08D"/>
    <w:pPr>
      <w:ind w:left="720"/>
      <w:contextualSpacing/>
    </w:pPr>
  </w:style>
  <w:style w:type="paragraph" w:styleId="Revision">
    <w:name w:val="Revision"/>
    <w:hidden/>
    <w:uiPriority w:val="99"/>
    <w:semiHidden/>
    <w:rsid w:val="009C008D"/>
    <w:pPr>
      <w:spacing w:line="240" w:lineRule="auto"/>
      <w:jc w:val="left"/>
    </w:pPr>
  </w:style>
  <w:style w:type="paragraph" w:styleId="BalloonText">
    <w:name w:val="Balloon Text"/>
    <w:basedOn w:val="Normal"/>
    <w:link w:val="BalloonTextChar"/>
    <w:uiPriority w:val="99"/>
    <w:semiHidden/>
    <w:unhideWhenUsed/>
    <w:rsid w:val="009C00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08D"/>
    <w:rPr>
      <w:rFonts w:ascii="Tahoma" w:hAnsi="Tahoma" w:cs="Tahoma"/>
      <w:sz w:val="16"/>
      <w:szCs w:val="16"/>
    </w:rPr>
  </w:style>
  <w:style w:type="paragraph" w:styleId="NoSpacing">
    <w:name w:val="No Spacing"/>
    <w:uiPriority w:val="1"/>
    <w:qFormat/>
    <w:rsid w:val="009C008D"/>
    <w:pPr>
      <w:spacing w:line="240" w:lineRule="auto"/>
    </w:pPr>
  </w:style>
  <w:style w:type="character" w:styleId="Hyperlink">
    <w:name w:val="Hyperlink"/>
    <w:basedOn w:val="DefaultParagraphFont"/>
    <w:uiPriority w:val="99"/>
    <w:semiHidden/>
    <w:unhideWhenUsed/>
    <w:rsid w:val="00C7360A"/>
    <w:rPr>
      <w:strike w:val="0"/>
      <w:dstrike w:val="0"/>
      <w:color w:val="004B91"/>
      <w:u w:val="none"/>
      <w:effect w:val="none"/>
    </w:rPr>
  </w:style>
  <w:style w:type="paragraph" w:styleId="Header">
    <w:name w:val="header"/>
    <w:basedOn w:val="Normal"/>
    <w:link w:val="HeaderChar"/>
    <w:uiPriority w:val="99"/>
    <w:unhideWhenUsed/>
    <w:rsid w:val="00FA4B5B"/>
    <w:pPr>
      <w:tabs>
        <w:tab w:val="center" w:pos="4680"/>
        <w:tab w:val="right" w:pos="9360"/>
      </w:tabs>
      <w:spacing w:line="240" w:lineRule="auto"/>
    </w:pPr>
  </w:style>
  <w:style w:type="character" w:customStyle="1" w:styleId="HeaderChar">
    <w:name w:val="Header Char"/>
    <w:basedOn w:val="DefaultParagraphFont"/>
    <w:link w:val="Header"/>
    <w:uiPriority w:val="99"/>
    <w:rsid w:val="00FA4B5B"/>
  </w:style>
  <w:style w:type="paragraph" w:styleId="Footer">
    <w:name w:val="footer"/>
    <w:basedOn w:val="Normal"/>
    <w:link w:val="FooterChar"/>
    <w:uiPriority w:val="99"/>
    <w:unhideWhenUsed/>
    <w:rsid w:val="00FA4B5B"/>
    <w:pPr>
      <w:tabs>
        <w:tab w:val="center" w:pos="4680"/>
        <w:tab w:val="right" w:pos="9360"/>
      </w:tabs>
      <w:spacing w:line="240" w:lineRule="auto"/>
    </w:pPr>
  </w:style>
  <w:style w:type="character" w:customStyle="1" w:styleId="FooterChar">
    <w:name w:val="Footer Char"/>
    <w:basedOn w:val="DefaultParagraphFont"/>
    <w:link w:val="Footer"/>
    <w:uiPriority w:val="99"/>
    <w:rsid w:val="00FA4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E4CA-5E4A-48CC-B4B4-AD6D574A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tibikunle</cp:lastModifiedBy>
  <cp:revision>4</cp:revision>
  <cp:lastPrinted>2011-11-30T14:44:00Z</cp:lastPrinted>
  <dcterms:created xsi:type="dcterms:W3CDTF">2011-11-18T13:29:00Z</dcterms:created>
  <dcterms:modified xsi:type="dcterms:W3CDTF">2011-11-30T14:44:00Z</dcterms:modified>
</cp:coreProperties>
</file>