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09" w:rsidRPr="00224E09" w:rsidRDefault="00D93ADE" w:rsidP="00224E09">
      <w:pPr>
        <w:tabs>
          <w:tab w:val="center" w:pos="4680"/>
        </w:tabs>
        <w:suppressAutoHyphens/>
        <w:jc w:val="center"/>
        <w:rPr>
          <w:b/>
          <w:spacing w:val="-3"/>
          <w:szCs w:val="26"/>
        </w:rPr>
      </w:pPr>
      <w:r w:rsidRPr="00224E09">
        <w:rPr>
          <w:b/>
          <w:spacing w:val="-3"/>
          <w:szCs w:val="26"/>
        </w:rPr>
        <w:t>PENNSYLVANIA</w:t>
      </w:r>
    </w:p>
    <w:p w:rsidR="00D93ADE" w:rsidRPr="00224E09" w:rsidRDefault="00D93ADE" w:rsidP="00224E09">
      <w:pPr>
        <w:tabs>
          <w:tab w:val="center" w:pos="4680"/>
        </w:tabs>
        <w:suppressAutoHyphens/>
        <w:jc w:val="center"/>
        <w:rPr>
          <w:b/>
          <w:spacing w:val="-3"/>
          <w:szCs w:val="26"/>
        </w:rPr>
      </w:pPr>
      <w:r w:rsidRPr="00224E09">
        <w:rPr>
          <w:b/>
          <w:spacing w:val="-3"/>
          <w:szCs w:val="26"/>
        </w:rPr>
        <w:t>PUBLIC UTILITY COMMISSION</w:t>
      </w:r>
    </w:p>
    <w:p w:rsidR="00224E09" w:rsidRPr="00224E09" w:rsidRDefault="00224E09" w:rsidP="00224E09">
      <w:pPr>
        <w:tabs>
          <w:tab w:val="center" w:pos="4680"/>
        </w:tabs>
        <w:suppressAutoHyphens/>
        <w:jc w:val="center"/>
        <w:rPr>
          <w:b/>
          <w:spacing w:val="-3"/>
          <w:szCs w:val="26"/>
        </w:rPr>
      </w:pPr>
      <w:r w:rsidRPr="00224E09">
        <w:rPr>
          <w:b/>
          <w:spacing w:val="-3"/>
          <w:szCs w:val="26"/>
        </w:rPr>
        <w:t>Harrisburg, PA  17120</w:t>
      </w:r>
    </w:p>
    <w:p w:rsidR="00D93ADE" w:rsidRDefault="00D93ADE" w:rsidP="00224E09">
      <w:pPr>
        <w:tabs>
          <w:tab w:val="left" w:pos="-1440"/>
          <w:tab w:val="left" w:pos="-720"/>
        </w:tabs>
        <w:suppressAutoHyphens/>
        <w:rPr>
          <w:spacing w:val="-3"/>
          <w:szCs w:val="26"/>
        </w:rPr>
      </w:pPr>
    </w:p>
    <w:p w:rsidR="00224E09" w:rsidRPr="00224E09" w:rsidRDefault="00224E09" w:rsidP="00224E09">
      <w:pPr>
        <w:tabs>
          <w:tab w:val="left" w:pos="-1440"/>
          <w:tab w:val="left" w:pos="-720"/>
        </w:tabs>
        <w:suppressAutoHyphens/>
        <w:jc w:val="right"/>
        <w:rPr>
          <w:spacing w:val="-3"/>
          <w:szCs w:val="26"/>
        </w:rPr>
      </w:pPr>
      <w:r>
        <w:rPr>
          <w:spacing w:val="-3"/>
          <w:szCs w:val="26"/>
        </w:rPr>
        <w:t>Public Meeting held November 10, 2011</w:t>
      </w:r>
    </w:p>
    <w:p w:rsidR="00D93ADE" w:rsidRDefault="00D93ADE"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Commissioners Present:</w:t>
      </w:r>
    </w:p>
    <w:p w:rsidR="00224E09" w:rsidRDefault="00224E09"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ab/>
        <w:t>Robert F. Powelson, Chairman</w:t>
      </w:r>
    </w:p>
    <w:p w:rsidR="00224E09" w:rsidRDefault="00224E09" w:rsidP="00224E09">
      <w:pPr>
        <w:tabs>
          <w:tab w:val="left" w:pos="-1440"/>
          <w:tab w:val="left" w:pos="-720"/>
        </w:tabs>
        <w:suppressAutoHyphens/>
        <w:rPr>
          <w:spacing w:val="-3"/>
          <w:szCs w:val="26"/>
        </w:rPr>
      </w:pPr>
      <w:r>
        <w:rPr>
          <w:spacing w:val="-3"/>
          <w:szCs w:val="26"/>
        </w:rPr>
        <w:tab/>
        <w:t>John F. Coleman, Jr., Vice Chairman</w:t>
      </w:r>
    </w:p>
    <w:p w:rsidR="00224E09" w:rsidRDefault="00224E09" w:rsidP="00224E09">
      <w:pPr>
        <w:tabs>
          <w:tab w:val="left" w:pos="-1440"/>
          <w:tab w:val="left" w:pos="-720"/>
        </w:tabs>
        <w:suppressAutoHyphens/>
        <w:rPr>
          <w:spacing w:val="-3"/>
          <w:szCs w:val="26"/>
        </w:rPr>
      </w:pPr>
      <w:r>
        <w:rPr>
          <w:spacing w:val="-3"/>
          <w:szCs w:val="26"/>
        </w:rPr>
        <w:tab/>
        <w:t>Wayne E. Gardner</w:t>
      </w:r>
    </w:p>
    <w:p w:rsidR="00224E09" w:rsidRDefault="00224E09" w:rsidP="00224E09">
      <w:pPr>
        <w:tabs>
          <w:tab w:val="left" w:pos="-1440"/>
          <w:tab w:val="left" w:pos="-720"/>
        </w:tabs>
        <w:suppressAutoHyphens/>
        <w:rPr>
          <w:spacing w:val="-3"/>
          <w:szCs w:val="26"/>
        </w:rPr>
      </w:pPr>
      <w:r>
        <w:rPr>
          <w:spacing w:val="-3"/>
          <w:szCs w:val="26"/>
        </w:rPr>
        <w:tab/>
        <w:t xml:space="preserve">James H. </w:t>
      </w:r>
      <w:proofErr w:type="spellStart"/>
      <w:r>
        <w:rPr>
          <w:spacing w:val="-3"/>
          <w:szCs w:val="26"/>
        </w:rPr>
        <w:t>Cawley</w:t>
      </w:r>
      <w:proofErr w:type="spellEnd"/>
      <w:r w:rsidR="00E551C2">
        <w:rPr>
          <w:spacing w:val="-3"/>
          <w:szCs w:val="26"/>
        </w:rPr>
        <w:t>, Concurring in Result Only</w:t>
      </w:r>
      <w:bookmarkStart w:id="0" w:name="_GoBack"/>
      <w:bookmarkEnd w:id="0"/>
    </w:p>
    <w:p w:rsidR="00224E09" w:rsidRDefault="00224E09" w:rsidP="00224E09">
      <w:pPr>
        <w:tabs>
          <w:tab w:val="left" w:pos="-1440"/>
          <w:tab w:val="left" w:pos="-720"/>
        </w:tabs>
        <w:suppressAutoHyphens/>
        <w:rPr>
          <w:spacing w:val="-3"/>
          <w:szCs w:val="26"/>
        </w:rPr>
      </w:pPr>
      <w:r>
        <w:rPr>
          <w:spacing w:val="-3"/>
          <w:szCs w:val="26"/>
        </w:rPr>
        <w:tab/>
        <w:t>Pamela A. Witmer</w:t>
      </w:r>
    </w:p>
    <w:p w:rsidR="00224E09" w:rsidRPr="00224E09" w:rsidRDefault="00224E09" w:rsidP="00224E09">
      <w:pPr>
        <w:tabs>
          <w:tab w:val="left" w:pos="-1440"/>
          <w:tab w:val="left" w:pos="-720"/>
        </w:tabs>
        <w:suppressAutoHyphens/>
        <w:rPr>
          <w:spacing w:val="-3"/>
          <w:szCs w:val="26"/>
        </w:rPr>
      </w:pPr>
    </w:p>
    <w:p w:rsidR="00D93ADE" w:rsidRPr="00224E09" w:rsidRDefault="00D93ADE" w:rsidP="00CA735A">
      <w:pPr>
        <w:tabs>
          <w:tab w:val="left" w:pos="-1440"/>
          <w:tab w:val="left" w:pos="-720"/>
        </w:tabs>
        <w:suppressAutoHyphens/>
        <w:ind w:firstLine="1440"/>
        <w:rPr>
          <w:spacing w:val="-3"/>
          <w:szCs w:val="26"/>
        </w:rPr>
      </w:pPr>
    </w:p>
    <w:p w:rsidR="00D93ADE" w:rsidRPr="00224E09" w:rsidRDefault="00224E09" w:rsidP="00CA735A">
      <w:pPr>
        <w:tabs>
          <w:tab w:val="left" w:pos="-1440"/>
          <w:tab w:val="left" w:pos="-720"/>
        </w:tabs>
        <w:suppressAutoHyphens/>
        <w:rPr>
          <w:spacing w:val="-3"/>
          <w:szCs w:val="26"/>
        </w:rPr>
      </w:pPr>
      <w:r>
        <w:rPr>
          <w:spacing w:val="-3"/>
          <w:szCs w:val="26"/>
        </w:rPr>
        <w:t>Brian M. Rudnick</w:t>
      </w: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t>v.</w:t>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sidR="00D93ADE" w:rsidRPr="00224E09">
        <w:rPr>
          <w:spacing w:val="-3"/>
          <w:szCs w:val="26"/>
        </w:rPr>
        <w:tab/>
      </w:r>
      <w:r w:rsidR="00D93ADE" w:rsidRPr="00224E09">
        <w:rPr>
          <w:spacing w:val="-3"/>
          <w:szCs w:val="26"/>
        </w:rPr>
        <w:tab/>
      </w:r>
      <w:r w:rsidR="0040339C" w:rsidRPr="00224E09">
        <w:rPr>
          <w:spacing w:val="-3"/>
          <w:szCs w:val="26"/>
        </w:rPr>
        <w:t>C-20</w:t>
      </w:r>
      <w:r w:rsidR="00207CBC" w:rsidRPr="00224E09">
        <w:rPr>
          <w:spacing w:val="-3"/>
          <w:szCs w:val="26"/>
        </w:rPr>
        <w:t>11</w:t>
      </w:r>
      <w:r w:rsidR="0040339C" w:rsidRPr="00224E09">
        <w:rPr>
          <w:spacing w:val="-3"/>
          <w:szCs w:val="26"/>
        </w:rPr>
        <w:t>-2</w:t>
      </w:r>
      <w:r w:rsidR="00207CBC" w:rsidRPr="00224E09">
        <w:rPr>
          <w:spacing w:val="-3"/>
          <w:szCs w:val="26"/>
        </w:rPr>
        <w:t>238995</w:t>
      </w:r>
    </w:p>
    <w:p w:rsidR="00D93ADE" w:rsidRPr="00224E09" w:rsidRDefault="00224E09" w:rsidP="00CA735A">
      <w:pPr>
        <w:tabs>
          <w:tab w:val="left" w:pos="-1440"/>
          <w:tab w:val="left" w:pos="-720"/>
        </w:tabs>
        <w:suppressAutoHyphens/>
        <w:rPr>
          <w:spacing w:val="-3"/>
          <w:szCs w:val="26"/>
        </w:rPr>
      </w:pP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40339C" w:rsidP="00CA735A">
      <w:pPr>
        <w:tabs>
          <w:tab w:val="left" w:pos="-1440"/>
          <w:tab w:val="left" w:pos="-720"/>
        </w:tabs>
        <w:suppressAutoHyphens/>
        <w:rPr>
          <w:spacing w:val="-3"/>
          <w:szCs w:val="26"/>
        </w:rPr>
      </w:pPr>
      <w:r w:rsidRPr="00224E09">
        <w:rPr>
          <w:spacing w:val="-3"/>
          <w:szCs w:val="26"/>
        </w:rPr>
        <w:t>Verizon Pennsylvania Inc.</w:t>
      </w:r>
      <w:r w:rsidR="00224E09">
        <w:rPr>
          <w:spacing w:val="-3"/>
          <w:szCs w:val="26"/>
        </w:rPr>
        <w:tab/>
      </w:r>
      <w:r w:rsidR="00224E09">
        <w:rPr>
          <w:spacing w:val="-3"/>
          <w:szCs w:val="26"/>
        </w:rPr>
        <w:tab/>
      </w:r>
      <w:r w:rsidR="00224E09">
        <w:rPr>
          <w:spacing w:val="-3"/>
          <w:szCs w:val="26"/>
        </w:rPr>
        <w:tab/>
      </w:r>
      <w:r w:rsidR="00224E09">
        <w:rPr>
          <w:spacing w:val="-3"/>
          <w:szCs w:val="26"/>
        </w:rPr>
        <w:tab/>
      </w:r>
    </w:p>
    <w:p w:rsidR="00D93ADE" w:rsidRPr="00224E09" w:rsidRDefault="00D93ADE" w:rsidP="00224E09">
      <w:pPr>
        <w:tabs>
          <w:tab w:val="center" w:pos="4680"/>
        </w:tabs>
        <w:suppressAutoHyphens/>
        <w:rPr>
          <w:spacing w:val="-3"/>
          <w:szCs w:val="26"/>
        </w:rPr>
      </w:pPr>
    </w:p>
    <w:p w:rsidR="00D93ADE" w:rsidRPr="00224E09" w:rsidRDefault="00D93ADE" w:rsidP="00CA735A">
      <w:pPr>
        <w:tabs>
          <w:tab w:val="left" w:pos="-1440"/>
          <w:tab w:val="left" w:pos="-720"/>
        </w:tabs>
        <w:suppressAutoHyphens/>
        <w:ind w:firstLine="1440"/>
        <w:jc w:val="center"/>
        <w:rPr>
          <w:spacing w:val="-3"/>
          <w:szCs w:val="26"/>
        </w:rPr>
      </w:pPr>
    </w:p>
    <w:p w:rsidR="00D93ADE" w:rsidRPr="00224E09" w:rsidRDefault="00D93ADE" w:rsidP="00CA735A">
      <w:pPr>
        <w:tabs>
          <w:tab w:val="left" w:pos="-1440"/>
          <w:tab w:val="left" w:pos="-720"/>
        </w:tabs>
        <w:suppressAutoHyphens/>
        <w:ind w:firstLine="1440"/>
        <w:jc w:val="center"/>
        <w:rPr>
          <w:spacing w:val="-3"/>
          <w:szCs w:val="26"/>
        </w:rPr>
      </w:pPr>
    </w:p>
    <w:p w:rsidR="00D93ADE" w:rsidRDefault="00224E09" w:rsidP="00CA735A">
      <w:pPr>
        <w:tabs>
          <w:tab w:val="center" w:pos="4680"/>
        </w:tabs>
        <w:suppressAutoHyphens/>
        <w:jc w:val="center"/>
        <w:rPr>
          <w:b/>
          <w:spacing w:val="-3"/>
          <w:szCs w:val="26"/>
        </w:rPr>
      </w:pPr>
      <w:r w:rsidRPr="00224E09">
        <w:rPr>
          <w:b/>
          <w:spacing w:val="-3"/>
          <w:szCs w:val="26"/>
        </w:rPr>
        <w:t>OPINION AND ORDER</w:t>
      </w:r>
    </w:p>
    <w:p w:rsidR="00224E09" w:rsidRDefault="00224E09" w:rsidP="00CA735A">
      <w:pPr>
        <w:tabs>
          <w:tab w:val="center" w:pos="4680"/>
        </w:tabs>
        <w:suppressAutoHyphens/>
        <w:jc w:val="center"/>
        <w:rPr>
          <w:b/>
          <w:spacing w:val="-3"/>
          <w:szCs w:val="26"/>
        </w:rPr>
      </w:pPr>
    </w:p>
    <w:p w:rsidR="00224E09" w:rsidRPr="00224E09" w:rsidRDefault="00224E09" w:rsidP="00F27A83">
      <w:pPr>
        <w:tabs>
          <w:tab w:val="center" w:pos="4680"/>
        </w:tabs>
        <w:suppressAutoHyphens/>
        <w:spacing w:line="360" w:lineRule="auto"/>
        <w:rPr>
          <w:b/>
          <w:spacing w:val="-3"/>
          <w:szCs w:val="26"/>
        </w:rPr>
      </w:pPr>
      <w:r>
        <w:rPr>
          <w:b/>
          <w:spacing w:val="-3"/>
          <w:szCs w:val="26"/>
        </w:rPr>
        <w:t>BY THE COMMISSION:</w:t>
      </w:r>
    </w:p>
    <w:p w:rsidR="00D93ADE" w:rsidRPr="00224E09" w:rsidRDefault="00D93ADE" w:rsidP="00224E09">
      <w:pPr>
        <w:tabs>
          <w:tab w:val="left" w:pos="-1440"/>
          <w:tab w:val="left" w:pos="-720"/>
        </w:tabs>
        <w:suppressAutoHyphens/>
        <w:spacing w:line="360" w:lineRule="auto"/>
        <w:rPr>
          <w:spacing w:val="-3"/>
          <w:szCs w:val="26"/>
        </w:rPr>
      </w:pPr>
    </w:p>
    <w:p w:rsidR="006A51D9" w:rsidRDefault="00224E09" w:rsidP="00CA735A">
      <w:pPr>
        <w:tabs>
          <w:tab w:val="left" w:pos="-1440"/>
          <w:tab w:val="left" w:pos="-720"/>
        </w:tabs>
        <w:suppressAutoHyphens/>
        <w:spacing w:line="360" w:lineRule="auto"/>
        <w:ind w:firstLine="1440"/>
        <w:rPr>
          <w:spacing w:val="-3"/>
          <w:szCs w:val="26"/>
        </w:rPr>
      </w:pPr>
      <w:r>
        <w:rPr>
          <w:spacing w:val="-3"/>
          <w:szCs w:val="26"/>
        </w:rPr>
        <w:t xml:space="preserve">Before the Pennsylvania Public Utility Commission (Commission) for consideration and disposition is the Initial Decision </w:t>
      </w:r>
      <w:r w:rsidR="00365C75">
        <w:rPr>
          <w:spacing w:val="-3"/>
          <w:szCs w:val="26"/>
        </w:rPr>
        <w:t>(I</w:t>
      </w:r>
      <w:r w:rsidR="00B14BD5">
        <w:rPr>
          <w:spacing w:val="-3"/>
          <w:szCs w:val="26"/>
        </w:rPr>
        <w:t>.</w:t>
      </w:r>
      <w:r w:rsidR="00365C75">
        <w:rPr>
          <w:spacing w:val="-3"/>
          <w:szCs w:val="26"/>
        </w:rPr>
        <w:t>D</w:t>
      </w:r>
      <w:r w:rsidR="00B14BD5">
        <w:rPr>
          <w:spacing w:val="-3"/>
          <w:szCs w:val="26"/>
        </w:rPr>
        <w:t>.</w:t>
      </w:r>
      <w:r w:rsidR="00365C75">
        <w:rPr>
          <w:spacing w:val="-3"/>
          <w:szCs w:val="26"/>
        </w:rPr>
        <w:t xml:space="preserve">) </w:t>
      </w:r>
      <w:r>
        <w:rPr>
          <w:spacing w:val="-3"/>
          <w:szCs w:val="26"/>
        </w:rPr>
        <w:t>of Administrative Law J</w:t>
      </w:r>
      <w:r w:rsidR="00AE0D5A">
        <w:rPr>
          <w:spacing w:val="-3"/>
          <w:szCs w:val="26"/>
        </w:rPr>
        <w:t>udge (ALJ)</w:t>
      </w:r>
      <w:r w:rsidR="00365C75">
        <w:rPr>
          <w:spacing w:val="-3"/>
          <w:szCs w:val="26"/>
        </w:rPr>
        <w:t xml:space="preserve"> Dennis J. Buckley issued August 2</w:t>
      </w:r>
      <w:r>
        <w:rPr>
          <w:spacing w:val="-3"/>
          <w:szCs w:val="26"/>
        </w:rPr>
        <w:t xml:space="preserve">, 2011, in the above-captioned proceeding.  The Initial Decision granted </w:t>
      </w:r>
      <w:r w:rsidR="00755701">
        <w:rPr>
          <w:spacing w:val="-3"/>
          <w:szCs w:val="26"/>
        </w:rPr>
        <w:t xml:space="preserve">one of </w:t>
      </w:r>
      <w:r>
        <w:rPr>
          <w:spacing w:val="-3"/>
          <w:szCs w:val="26"/>
        </w:rPr>
        <w:t>the Preliminary Obj</w:t>
      </w:r>
      <w:r w:rsidR="00676DA1">
        <w:rPr>
          <w:spacing w:val="-3"/>
          <w:szCs w:val="26"/>
        </w:rPr>
        <w:t>ections of Verizon Pennsylvania</w:t>
      </w:r>
      <w:r>
        <w:rPr>
          <w:spacing w:val="-3"/>
          <w:szCs w:val="26"/>
        </w:rPr>
        <w:t xml:space="preserve"> Inc. (Verizon </w:t>
      </w:r>
      <w:r w:rsidR="00685036">
        <w:rPr>
          <w:spacing w:val="-3"/>
          <w:szCs w:val="26"/>
        </w:rPr>
        <w:t xml:space="preserve">PA </w:t>
      </w:r>
      <w:r>
        <w:rPr>
          <w:spacing w:val="-3"/>
          <w:szCs w:val="26"/>
        </w:rPr>
        <w:t xml:space="preserve">or Respondent) and dismissed the Formal Complaint (Complaint) filed by </w:t>
      </w:r>
      <w:r w:rsidR="006A51D9" w:rsidRPr="00224E09">
        <w:rPr>
          <w:spacing w:val="-3"/>
          <w:szCs w:val="26"/>
        </w:rPr>
        <w:t>Brian M.</w:t>
      </w:r>
      <w:r w:rsidR="006A51D9">
        <w:rPr>
          <w:spacing w:val="-3"/>
          <w:szCs w:val="26"/>
        </w:rPr>
        <w:t xml:space="preserve"> Rudnick (Complainant</w:t>
      </w:r>
      <w:r w:rsidR="006A51D9" w:rsidRPr="00224E09">
        <w:rPr>
          <w:spacing w:val="-3"/>
          <w:szCs w:val="26"/>
        </w:rPr>
        <w:t>)</w:t>
      </w:r>
      <w:r w:rsidR="006A51D9">
        <w:rPr>
          <w:spacing w:val="-3"/>
          <w:szCs w:val="26"/>
        </w:rPr>
        <w:t xml:space="preserve">.  No Exceptions to the Initial Decision were filed.  However, we exercised our right to review the Initial Decision pursuant to Section 332(h) of the Public Utility Code (Code), 66 Pa. C.S. § 332(h).  </w:t>
      </w:r>
      <w:r w:rsidR="0091196B">
        <w:rPr>
          <w:spacing w:val="-3"/>
          <w:szCs w:val="26"/>
        </w:rPr>
        <w:t>W</w:t>
      </w:r>
      <w:r w:rsidR="00A658DB">
        <w:rPr>
          <w:spacing w:val="-3"/>
          <w:szCs w:val="26"/>
        </w:rPr>
        <w:t xml:space="preserve">e </w:t>
      </w:r>
      <w:r w:rsidR="0091196B">
        <w:rPr>
          <w:spacing w:val="-3"/>
          <w:szCs w:val="26"/>
        </w:rPr>
        <w:t xml:space="preserve">agree with </w:t>
      </w:r>
      <w:r w:rsidR="00697793">
        <w:rPr>
          <w:spacing w:val="-3"/>
          <w:szCs w:val="26"/>
        </w:rPr>
        <w:t>the ALJ</w:t>
      </w:r>
      <w:r w:rsidR="00A658DB">
        <w:rPr>
          <w:spacing w:val="-3"/>
          <w:szCs w:val="26"/>
        </w:rPr>
        <w:t>’s decision to dismiss</w:t>
      </w:r>
      <w:r w:rsidR="00697793">
        <w:rPr>
          <w:spacing w:val="-3"/>
          <w:szCs w:val="26"/>
        </w:rPr>
        <w:t xml:space="preserve"> </w:t>
      </w:r>
      <w:r w:rsidR="006A51D9">
        <w:rPr>
          <w:spacing w:val="-3"/>
          <w:szCs w:val="26"/>
        </w:rPr>
        <w:t>the Complaint</w:t>
      </w:r>
      <w:r w:rsidR="00A658DB">
        <w:rPr>
          <w:spacing w:val="-3"/>
          <w:szCs w:val="26"/>
        </w:rPr>
        <w:t xml:space="preserve"> </w:t>
      </w:r>
      <w:r w:rsidR="006A51D9">
        <w:rPr>
          <w:spacing w:val="-3"/>
          <w:szCs w:val="26"/>
        </w:rPr>
        <w:t>for lack of subject m</w:t>
      </w:r>
      <w:r w:rsidR="00697793">
        <w:rPr>
          <w:spacing w:val="-3"/>
          <w:szCs w:val="26"/>
        </w:rPr>
        <w:t xml:space="preserve">atter jurisdiction.  However, </w:t>
      </w:r>
      <w:r w:rsidR="00365C75">
        <w:rPr>
          <w:spacing w:val="-3"/>
          <w:szCs w:val="26"/>
        </w:rPr>
        <w:t xml:space="preserve">because </w:t>
      </w:r>
      <w:r w:rsidR="00697793">
        <w:rPr>
          <w:spacing w:val="-3"/>
          <w:szCs w:val="26"/>
        </w:rPr>
        <w:t xml:space="preserve">our </w:t>
      </w:r>
      <w:r w:rsidR="00697793">
        <w:rPr>
          <w:spacing w:val="-3"/>
          <w:szCs w:val="26"/>
        </w:rPr>
        <w:lastRenderedPageBreak/>
        <w:t>rationale for dismissing the Compl</w:t>
      </w:r>
      <w:r w:rsidR="00365C75">
        <w:rPr>
          <w:spacing w:val="-3"/>
          <w:szCs w:val="26"/>
        </w:rPr>
        <w:t xml:space="preserve">aint differs somewhat from the ALJ’s, </w:t>
      </w:r>
      <w:r w:rsidR="00697793">
        <w:rPr>
          <w:spacing w:val="-3"/>
          <w:szCs w:val="26"/>
        </w:rPr>
        <w:t>we will</w:t>
      </w:r>
      <w:r w:rsidR="006A51D9">
        <w:rPr>
          <w:spacing w:val="-3"/>
          <w:szCs w:val="26"/>
        </w:rPr>
        <w:t xml:space="preserve"> modify the Initial Decision</w:t>
      </w:r>
      <w:r w:rsidR="00697793">
        <w:rPr>
          <w:spacing w:val="-3"/>
          <w:szCs w:val="26"/>
        </w:rPr>
        <w:t xml:space="preserve"> accordingly</w:t>
      </w:r>
      <w:r w:rsidR="006A51D9">
        <w:rPr>
          <w:spacing w:val="-3"/>
          <w:szCs w:val="26"/>
        </w:rPr>
        <w:t>.</w:t>
      </w:r>
    </w:p>
    <w:p w:rsidR="00697793" w:rsidRDefault="00697793" w:rsidP="00697793">
      <w:pPr>
        <w:tabs>
          <w:tab w:val="left" w:pos="-1440"/>
          <w:tab w:val="left" w:pos="-720"/>
        </w:tabs>
        <w:suppressAutoHyphens/>
        <w:spacing w:line="360" w:lineRule="auto"/>
        <w:rPr>
          <w:spacing w:val="-3"/>
          <w:szCs w:val="26"/>
        </w:rPr>
      </w:pPr>
    </w:p>
    <w:p w:rsidR="0091196B" w:rsidRDefault="0091196B" w:rsidP="00697793">
      <w:pPr>
        <w:tabs>
          <w:tab w:val="left" w:pos="-1440"/>
          <w:tab w:val="left" w:pos="-720"/>
        </w:tabs>
        <w:suppressAutoHyphens/>
        <w:spacing w:line="360" w:lineRule="auto"/>
        <w:jc w:val="center"/>
        <w:rPr>
          <w:b/>
          <w:spacing w:val="-3"/>
          <w:szCs w:val="26"/>
        </w:rPr>
      </w:pPr>
      <w:r>
        <w:rPr>
          <w:b/>
          <w:spacing w:val="-3"/>
          <w:szCs w:val="26"/>
        </w:rPr>
        <w:t>Background</w:t>
      </w:r>
    </w:p>
    <w:p w:rsidR="0091196B" w:rsidRDefault="0091196B" w:rsidP="00F27A83">
      <w:pPr>
        <w:tabs>
          <w:tab w:val="left" w:pos="-1440"/>
          <w:tab w:val="left" w:pos="-720"/>
        </w:tabs>
        <w:suppressAutoHyphens/>
        <w:spacing w:line="360" w:lineRule="auto"/>
        <w:rPr>
          <w:spacing w:val="-3"/>
          <w:szCs w:val="26"/>
        </w:rPr>
      </w:pPr>
    </w:p>
    <w:p w:rsidR="0091196B" w:rsidRPr="00F27A83" w:rsidRDefault="0091196B" w:rsidP="00F27A83">
      <w:pPr>
        <w:tabs>
          <w:tab w:val="left" w:pos="-1440"/>
          <w:tab w:val="left" w:pos="-720"/>
        </w:tabs>
        <w:suppressAutoHyphens/>
        <w:spacing w:line="360" w:lineRule="auto"/>
        <w:ind w:firstLine="1440"/>
        <w:rPr>
          <w:spacing w:val="-3"/>
          <w:szCs w:val="26"/>
        </w:rPr>
      </w:pPr>
      <w:r>
        <w:rPr>
          <w:spacing w:val="-3"/>
          <w:szCs w:val="26"/>
        </w:rPr>
        <w:t xml:space="preserve">The Commission previously dismissed a similar complaint filed by the Complainant regarding information provided by Verizon PA about international calling rates charged by Bell Atlantic Communications d/b/a Verizon Long Distance (Verizon LD).  </w:t>
      </w:r>
      <w:r w:rsidRPr="00AF54FC">
        <w:rPr>
          <w:i/>
          <w:spacing w:val="-3"/>
          <w:szCs w:val="26"/>
        </w:rPr>
        <w:t>Rudnick v. Verizon Pennsylvania, Inc.</w:t>
      </w:r>
      <w:r>
        <w:rPr>
          <w:spacing w:val="-3"/>
          <w:szCs w:val="26"/>
        </w:rPr>
        <w:t>, Docket No. C-2009-2142052 (Order entered August 3, 2010) (</w:t>
      </w:r>
      <w:r w:rsidRPr="0044224E">
        <w:rPr>
          <w:i/>
          <w:spacing w:val="-3"/>
          <w:szCs w:val="26"/>
        </w:rPr>
        <w:t>Rudnick 1</w:t>
      </w:r>
      <w:r>
        <w:rPr>
          <w:spacing w:val="-3"/>
          <w:szCs w:val="26"/>
        </w:rPr>
        <w:t xml:space="preserve">).  In </w:t>
      </w:r>
      <w:r>
        <w:rPr>
          <w:i/>
          <w:spacing w:val="-3"/>
          <w:szCs w:val="26"/>
        </w:rPr>
        <w:t xml:space="preserve">Rudnick 1, </w:t>
      </w:r>
      <w:r>
        <w:rPr>
          <w:spacing w:val="-3"/>
          <w:szCs w:val="26"/>
        </w:rPr>
        <w:t xml:space="preserve">the ALJ concluded that, by including messages on the Complainant’s monthly billing statements about the availability of international calling plans, Verizon PA provided reasonable and adequate service under Section 1501 of the Code, 66 Pa. C.S. § 1501.  On review, we determined that the ALJ had properly interpreted Section 1501; that the service provided by Verizon PA was reasonable; and that Verizon PA was under no obligation to provide information about Verizon LD’s rates for international calls.  </w:t>
      </w:r>
      <w:r w:rsidRPr="007218BF">
        <w:rPr>
          <w:spacing w:val="-3"/>
          <w:szCs w:val="26"/>
        </w:rPr>
        <w:t>Order</w:t>
      </w:r>
      <w:r>
        <w:rPr>
          <w:spacing w:val="-3"/>
          <w:szCs w:val="26"/>
        </w:rPr>
        <w:t xml:space="preserve"> at 10, 11, 14.  We did not directly address the issue of whether or not we have jurisdiction over Verizon PA’s provision of information about Verizon LD’s rates.  However, on reconsideration</w:t>
      </w:r>
      <w:r w:rsidR="009A15A7">
        <w:rPr>
          <w:spacing w:val="-3"/>
          <w:szCs w:val="26"/>
        </w:rPr>
        <w:t>,</w:t>
      </w:r>
      <w:r>
        <w:rPr>
          <w:spacing w:val="-3"/>
          <w:szCs w:val="26"/>
        </w:rPr>
        <w:t xml:space="preserve"> we further elaborated on this point by stating that “it is beyond our jurisdiction to dictate the methods used by Verizon LD in disclosing its international rates to its customers.”  Order entered April 1, 2011, at 7.</w:t>
      </w:r>
    </w:p>
    <w:p w:rsidR="0091196B" w:rsidRDefault="0091196B" w:rsidP="00697793">
      <w:pPr>
        <w:tabs>
          <w:tab w:val="left" w:pos="-1440"/>
          <w:tab w:val="left" w:pos="-720"/>
        </w:tabs>
        <w:suppressAutoHyphens/>
        <w:spacing w:line="360" w:lineRule="auto"/>
        <w:jc w:val="center"/>
        <w:rPr>
          <w:b/>
          <w:spacing w:val="-3"/>
          <w:szCs w:val="26"/>
        </w:rPr>
      </w:pPr>
    </w:p>
    <w:p w:rsidR="006A51D9" w:rsidRPr="00697793" w:rsidRDefault="006A51D9" w:rsidP="00697793">
      <w:pPr>
        <w:tabs>
          <w:tab w:val="left" w:pos="-1440"/>
          <w:tab w:val="left" w:pos="-720"/>
        </w:tabs>
        <w:suppressAutoHyphens/>
        <w:spacing w:line="360" w:lineRule="auto"/>
        <w:jc w:val="center"/>
        <w:rPr>
          <w:b/>
          <w:spacing w:val="-3"/>
          <w:szCs w:val="26"/>
        </w:rPr>
      </w:pPr>
      <w:r w:rsidRPr="00697793">
        <w:rPr>
          <w:b/>
          <w:spacing w:val="-3"/>
          <w:szCs w:val="26"/>
        </w:rPr>
        <w:t>History</w:t>
      </w:r>
      <w:r w:rsidR="00697793" w:rsidRPr="00697793">
        <w:rPr>
          <w:b/>
          <w:spacing w:val="-3"/>
          <w:szCs w:val="26"/>
        </w:rPr>
        <w:t xml:space="preserve"> of the Proceeding</w:t>
      </w:r>
    </w:p>
    <w:p w:rsidR="006A51D9" w:rsidRDefault="006A51D9" w:rsidP="00CA735A">
      <w:pPr>
        <w:tabs>
          <w:tab w:val="left" w:pos="-1440"/>
          <w:tab w:val="left" w:pos="-720"/>
        </w:tabs>
        <w:suppressAutoHyphens/>
        <w:spacing w:line="360" w:lineRule="auto"/>
        <w:ind w:firstLine="1440"/>
        <w:rPr>
          <w:spacing w:val="-3"/>
          <w:szCs w:val="26"/>
        </w:rPr>
      </w:pPr>
    </w:p>
    <w:p w:rsidR="0071429E" w:rsidRPr="00224E09" w:rsidRDefault="00401C0F" w:rsidP="00A55753">
      <w:pPr>
        <w:tabs>
          <w:tab w:val="left" w:pos="-1440"/>
          <w:tab w:val="left" w:pos="-720"/>
        </w:tabs>
        <w:suppressAutoHyphens/>
        <w:spacing w:line="360" w:lineRule="auto"/>
        <w:ind w:firstLine="1440"/>
        <w:rPr>
          <w:spacing w:val="-3"/>
          <w:szCs w:val="26"/>
        </w:rPr>
      </w:pPr>
      <w:r w:rsidRPr="00224E09">
        <w:rPr>
          <w:spacing w:val="-3"/>
          <w:szCs w:val="26"/>
        </w:rPr>
        <w:t xml:space="preserve"> </w:t>
      </w:r>
      <w:r w:rsidR="00A55753" w:rsidRPr="00224E09">
        <w:rPr>
          <w:szCs w:val="26"/>
        </w:rPr>
        <w:t>On April 18, 2011, the Complainant file</w:t>
      </w:r>
      <w:r w:rsidR="00A55753">
        <w:rPr>
          <w:szCs w:val="26"/>
        </w:rPr>
        <w:t>d a Comp</w:t>
      </w:r>
      <w:r w:rsidR="00365C75">
        <w:rPr>
          <w:szCs w:val="26"/>
        </w:rPr>
        <w:t xml:space="preserve">laint </w:t>
      </w:r>
      <w:r w:rsidR="00A05D30">
        <w:rPr>
          <w:spacing w:val="-3"/>
          <w:szCs w:val="26"/>
        </w:rPr>
        <w:t xml:space="preserve">against Verizon PA, </w:t>
      </w:r>
      <w:r w:rsidR="00365C75">
        <w:rPr>
          <w:spacing w:val="-3"/>
          <w:szCs w:val="26"/>
        </w:rPr>
        <w:t>stating that there is</w:t>
      </w:r>
      <w:r w:rsidR="00365C75" w:rsidRPr="00365C75">
        <w:rPr>
          <w:spacing w:val="-3"/>
          <w:szCs w:val="26"/>
        </w:rPr>
        <w:t xml:space="preserve"> </w:t>
      </w:r>
      <w:r w:rsidR="00365C75" w:rsidRPr="00224E09">
        <w:rPr>
          <w:spacing w:val="-3"/>
          <w:szCs w:val="26"/>
        </w:rPr>
        <w:t>a reliability, safety or quality of service problem with his utility service</w:t>
      </w:r>
      <w:r w:rsidR="00160646">
        <w:rPr>
          <w:spacing w:val="-3"/>
          <w:szCs w:val="26"/>
        </w:rPr>
        <w:t xml:space="preserve">.  </w:t>
      </w:r>
      <w:proofErr w:type="gramStart"/>
      <w:r w:rsidR="00160646">
        <w:rPr>
          <w:spacing w:val="-3"/>
          <w:szCs w:val="26"/>
        </w:rPr>
        <w:t xml:space="preserve">Complaint </w:t>
      </w:r>
      <w:r w:rsidR="00F733DE">
        <w:rPr>
          <w:spacing w:val="-3"/>
          <w:szCs w:val="26"/>
        </w:rPr>
        <w:t>at 1</w:t>
      </w:r>
      <w:r w:rsidR="00F159BE" w:rsidRPr="00224E09">
        <w:rPr>
          <w:spacing w:val="-3"/>
          <w:szCs w:val="26"/>
        </w:rPr>
        <w:t>.</w:t>
      </w:r>
      <w:proofErr w:type="gramEnd"/>
      <w:r w:rsidR="00365C75">
        <w:rPr>
          <w:spacing w:val="-3"/>
          <w:szCs w:val="26"/>
        </w:rPr>
        <w:t xml:space="preserve">  Specifically, the Complainant stated</w:t>
      </w:r>
      <w:r w:rsidR="00D1782B" w:rsidRPr="00224E09">
        <w:rPr>
          <w:spacing w:val="-3"/>
          <w:szCs w:val="26"/>
        </w:rPr>
        <w:t xml:space="preserve"> </w:t>
      </w:r>
      <w:r w:rsidR="00160646">
        <w:rPr>
          <w:spacing w:val="-3"/>
          <w:szCs w:val="26"/>
        </w:rPr>
        <w:t xml:space="preserve">that </w:t>
      </w:r>
      <w:r w:rsidR="00365C75">
        <w:rPr>
          <w:spacing w:val="-3"/>
          <w:szCs w:val="26"/>
        </w:rPr>
        <w:t xml:space="preserve">Verizon PA </w:t>
      </w:r>
      <w:r w:rsidR="00365C75" w:rsidRPr="00224E09">
        <w:rPr>
          <w:spacing w:val="-3"/>
          <w:szCs w:val="26"/>
        </w:rPr>
        <w:t>does not provide accur</w:t>
      </w:r>
      <w:r w:rsidR="00160646">
        <w:rPr>
          <w:spacing w:val="-3"/>
          <w:szCs w:val="26"/>
        </w:rPr>
        <w:t xml:space="preserve">ate information about </w:t>
      </w:r>
      <w:r w:rsidR="00365C75" w:rsidRPr="00224E09">
        <w:rPr>
          <w:spacing w:val="-3"/>
          <w:szCs w:val="26"/>
        </w:rPr>
        <w:t>the rates for calls to Ecuador</w:t>
      </w:r>
      <w:r w:rsidR="00365C75">
        <w:rPr>
          <w:spacing w:val="-3"/>
          <w:szCs w:val="26"/>
        </w:rPr>
        <w:t xml:space="preserve"> </w:t>
      </w:r>
      <w:r w:rsidR="00160646">
        <w:rPr>
          <w:spacing w:val="-3"/>
          <w:szCs w:val="26"/>
        </w:rPr>
        <w:t xml:space="preserve">on its website, and stated that he unsuccessfully had tried four separate means to determine the calling rates to Ecuador.  </w:t>
      </w:r>
      <w:proofErr w:type="gramStart"/>
      <w:r w:rsidR="00AE0D5A" w:rsidRPr="00AE0D5A">
        <w:rPr>
          <w:i/>
          <w:spacing w:val="-3"/>
          <w:szCs w:val="26"/>
        </w:rPr>
        <w:t>Id.</w:t>
      </w:r>
      <w:r w:rsidR="00160646">
        <w:rPr>
          <w:spacing w:val="-3"/>
          <w:szCs w:val="26"/>
        </w:rPr>
        <w:t xml:space="preserve"> at 2, 4.</w:t>
      </w:r>
      <w:proofErr w:type="gramEnd"/>
      <w:r w:rsidR="00160646">
        <w:rPr>
          <w:spacing w:val="-3"/>
          <w:szCs w:val="26"/>
        </w:rPr>
        <w:t xml:space="preserve">  The relief requested by the Complainant was a Commission directive requiring </w:t>
      </w:r>
      <w:r w:rsidR="00160646">
        <w:rPr>
          <w:spacing w:val="-3"/>
          <w:szCs w:val="26"/>
        </w:rPr>
        <w:lastRenderedPageBreak/>
        <w:t xml:space="preserve">Verizon PA to satisfy its statutory mandate to provide adequate and reasonable service.  </w:t>
      </w:r>
      <w:r w:rsidR="00160646" w:rsidRPr="00160646">
        <w:rPr>
          <w:i/>
          <w:spacing w:val="-3"/>
          <w:szCs w:val="26"/>
        </w:rPr>
        <w:t>Id.</w:t>
      </w:r>
      <w:r w:rsidR="00160646">
        <w:rPr>
          <w:spacing w:val="-3"/>
          <w:szCs w:val="26"/>
        </w:rPr>
        <w:t xml:space="preserve"> at 4-5.</w:t>
      </w:r>
      <w:r w:rsidR="0040410E" w:rsidRPr="00224E09">
        <w:rPr>
          <w:spacing w:val="-3"/>
          <w:szCs w:val="26"/>
        </w:rPr>
        <w:t xml:space="preserve"> </w:t>
      </w:r>
    </w:p>
    <w:p w:rsidR="0071429E" w:rsidRPr="00224E09" w:rsidRDefault="0071429E" w:rsidP="00CA735A">
      <w:pPr>
        <w:tabs>
          <w:tab w:val="left" w:pos="-1440"/>
          <w:tab w:val="left" w:pos="-720"/>
        </w:tabs>
        <w:suppressAutoHyphens/>
        <w:spacing w:line="360" w:lineRule="auto"/>
        <w:ind w:firstLine="1440"/>
        <w:rPr>
          <w:spacing w:val="-3"/>
          <w:szCs w:val="26"/>
        </w:rPr>
      </w:pPr>
    </w:p>
    <w:p w:rsidR="00A9373C" w:rsidRDefault="00700A4E" w:rsidP="00AE0D5A">
      <w:pPr>
        <w:tabs>
          <w:tab w:val="left" w:pos="-1440"/>
          <w:tab w:val="left" w:pos="-720"/>
        </w:tabs>
        <w:suppressAutoHyphens/>
        <w:spacing w:line="360" w:lineRule="auto"/>
        <w:ind w:firstLine="1440"/>
        <w:rPr>
          <w:spacing w:val="-3"/>
          <w:szCs w:val="26"/>
        </w:rPr>
      </w:pPr>
      <w:r w:rsidRPr="00224E09">
        <w:rPr>
          <w:spacing w:val="-3"/>
          <w:szCs w:val="26"/>
        </w:rPr>
        <w:t xml:space="preserve">On </w:t>
      </w:r>
      <w:r w:rsidR="0040410E" w:rsidRPr="00224E09">
        <w:rPr>
          <w:spacing w:val="-3"/>
          <w:szCs w:val="26"/>
        </w:rPr>
        <w:t>M</w:t>
      </w:r>
      <w:r w:rsidRPr="00224E09">
        <w:rPr>
          <w:spacing w:val="-3"/>
          <w:szCs w:val="26"/>
        </w:rPr>
        <w:t>ay 23, 2011,</w:t>
      </w:r>
      <w:r w:rsidR="00A55753">
        <w:rPr>
          <w:spacing w:val="-3"/>
          <w:szCs w:val="26"/>
        </w:rPr>
        <w:t xml:space="preserve"> Verizon </w:t>
      </w:r>
      <w:r w:rsidR="00685036">
        <w:rPr>
          <w:spacing w:val="-3"/>
          <w:szCs w:val="26"/>
        </w:rPr>
        <w:t xml:space="preserve">PA </w:t>
      </w:r>
      <w:r w:rsidR="0040410E" w:rsidRPr="00224E09">
        <w:rPr>
          <w:spacing w:val="-3"/>
          <w:szCs w:val="26"/>
        </w:rPr>
        <w:t>filed an Answer and New Matt</w:t>
      </w:r>
      <w:r w:rsidR="007B5B1C" w:rsidRPr="00224E09">
        <w:rPr>
          <w:spacing w:val="-3"/>
          <w:szCs w:val="26"/>
        </w:rPr>
        <w:t>er to the Complaint as well as P</w:t>
      </w:r>
      <w:r w:rsidR="0040410E" w:rsidRPr="00224E09">
        <w:rPr>
          <w:spacing w:val="-3"/>
          <w:szCs w:val="26"/>
        </w:rPr>
        <w:t>reliminary Objecti</w:t>
      </w:r>
      <w:r w:rsidR="00A55753">
        <w:rPr>
          <w:spacing w:val="-3"/>
          <w:szCs w:val="26"/>
        </w:rPr>
        <w:t xml:space="preserve">ons.  In its Answer, Verizon </w:t>
      </w:r>
      <w:r w:rsidR="00685036">
        <w:rPr>
          <w:spacing w:val="-3"/>
          <w:szCs w:val="26"/>
        </w:rPr>
        <w:t xml:space="preserve">PA </w:t>
      </w:r>
      <w:r w:rsidR="0040410E" w:rsidRPr="00224E09">
        <w:rPr>
          <w:spacing w:val="-3"/>
          <w:szCs w:val="26"/>
        </w:rPr>
        <w:t>denied that it posts inaccurate and misleading information about its calling rates on the Verizon.com website</w:t>
      </w:r>
      <w:r w:rsidR="00AE0D5A">
        <w:rPr>
          <w:spacing w:val="-3"/>
          <w:szCs w:val="26"/>
        </w:rPr>
        <w:t xml:space="preserve">.  </w:t>
      </w:r>
      <w:proofErr w:type="gramStart"/>
      <w:r w:rsidR="00AE0D5A">
        <w:rPr>
          <w:spacing w:val="-3"/>
          <w:szCs w:val="26"/>
        </w:rPr>
        <w:t>Answer at 3</w:t>
      </w:r>
      <w:r w:rsidR="00A154D5" w:rsidRPr="00224E09">
        <w:rPr>
          <w:spacing w:val="-3"/>
          <w:szCs w:val="26"/>
        </w:rPr>
        <w:t>.</w:t>
      </w:r>
      <w:proofErr w:type="gramEnd"/>
      <w:r w:rsidR="007B5B1C" w:rsidRPr="00224E09">
        <w:rPr>
          <w:spacing w:val="-3"/>
          <w:szCs w:val="26"/>
        </w:rPr>
        <w:t xml:space="preserve">  </w:t>
      </w:r>
      <w:r w:rsidR="00AE0D5A">
        <w:rPr>
          <w:spacing w:val="-3"/>
          <w:szCs w:val="26"/>
        </w:rPr>
        <w:t xml:space="preserve">In its New Matter, Verizon </w:t>
      </w:r>
      <w:r w:rsidR="00685036">
        <w:rPr>
          <w:spacing w:val="-3"/>
          <w:szCs w:val="26"/>
        </w:rPr>
        <w:t xml:space="preserve">PA </w:t>
      </w:r>
      <w:r w:rsidR="00AE0D5A">
        <w:rPr>
          <w:spacing w:val="-3"/>
          <w:szCs w:val="26"/>
        </w:rPr>
        <w:t>asserted</w:t>
      </w:r>
      <w:r w:rsidR="00DD5F2C" w:rsidRPr="00224E09">
        <w:rPr>
          <w:spacing w:val="-3"/>
          <w:szCs w:val="26"/>
        </w:rPr>
        <w:t xml:space="preserve"> that</w:t>
      </w:r>
      <w:r w:rsidR="00160646">
        <w:rPr>
          <w:spacing w:val="-3"/>
          <w:szCs w:val="26"/>
        </w:rPr>
        <w:t xml:space="preserve"> </w:t>
      </w:r>
      <w:r w:rsidR="00DD5F2C" w:rsidRPr="00224E09">
        <w:rPr>
          <w:spacing w:val="-3"/>
          <w:szCs w:val="26"/>
        </w:rPr>
        <w:t xml:space="preserve">the Commission does not have subject matter </w:t>
      </w:r>
      <w:r w:rsidR="00AE0D5A">
        <w:rPr>
          <w:spacing w:val="-3"/>
          <w:szCs w:val="26"/>
        </w:rPr>
        <w:t xml:space="preserve">jurisdiction over </w:t>
      </w:r>
      <w:r w:rsidR="00DD5F2C" w:rsidRPr="00224E09">
        <w:rPr>
          <w:spacing w:val="-3"/>
          <w:szCs w:val="26"/>
        </w:rPr>
        <w:t xml:space="preserve">information provided over the </w:t>
      </w:r>
      <w:r w:rsidR="00A05D30">
        <w:rPr>
          <w:spacing w:val="-3"/>
          <w:szCs w:val="26"/>
        </w:rPr>
        <w:t xml:space="preserve">internet or the rates billed for </w:t>
      </w:r>
      <w:r w:rsidR="00DD5F2C" w:rsidRPr="00224E09">
        <w:rPr>
          <w:spacing w:val="-3"/>
          <w:szCs w:val="26"/>
        </w:rPr>
        <w:t>i</w:t>
      </w:r>
      <w:r w:rsidR="00A05D30">
        <w:rPr>
          <w:spacing w:val="-3"/>
          <w:szCs w:val="26"/>
        </w:rPr>
        <w:t>nternational calls</w:t>
      </w:r>
      <w:r w:rsidR="003B0F80">
        <w:rPr>
          <w:spacing w:val="-3"/>
          <w:szCs w:val="26"/>
        </w:rPr>
        <w:t>.  New Matter at 6</w:t>
      </w:r>
      <w:r w:rsidR="00755701">
        <w:rPr>
          <w:spacing w:val="-3"/>
          <w:szCs w:val="26"/>
        </w:rPr>
        <w:t xml:space="preserve">, citing 66 Pa. </w:t>
      </w:r>
      <w:r w:rsidR="00DD5F2C" w:rsidRPr="00224E09">
        <w:rPr>
          <w:spacing w:val="-3"/>
          <w:szCs w:val="26"/>
        </w:rPr>
        <w:t>C.S. §</w:t>
      </w:r>
      <w:r w:rsidR="009165B6">
        <w:rPr>
          <w:spacing w:val="-3"/>
          <w:szCs w:val="26"/>
        </w:rPr>
        <w:t xml:space="preserve"> </w:t>
      </w:r>
      <w:r w:rsidR="00DD5F2C" w:rsidRPr="00224E09">
        <w:rPr>
          <w:spacing w:val="-3"/>
          <w:szCs w:val="26"/>
        </w:rPr>
        <w:t>3018(b</w:t>
      </w:r>
      <w:proofErr w:type="gramStart"/>
      <w:r w:rsidR="00DD5F2C" w:rsidRPr="00224E09">
        <w:rPr>
          <w:spacing w:val="-3"/>
          <w:szCs w:val="26"/>
        </w:rPr>
        <w:t>)(</w:t>
      </w:r>
      <w:proofErr w:type="gramEnd"/>
      <w:r w:rsidR="00DD5F2C" w:rsidRPr="00224E09">
        <w:rPr>
          <w:spacing w:val="-3"/>
          <w:szCs w:val="26"/>
        </w:rPr>
        <w:t>1).</w:t>
      </w:r>
      <w:r w:rsidR="001821EA" w:rsidRPr="00224E09">
        <w:rPr>
          <w:spacing w:val="-3"/>
          <w:szCs w:val="26"/>
        </w:rPr>
        <w:t xml:space="preserve">  In its Pre</w:t>
      </w:r>
      <w:r w:rsidR="00AE0D5A">
        <w:rPr>
          <w:spacing w:val="-3"/>
          <w:szCs w:val="26"/>
        </w:rPr>
        <w:t xml:space="preserve">liminary Objections, Verizon </w:t>
      </w:r>
      <w:r w:rsidR="00685036">
        <w:rPr>
          <w:spacing w:val="-3"/>
          <w:szCs w:val="26"/>
        </w:rPr>
        <w:t xml:space="preserve">PA </w:t>
      </w:r>
      <w:r w:rsidR="00AE0D5A">
        <w:rPr>
          <w:spacing w:val="-3"/>
          <w:szCs w:val="26"/>
        </w:rPr>
        <w:t xml:space="preserve">argued that the </w:t>
      </w:r>
      <w:r w:rsidR="001821EA" w:rsidRPr="00224E09">
        <w:rPr>
          <w:spacing w:val="-3"/>
          <w:szCs w:val="26"/>
        </w:rPr>
        <w:t xml:space="preserve">Complaint should be dismissed because the Commission lacks subject matter </w:t>
      </w:r>
      <w:r w:rsidR="00AE0D5A">
        <w:rPr>
          <w:spacing w:val="-3"/>
          <w:szCs w:val="26"/>
        </w:rPr>
        <w:t>jurisdiction over the issues raised</w:t>
      </w:r>
      <w:r w:rsidR="00A05D30">
        <w:rPr>
          <w:spacing w:val="-3"/>
          <w:szCs w:val="26"/>
        </w:rPr>
        <w:t xml:space="preserve"> in the Complaint</w:t>
      </w:r>
      <w:r w:rsidR="00AE0D5A">
        <w:rPr>
          <w:spacing w:val="-3"/>
          <w:szCs w:val="26"/>
        </w:rPr>
        <w:t xml:space="preserve">; </w:t>
      </w:r>
      <w:r w:rsidR="001821EA" w:rsidRPr="00224E09">
        <w:rPr>
          <w:spacing w:val="-3"/>
          <w:szCs w:val="26"/>
        </w:rPr>
        <w:t xml:space="preserve">the Complaint is barred by the doctrine of </w:t>
      </w:r>
      <w:r w:rsidR="001821EA" w:rsidRPr="00224E09">
        <w:rPr>
          <w:i/>
          <w:spacing w:val="-3"/>
          <w:szCs w:val="26"/>
        </w:rPr>
        <w:t>res judicata</w:t>
      </w:r>
      <w:r w:rsidR="00AE0D5A">
        <w:rPr>
          <w:spacing w:val="-3"/>
          <w:szCs w:val="26"/>
        </w:rPr>
        <w:t xml:space="preserve">; </w:t>
      </w:r>
      <w:r w:rsidR="001821EA" w:rsidRPr="00224E09">
        <w:rPr>
          <w:spacing w:val="-3"/>
          <w:szCs w:val="26"/>
        </w:rPr>
        <w:t xml:space="preserve">and </w:t>
      </w:r>
      <w:r w:rsidR="00A05D30">
        <w:rPr>
          <w:spacing w:val="-3"/>
          <w:szCs w:val="26"/>
        </w:rPr>
        <w:t xml:space="preserve">the Complaint is </w:t>
      </w:r>
      <w:r w:rsidR="001821EA" w:rsidRPr="00224E09">
        <w:rPr>
          <w:spacing w:val="-3"/>
          <w:szCs w:val="26"/>
        </w:rPr>
        <w:t>legal</w:t>
      </w:r>
      <w:r w:rsidR="00A05D30">
        <w:rPr>
          <w:spacing w:val="-3"/>
          <w:szCs w:val="26"/>
        </w:rPr>
        <w:t>ly</w:t>
      </w:r>
      <w:r w:rsidR="001821EA" w:rsidRPr="00224E09">
        <w:rPr>
          <w:spacing w:val="-3"/>
          <w:szCs w:val="26"/>
        </w:rPr>
        <w:t xml:space="preserve"> </w:t>
      </w:r>
      <w:r w:rsidR="00A05D30">
        <w:rPr>
          <w:spacing w:val="-3"/>
          <w:szCs w:val="26"/>
        </w:rPr>
        <w:t>insufficient because it does not set forth a claim against Verizon PA for which the Commission can grant relief</w:t>
      </w:r>
      <w:r w:rsidR="00C70970" w:rsidRPr="00224E09">
        <w:rPr>
          <w:spacing w:val="-3"/>
          <w:szCs w:val="26"/>
        </w:rPr>
        <w:t xml:space="preserve">.  </w:t>
      </w:r>
      <w:proofErr w:type="gramStart"/>
      <w:r w:rsidR="00C70970" w:rsidRPr="00224E09">
        <w:rPr>
          <w:spacing w:val="-3"/>
          <w:szCs w:val="26"/>
        </w:rPr>
        <w:t xml:space="preserve">Preliminary Objections at </w:t>
      </w:r>
      <w:r w:rsidR="00A05D30">
        <w:rPr>
          <w:spacing w:val="-3"/>
          <w:szCs w:val="26"/>
        </w:rPr>
        <w:t>1</w:t>
      </w:r>
      <w:r w:rsidR="00D81275">
        <w:rPr>
          <w:spacing w:val="-3"/>
          <w:szCs w:val="26"/>
        </w:rPr>
        <w:t xml:space="preserve">, </w:t>
      </w:r>
      <w:r w:rsidR="00C70970" w:rsidRPr="00224E09">
        <w:rPr>
          <w:spacing w:val="-3"/>
          <w:szCs w:val="26"/>
        </w:rPr>
        <w:t>5, 7, 11.</w:t>
      </w:r>
      <w:proofErr w:type="gramEnd"/>
      <w:r w:rsidR="00AE0D5A">
        <w:rPr>
          <w:spacing w:val="-3"/>
          <w:szCs w:val="26"/>
        </w:rPr>
        <w:t xml:space="preserve">  The Complainant did not file an </w:t>
      </w:r>
      <w:r w:rsidR="00A35E67" w:rsidRPr="00224E09">
        <w:rPr>
          <w:spacing w:val="-3"/>
          <w:szCs w:val="26"/>
        </w:rPr>
        <w:t>answer or any r</w:t>
      </w:r>
      <w:r w:rsidR="00685036">
        <w:rPr>
          <w:spacing w:val="-3"/>
          <w:szCs w:val="26"/>
        </w:rPr>
        <w:t>esponsive pleading to Verizon PA’s</w:t>
      </w:r>
      <w:r w:rsidR="00AE0D5A">
        <w:rPr>
          <w:spacing w:val="-3"/>
          <w:szCs w:val="26"/>
        </w:rPr>
        <w:t xml:space="preserve"> New Matter or Preliminary Objections</w:t>
      </w:r>
      <w:r w:rsidR="00A35E67" w:rsidRPr="00224E09">
        <w:rPr>
          <w:spacing w:val="-3"/>
          <w:szCs w:val="26"/>
        </w:rPr>
        <w:t>.</w:t>
      </w:r>
      <w:r w:rsidR="00A9373C" w:rsidRPr="00A9373C">
        <w:rPr>
          <w:spacing w:val="-3"/>
          <w:szCs w:val="26"/>
        </w:rPr>
        <w:t xml:space="preserve"> </w:t>
      </w:r>
    </w:p>
    <w:p w:rsidR="00A9373C" w:rsidRDefault="00A9373C" w:rsidP="00AE0D5A">
      <w:pPr>
        <w:tabs>
          <w:tab w:val="left" w:pos="-1440"/>
          <w:tab w:val="left" w:pos="-720"/>
        </w:tabs>
        <w:suppressAutoHyphens/>
        <w:spacing w:line="360" w:lineRule="auto"/>
        <w:ind w:firstLine="1440"/>
        <w:rPr>
          <w:spacing w:val="-3"/>
          <w:szCs w:val="26"/>
        </w:rPr>
      </w:pPr>
    </w:p>
    <w:p w:rsidR="001C71FC" w:rsidRDefault="00A658DB" w:rsidP="00F27A83">
      <w:pPr>
        <w:tabs>
          <w:tab w:val="left" w:pos="-1440"/>
          <w:tab w:val="left" w:pos="-720"/>
        </w:tabs>
        <w:suppressAutoHyphens/>
        <w:spacing w:line="360" w:lineRule="auto"/>
        <w:ind w:firstLine="1440"/>
      </w:pPr>
      <w:r>
        <w:rPr>
          <w:spacing w:val="-3"/>
          <w:szCs w:val="26"/>
        </w:rPr>
        <w:t xml:space="preserve">The ALJ framed the issue as </w:t>
      </w:r>
      <w:r w:rsidRPr="00224E09">
        <w:rPr>
          <w:spacing w:val="-3"/>
          <w:szCs w:val="26"/>
        </w:rPr>
        <w:t xml:space="preserve">whether or not the Commission </w:t>
      </w:r>
      <w:r>
        <w:rPr>
          <w:spacing w:val="-3"/>
          <w:szCs w:val="26"/>
        </w:rPr>
        <w:t xml:space="preserve">has jurisdiction over </w:t>
      </w:r>
      <w:r w:rsidR="00BE11B2">
        <w:rPr>
          <w:spacing w:val="-3"/>
          <w:szCs w:val="26"/>
        </w:rPr>
        <w:t>the information provided on</w:t>
      </w:r>
      <w:r w:rsidRPr="00224E09">
        <w:rPr>
          <w:spacing w:val="-3"/>
          <w:szCs w:val="26"/>
        </w:rPr>
        <w:t xml:space="preserve"> </w:t>
      </w:r>
      <w:r w:rsidR="00685036">
        <w:rPr>
          <w:spacing w:val="-3"/>
          <w:szCs w:val="26"/>
        </w:rPr>
        <w:t>Verizon PA’s</w:t>
      </w:r>
      <w:r w:rsidR="00BE11B2">
        <w:rPr>
          <w:spacing w:val="-3"/>
          <w:szCs w:val="26"/>
        </w:rPr>
        <w:t xml:space="preserve"> website regarding </w:t>
      </w:r>
      <w:r w:rsidRPr="00224E09">
        <w:rPr>
          <w:spacing w:val="-3"/>
          <w:szCs w:val="26"/>
        </w:rPr>
        <w:t>the rates for international calls.</w:t>
      </w:r>
      <w:r>
        <w:rPr>
          <w:spacing w:val="-3"/>
          <w:szCs w:val="26"/>
        </w:rPr>
        <w:t xml:space="preserve">  </w:t>
      </w:r>
      <w:proofErr w:type="gramStart"/>
      <w:r w:rsidR="00B14BD5">
        <w:rPr>
          <w:spacing w:val="-3"/>
          <w:szCs w:val="26"/>
        </w:rPr>
        <w:t>I.D. at 4.</w:t>
      </w:r>
      <w:proofErr w:type="gramEnd"/>
      <w:r w:rsidR="00B14BD5">
        <w:rPr>
          <w:spacing w:val="-3"/>
          <w:szCs w:val="26"/>
        </w:rPr>
        <w:t xml:space="preserve">  </w:t>
      </w:r>
      <w:r w:rsidR="00BE11B2">
        <w:rPr>
          <w:spacing w:val="-3"/>
          <w:szCs w:val="26"/>
        </w:rPr>
        <w:t>T</w:t>
      </w:r>
      <w:r w:rsidR="00BE11B2" w:rsidRPr="00224E09">
        <w:rPr>
          <w:spacing w:val="-3"/>
          <w:szCs w:val="26"/>
        </w:rPr>
        <w:t xml:space="preserve">he </w:t>
      </w:r>
      <w:r w:rsidR="00BE11B2">
        <w:rPr>
          <w:spacing w:val="-3"/>
          <w:szCs w:val="26"/>
        </w:rPr>
        <w:t>AL</w:t>
      </w:r>
      <w:r w:rsidR="00F733DE">
        <w:rPr>
          <w:spacing w:val="-3"/>
          <w:szCs w:val="26"/>
        </w:rPr>
        <w:t xml:space="preserve">J stated that the </w:t>
      </w:r>
      <w:r w:rsidR="00BE11B2">
        <w:rPr>
          <w:spacing w:val="-3"/>
          <w:szCs w:val="26"/>
        </w:rPr>
        <w:t>entire Complaint i</w:t>
      </w:r>
      <w:r w:rsidR="00BE11B2" w:rsidRPr="00224E09">
        <w:rPr>
          <w:spacing w:val="-3"/>
          <w:szCs w:val="26"/>
        </w:rPr>
        <w:t>s focused on the Verizon</w:t>
      </w:r>
      <w:r w:rsidR="00685036">
        <w:rPr>
          <w:spacing w:val="-3"/>
          <w:szCs w:val="26"/>
        </w:rPr>
        <w:t xml:space="preserve"> PA</w:t>
      </w:r>
      <w:r w:rsidR="00BE11B2" w:rsidRPr="00224E09">
        <w:rPr>
          <w:spacing w:val="-3"/>
          <w:szCs w:val="26"/>
        </w:rPr>
        <w:t xml:space="preserve"> website, the information contained on the website, and the Com</w:t>
      </w:r>
      <w:r w:rsidR="00E521D9">
        <w:rPr>
          <w:spacing w:val="-3"/>
          <w:szCs w:val="26"/>
        </w:rPr>
        <w:t xml:space="preserve">plainant’s communications with </w:t>
      </w:r>
      <w:r w:rsidR="00BE11B2" w:rsidRPr="00224E09">
        <w:rPr>
          <w:spacing w:val="-3"/>
          <w:szCs w:val="26"/>
        </w:rPr>
        <w:t>Ver</w:t>
      </w:r>
      <w:r w:rsidR="00755701">
        <w:rPr>
          <w:spacing w:val="-3"/>
          <w:szCs w:val="26"/>
        </w:rPr>
        <w:t>izon telephone representatives</w:t>
      </w:r>
      <w:r w:rsidR="00BE11B2" w:rsidRPr="00224E09">
        <w:rPr>
          <w:spacing w:val="-3"/>
          <w:szCs w:val="26"/>
        </w:rPr>
        <w:t xml:space="preserve"> about the website and its contents. </w:t>
      </w:r>
      <w:r w:rsidR="00BE11B2">
        <w:rPr>
          <w:spacing w:val="-3"/>
          <w:szCs w:val="26"/>
        </w:rPr>
        <w:t xml:space="preserve"> </w:t>
      </w:r>
      <w:proofErr w:type="gramStart"/>
      <w:r w:rsidR="00B14BD5" w:rsidRPr="00B14BD5">
        <w:rPr>
          <w:i/>
          <w:spacing w:val="-3"/>
          <w:szCs w:val="26"/>
        </w:rPr>
        <w:t>Id.</w:t>
      </w:r>
      <w:r w:rsidR="00B14BD5">
        <w:rPr>
          <w:spacing w:val="-3"/>
          <w:szCs w:val="26"/>
        </w:rPr>
        <w:t xml:space="preserve"> at 5.</w:t>
      </w:r>
      <w:proofErr w:type="gramEnd"/>
      <w:r w:rsidR="00B14BD5">
        <w:rPr>
          <w:spacing w:val="-3"/>
          <w:szCs w:val="26"/>
        </w:rPr>
        <w:t xml:space="preserve">  The ALJ reasoned that the posting of international calling rates on Verizon PA’s website is </w:t>
      </w:r>
      <w:r w:rsidR="00B14BD5" w:rsidRPr="00224E09">
        <w:rPr>
          <w:spacing w:val="-3"/>
          <w:szCs w:val="26"/>
        </w:rPr>
        <w:t>an information service, rather than a</w:t>
      </w:r>
      <w:r w:rsidR="00B14BD5">
        <w:rPr>
          <w:spacing w:val="-3"/>
          <w:szCs w:val="26"/>
        </w:rPr>
        <w:t xml:space="preserve"> telecommunications service, and </w:t>
      </w:r>
      <w:r w:rsidR="00B14BD5" w:rsidRPr="00224E09">
        <w:rPr>
          <w:spacing w:val="-3"/>
          <w:szCs w:val="26"/>
        </w:rPr>
        <w:t xml:space="preserve">that information service is not subject to </w:t>
      </w:r>
      <w:r w:rsidR="00B14BD5">
        <w:rPr>
          <w:spacing w:val="-3"/>
          <w:szCs w:val="26"/>
        </w:rPr>
        <w:t xml:space="preserve">the Commission’s jurisdiction.  </w:t>
      </w:r>
      <w:r w:rsidR="00B14BD5" w:rsidRPr="00B14BD5">
        <w:rPr>
          <w:i/>
          <w:spacing w:val="-3"/>
          <w:szCs w:val="26"/>
        </w:rPr>
        <w:t>Id.</w:t>
      </w:r>
      <w:r w:rsidR="00B14BD5">
        <w:rPr>
          <w:spacing w:val="-3"/>
          <w:szCs w:val="26"/>
        </w:rPr>
        <w:t xml:space="preserve"> at 4-5.  </w:t>
      </w:r>
      <w:r>
        <w:rPr>
          <w:spacing w:val="-3"/>
          <w:szCs w:val="26"/>
        </w:rPr>
        <w:t xml:space="preserve">The ALJ concluded that </w:t>
      </w:r>
      <w:r w:rsidRPr="00224E09">
        <w:rPr>
          <w:spacing w:val="-3"/>
          <w:szCs w:val="26"/>
        </w:rPr>
        <w:t>the Commission doe</w:t>
      </w:r>
      <w:r w:rsidR="00BE11B2">
        <w:rPr>
          <w:spacing w:val="-3"/>
          <w:szCs w:val="26"/>
        </w:rPr>
        <w:t>s not have jurisdiction over the matters raised in the Com</w:t>
      </w:r>
      <w:r w:rsidR="00B14BD5">
        <w:rPr>
          <w:spacing w:val="-3"/>
          <w:szCs w:val="26"/>
        </w:rPr>
        <w:t xml:space="preserve">plaint.  </w:t>
      </w:r>
      <w:r w:rsidR="00BE11B2">
        <w:rPr>
          <w:spacing w:val="-3"/>
          <w:szCs w:val="26"/>
        </w:rPr>
        <w:t>“</w:t>
      </w:r>
      <w:r w:rsidR="00BE11B2" w:rsidRPr="00224E09">
        <w:rPr>
          <w:spacing w:val="-3"/>
          <w:szCs w:val="26"/>
        </w:rPr>
        <w:t>The Complaint is clearly outside of the jurisdiction of the Commission and must be dismissed.</w:t>
      </w:r>
      <w:r w:rsidR="00B14BD5">
        <w:rPr>
          <w:spacing w:val="-3"/>
          <w:szCs w:val="26"/>
        </w:rPr>
        <w:t xml:space="preserve">”  </w:t>
      </w:r>
      <w:proofErr w:type="gramStart"/>
      <w:r w:rsidR="00B14BD5" w:rsidRPr="00B14BD5">
        <w:rPr>
          <w:i/>
          <w:spacing w:val="-3"/>
          <w:szCs w:val="26"/>
        </w:rPr>
        <w:t>Id.</w:t>
      </w:r>
      <w:r w:rsidR="00B14BD5">
        <w:rPr>
          <w:spacing w:val="-3"/>
          <w:szCs w:val="26"/>
        </w:rPr>
        <w:t xml:space="preserve"> at 5</w:t>
      </w:r>
      <w:r w:rsidR="00BE11B2">
        <w:rPr>
          <w:spacing w:val="-3"/>
          <w:szCs w:val="26"/>
        </w:rPr>
        <w:t>.</w:t>
      </w:r>
      <w:proofErr w:type="gramEnd"/>
      <w:r w:rsidR="00BE11B2" w:rsidRPr="00BE11B2">
        <w:t xml:space="preserve"> </w:t>
      </w:r>
      <w:r w:rsidR="00B14BD5">
        <w:t xml:space="preserve">  Given the </w:t>
      </w:r>
      <w:r w:rsidR="00F733DE">
        <w:t xml:space="preserve">Commission’s </w:t>
      </w:r>
      <w:r w:rsidR="00BE11B2">
        <w:t xml:space="preserve">lack of jurisdiction, </w:t>
      </w:r>
      <w:r w:rsidR="00B14BD5">
        <w:t xml:space="preserve">the ALJ concluded that </w:t>
      </w:r>
      <w:r w:rsidR="00BE11B2">
        <w:t>it was not</w:t>
      </w:r>
      <w:r w:rsidR="00685036">
        <w:t xml:space="preserve"> necessary to consider Verizon PA’s</w:t>
      </w:r>
      <w:r w:rsidR="00BE11B2">
        <w:t xml:space="preserve"> Prelim</w:t>
      </w:r>
      <w:r w:rsidR="00B14BD5">
        <w:t>inary Objections regarding</w:t>
      </w:r>
      <w:r w:rsidR="00BE11B2">
        <w:t xml:space="preserve"> </w:t>
      </w:r>
      <w:r w:rsidR="00BE11B2">
        <w:rPr>
          <w:i/>
        </w:rPr>
        <w:t>res judicata</w:t>
      </w:r>
      <w:r w:rsidR="00755701">
        <w:t xml:space="preserve"> or the legal</w:t>
      </w:r>
      <w:r w:rsidR="00BE11B2">
        <w:t xml:space="preserve"> sufficiency of the pleading.</w:t>
      </w:r>
    </w:p>
    <w:p w:rsidR="005D48EF" w:rsidRPr="005D48EF" w:rsidRDefault="005D48EF" w:rsidP="005D48EF">
      <w:pPr>
        <w:tabs>
          <w:tab w:val="left" w:pos="-1440"/>
          <w:tab w:val="left" w:pos="-720"/>
        </w:tabs>
        <w:suppressAutoHyphens/>
        <w:spacing w:line="360" w:lineRule="auto"/>
        <w:jc w:val="center"/>
        <w:rPr>
          <w:b/>
        </w:rPr>
      </w:pPr>
      <w:r w:rsidRPr="005D48EF">
        <w:rPr>
          <w:b/>
        </w:rPr>
        <w:lastRenderedPageBreak/>
        <w:t>Discussion</w:t>
      </w:r>
    </w:p>
    <w:p w:rsidR="00BE11B2" w:rsidRDefault="00BE11B2" w:rsidP="00BE11B2">
      <w:pPr>
        <w:tabs>
          <w:tab w:val="left" w:pos="-1440"/>
          <w:tab w:val="left" w:pos="-720"/>
        </w:tabs>
        <w:suppressAutoHyphens/>
        <w:spacing w:line="360" w:lineRule="auto"/>
        <w:ind w:firstLine="1440"/>
        <w:rPr>
          <w:spacing w:val="-3"/>
          <w:szCs w:val="26"/>
        </w:rPr>
      </w:pPr>
    </w:p>
    <w:p w:rsidR="00EC604F" w:rsidRDefault="00EC604F" w:rsidP="00EC604F">
      <w:pPr>
        <w:tabs>
          <w:tab w:val="left" w:pos="-720"/>
        </w:tabs>
        <w:suppressAutoHyphens/>
        <w:spacing w:line="360" w:lineRule="auto"/>
        <w:ind w:firstLine="1440"/>
      </w:pPr>
      <w:r>
        <w:t xml:space="preserve">Initially, we are reminded that we are not required to consider expressly or at great length each and every contention raised by a party to our proceedings.  </w:t>
      </w:r>
    </w:p>
    <w:p w:rsidR="005E466D" w:rsidRDefault="00EC604F" w:rsidP="00EC604F">
      <w:pPr>
        <w:tabs>
          <w:tab w:val="left" w:pos="-720"/>
        </w:tabs>
        <w:suppressAutoHyphens/>
        <w:spacing w:line="360" w:lineRule="auto"/>
      </w:pPr>
      <w:proofErr w:type="gramStart"/>
      <w:r>
        <w:rPr>
          <w:i/>
        </w:rPr>
        <w:t>University of Pennsylvania, et al. v. Pa. PUC</w:t>
      </w:r>
      <w:r>
        <w:t>, 485 A.2d 1217 (Pa. Cmwlth. 1984).</w:t>
      </w:r>
      <w:proofErr w:type="gramEnd"/>
      <w:r>
        <w:t xml:space="preserve">  Any argument that is not specifically addressed herein shall be deemed to have been duly considered and denied without further discussion. </w:t>
      </w:r>
    </w:p>
    <w:p w:rsidR="005E466D" w:rsidRDefault="005E466D" w:rsidP="00EC604F">
      <w:pPr>
        <w:tabs>
          <w:tab w:val="left" w:pos="-720"/>
        </w:tabs>
        <w:suppressAutoHyphens/>
        <w:spacing w:line="360" w:lineRule="auto"/>
      </w:pPr>
    </w:p>
    <w:p w:rsidR="000115FD" w:rsidRDefault="005E466D" w:rsidP="005E466D">
      <w:pPr>
        <w:spacing w:line="360" w:lineRule="auto"/>
        <w:ind w:firstLine="1440"/>
      </w:pPr>
      <w:r>
        <w:t xml:space="preserve">In his Initial Decision, ALJ Buckley reached six Findings of Fact, I.D. at </w:t>
      </w:r>
    </w:p>
    <w:p w:rsidR="005E466D" w:rsidRPr="001C7C2B" w:rsidRDefault="005E466D" w:rsidP="000115FD">
      <w:pPr>
        <w:spacing w:line="360" w:lineRule="auto"/>
        <w:rPr>
          <w:szCs w:val="26"/>
        </w:rPr>
      </w:pPr>
      <w:proofErr w:type="gramStart"/>
      <w:r>
        <w:t xml:space="preserve">2-3, and nine Conclusions of Law, </w:t>
      </w:r>
      <w:r>
        <w:rPr>
          <w:i/>
        </w:rPr>
        <w:t>id</w:t>
      </w:r>
      <w:r>
        <w:t>.</w:t>
      </w:r>
      <w:proofErr w:type="gramEnd"/>
      <w:r>
        <w:t xml:space="preserve"> </w:t>
      </w:r>
      <w:proofErr w:type="gramStart"/>
      <w:r>
        <w:t>at</w:t>
      </w:r>
      <w:proofErr w:type="gramEnd"/>
      <w:r>
        <w:t> 5-6.  We shall adopt and incorporate herein by reference the ALJ’s Findings of Fact and Conclusions of Law unless they are either expressly or by necessary implication overruled or modified by this Opinion and Order</w:t>
      </w:r>
      <w:r w:rsidRPr="001C7C2B">
        <w:rPr>
          <w:szCs w:val="26"/>
        </w:rPr>
        <w:t>.</w:t>
      </w:r>
    </w:p>
    <w:p w:rsidR="00EC604F" w:rsidRPr="00F27A83" w:rsidRDefault="00EC604F" w:rsidP="00F27A83">
      <w:pPr>
        <w:tabs>
          <w:tab w:val="left" w:pos="-720"/>
        </w:tabs>
        <w:suppressAutoHyphens/>
        <w:spacing w:line="360" w:lineRule="auto"/>
        <w:rPr>
          <w:b/>
        </w:rPr>
      </w:pPr>
      <w:r>
        <w:t xml:space="preserve"> </w:t>
      </w:r>
    </w:p>
    <w:p w:rsidR="00EC604F" w:rsidRPr="00941C53" w:rsidRDefault="00EC604F" w:rsidP="00EC604F">
      <w:pPr>
        <w:tabs>
          <w:tab w:val="left" w:pos="-720"/>
        </w:tabs>
        <w:suppressAutoHyphens/>
        <w:spacing w:line="360" w:lineRule="auto"/>
        <w:rPr>
          <w:b/>
        </w:rPr>
      </w:pPr>
      <w:r w:rsidRPr="00941C53">
        <w:rPr>
          <w:b/>
        </w:rPr>
        <w:t>Legal Standards</w:t>
      </w:r>
    </w:p>
    <w:p w:rsidR="00EC604F" w:rsidRDefault="00EC604F" w:rsidP="00EC604F">
      <w:pPr>
        <w:tabs>
          <w:tab w:val="left" w:pos="-720"/>
        </w:tabs>
        <w:suppressAutoHyphens/>
        <w:spacing w:line="360" w:lineRule="auto"/>
        <w:rPr>
          <w:b/>
          <w:szCs w:val="26"/>
        </w:rPr>
      </w:pPr>
    </w:p>
    <w:p w:rsidR="00EC604F" w:rsidRDefault="00EC604F" w:rsidP="00EC604F">
      <w:pPr>
        <w:spacing w:line="360" w:lineRule="auto"/>
        <w:ind w:firstLine="1440"/>
        <w:rPr>
          <w:szCs w:val="26"/>
        </w:rPr>
      </w:pPr>
      <w:r w:rsidRPr="00202D94">
        <w:rPr>
          <w:szCs w:val="26"/>
        </w:rPr>
        <w:t>The rules regard</w:t>
      </w:r>
      <w:r>
        <w:rPr>
          <w:szCs w:val="26"/>
        </w:rPr>
        <w:t>ing</w:t>
      </w:r>
      <w:r w:rsidRPr="00202D94">
        <w:rPr>
          <w:szCs w:val="26"/>
        </w:rPr>
        <w:t xml:space="preserve"> preliminary objections are simple and specific:</w:t>
      </w:r>
    </w:p>
    <w:p w:rsidR="00EC604F" w:rsidRPr="00202D94" w:rsidRDefault="00EC604F" w:rsidP="00EC604F">
      <w:pPr>
        <w:spacing w:line="360" w:lineRule="auto"/>
        <w:ind w:firstLine="1440"/>
        <w:rPr>
          <w:szCs w:val="26"/>
        </w:rPr>
      </w:pPr>
    </w:p>
    <w:p w:rsidR="00EC604F" w:rsidRPr="00202D94" w:rsidRDefault="00EC604F" w:rsidP="00EC604F">
      <w:pPr>
        <w:ind w:left="1440" w:right="1440"/>
        <w:contextualSpacing/>
        <w:rPr>
          <w:b/>
          <w:szCs w:val="26"/>
        </w:rPr>
      </w:pPr>
      <w:r w:rsidRPr="00202D94">
        <w:rPr>
          <w:b/>
          <w:szCs w:val="26"/>
        </w:rPr>
        <w:t xml:space="preserve">§ 5.101.  </w:t>
      </w:r>
      <w:proofErr w:type="gramStart"/>
      <w:r w:rsidRPr="00202D94">
        <w:rPr>
          <w:b/>
          <w:szCs w:val="26"/>
        </w:rPr>
        <w:t>Preliminary objections.</w:t>
      </w:r>
      <w:proofErr w:type="gramEnd"/>
    </w:p>
    <w:p w:rsidR="00EC604F" w:rsidRPr="00202D94" w:rsidRDefault="00EC604F" w:rsidP="00EC604F">
      <w:pPr>
        <w:ind w:left="1440" w:right="1440"/>
        <w:contextualSpacing/>
        <w:rPr>
          <w:b/>
          <w:szCs w:val="26"/>
        </w:rPr>
      </w:pPr>
    </w:p>
    <w:p w:rsidR="00EC604F" w:rsidRPr="00202D94" w:rsidRDefault="00EC604F" w:rsidP="00EC604F">
      <w:pPr>
        <w:ind w:left="1440" w:right="1440"/>
        <w:contextualSpacing/>
        <w:rPr>
          <w:szCs w:val="26"/>
        </w:rPr>
      </w:pPr>
      <w:r w:rsidRPr="00202D94">
        <w:rPr>
          <w:szCs w:val="26"/>
        </w:rPr>
        <w:t>(a)</w:t>
      </w:r>
      <w:r w:rsidRPr="00202D94">
        <w:rPr>
          <w:szCs w:val="26"/>
        </w:rPr>
        <w:tab/>
      </w:r>
      <w:r w:rsidRPr="00202D94">
        <w:rPr>
          <w:i/>
          <w:szCs w:val="26"/>
        </w:rPr>
        <w:t>Grounds.</w:t>
      </w:r>
      <w:r w:rsidRPr="00202D94">
        <w:rPr>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EC604F" w:rsidRPr="00202D94" w:rsidRDefault="00EC604F" w:rsidP="00EC604F">
      <w:pPr>
        <w:ind w:left="1440" w:right="1440"/>
        <w:contextualSpacing/>
        <w:rPr>
          <w:i/>
          <w:szCs w:val="26"/>
        </w:rPr>
      </w:pPr>
    </w:p>
    <w:p w:rsidR="00EC604F" w:rsidRPr="00202D94" w:rsidRDefault="00EC604F" w:rsidP="00EC604F">
      <w:pPr>
        <w:numPr>
          <w:ilvl w:val="0"/>
          <w:numId w:val="11"/>
        </w:numPr>
        <w:ind w:left="2880" w:right="1440" w:hanging="720"/>
        <w:contextualSpacing/>
        <w:rPr>
          <w:szCs w:val="26"/>
        </w:rPr>
      </w:pPr>
      <w:r w:rsidRPr="00202D94">
        <w:rPr>
          <w:szCs w:val="26"/>
        </w:rPr>
        <w:t>Lack of Commission jurisdiction or improper service of the pleading initiating the proceeding.</w:t>
      </w:r>
    </w:p>
    <w:p w:rsidR="00EC604F" w:rsidRPr="00202D94" w:rsidRDefault="00EC604F" w:rsidP="00EC604F">
      <w:pPr>
        <w:ind w:left="2160" w:right="1440"/>
        <w:contextualSpacing/>
        <w:rPr>
          <w:szCs w:val="26"/>
        </w:rPr>
      </w:pPr>
    </w:p>
    <w:p w:rsidR="00EC604F" w:rsidRPr="00202D94" w:rsidRDefault="00EC604F" w:rsidP="00EC604F">
      <w:pPr>
        <w:numPr>
          <w:ilvl w:val="0"/>
          <w:numId w:val="11"/>
        </w:numPr>
        <w:ind w:left="2880" w:right="1440" w:hanging="720"/>
        <w:contextualSpacing/>
        <w:rPr>
          <w:szCs w:val="26"/>
        </w:rPr>
      </w:pPr>
      <w:r w:rsidRPr="00202D94">
        <w:rPr>
          <w:szCs w:val="26"/>
        </w:rPr>
        <w:t>Failure of a pleading to conform to this chapter or the inclusion of scandalous or impertinent matter.</w:t>
      </w:r>
    </w:p>
    <w:p w:rsidR="00EC604F" w:rsidRPr="00202D94" w:rsidRDefault="00EC604F" w:rsidP="00EC604F">
      <w:pPr>
        <w:ind w:left="2160" w:right="1440"/>
        <w:contextualSpacing/>
        <w:rPr>
          <w:szCs w:val="26"/>
        </w:rPr>
      </w:pPr>
    </w:p>
    <w:p w:rsidR="00EC604F" w:rsidRPr="00202D94" w:rsidRDefault="00EC604F" w:rsidP="00EC604F">
      <w:pPr>
        <w:numPr>
          <w:ilvl w:val="0"/>
          <w:numId w:val="11"/>
        </w:numPr>
        <w:ind w:left="2880" w:right="1440" w:hanging="720"/>
        <w:contextualSpacing/>
        <w:rPr>
          <w:szCs w:val="26"/>
        </w:rPr>
      </w:pPr>
      <w:r w:rsidRPr="00202D94">
        <w:rPr>
          <w:szCs w:val="26"/>
        </w:rPr>
        <w:t>Insufficient specificity of a pleading.</w:t>
      </w:r>
    </w:p>
    <w:p w:rsidR="00EC604F" w:rsidRPr="00202D94" w:rsidRDefault="00EC604F" w:rsidP="00EC604F">
      <w:pPr>
        <w:ind w:left="2160" w:right="1440"/>
        <w:contextualSpacing/>
        <w:rPr>
          <w:szCs w:val="26"/>
        </w:rPr>
      </w:pPr>
    </w:p>
    <w:p w:rsidR="00EC604F" w:rsidRPr="00202D94" w:rsidRDefault="00EC604F" w:rsidP="00EC604F">
      <w:pPr>
        <w:numPr>
          <w:ilvl w:val="0"/>
          <w:numId w:val="11"/>
        </w:numPr>
        <w:ind w:left="2880" w:right="1440" w:hanging="720"/>
        <w:contextualSpacing/>
        <w:rPr>
          <w:szCs w:val="26"/>
        </w:rPr>
      </w:pPr>
      <w:r w:rsidRPr="00202D94">
        <w:rPr>
          <w:szCs w:val="26"/>
        </w:rPr>
        <w:t>Legal insufficiency of a pleading.</w:t>
      </w:r>
    </w:p>
    <w:p w:rsidR="00EC604F" w:rsidRPr="00202D94" w:rsidRDefault="00EC604F" w:rsidP="00EC604F">
      <w:pPr>
        <w:ind w:left="2160" w:right="1440"/>
        <w:contextualSpacing/>
        <w:rPr>
          <w:szCs w:val="26"/>
        </w:rPr>
      </w:pPr>
    </w:p>
    <w:p w:rsidR="00EC604F" w:rsidRPr="00202D94" w:rsidRDefault="00EC604F" w:rsidP="00EC604F">
      <w:pPr>
        <w:numPr>
          <w:ilvl w:val="0"/>
          <w:numId w:val="11"/>
        </w:numPr>
        <w:ind w:left="2880" w:right="1440" w:hanging="720"/>
        <w:contextualSpacing/>
        <w:rPr>
          <w:szCs w:val="26"/>
        </w:rPr>
      </w:pPr>
      <w:r w:rsidRPr="00202D94">
        <w:rPr>
          <w:szCs w:val="26"/>
        </w:rPr>
        <w:t xml:space="preserve">Lack of capacity to sue, </w:t>
      </w:r>
      <w:proofErr w:type="spellStart"/>
      <w:r w:rsidRPr="00202D94">
        <w:rPr>
          <w:szCs w:val="26"/>
        </w:rPr>
        <w:t>nonjoinder</w:t>
      </w:r>
      <w:proofErr w:type="spellEnd"/>
      <w:r w:rsidRPr="00202D94">
        <w:rPr>
          <w:szCs w:val="26"/>
        </w:rPr>
        <w:t xml:space="preserve"> of a necessary party or misjoinder of a cause of action.</w:t>
      </w:r>
    </w:p>
    <w:p w:rsidR="00EC604F" w:rsidRPr="00202D94" w:rsidRDefault="00EC604F" w:rsidP="00EC604F">
      <w:pPr>
        <w:ind w:left="2160" w:right="1440"/>
        <w:contextualSpacing/>
        <w:rPr>
          <w:szCs w:val="26"/>
        </w:rPr>
      </w:pPr>
    </w:p>
    <w:p w:rsidR="00EC604F" w:rsidRPr="00202D94" w:rsidRDefault="00EC604F" w:rsidP="00EC604F">
      <w:pPr>
        <w:numPr>
          <w:ilvl w:val="0"/>
          <w:numId w:val="11"/>
        </w:numPr>
        <w:ind w:left="2880" w:right="1440" w:hanging="720"/>
        <w:contextualSpacing/>
        <w:rPr>
          <w:szCs w:val="26"/>
        </w:rPr>
      </w:pPr>
      <w:r w:rsidRPr="00202D94">
        <w:rPr>
          <w:szCs w:val="26"/>
        </w:rPr>
        <w:t>Pendency of a prior proceeding or agreement for alternative dispute resolution.</w:t>
      </w:r>
    </w:p>
    <w:p w:rsidR="00EC604F" w:rsidRPr="00202D94" w:rsidRDefault="00EC604F" w:rsidP="00EC604F">
      <w:pPr>
        <w:ind w:left="2520" w:right="1440"/>
        <w:contextualSpacing/>
        <w:rPr>
          <w:szCs w:val="26"/>
        </w:rPr>
      </w:pPr>
    </w:p>
    <w:p w:rsidR="00EC604F" w:rsidRDefault="00EC604F" w:rsidP="00EC604F">
      <w:pPr>
        <w:spacing w:line="360" w:lineRule="auto"/>
        <w:ind w:left="1440" w:right="1440" w:hanging="1440"/>
        <w:contextualSpacing/>
        <w:rPr>
          <w:szCs w:val="26"/>
        </w:rPr>
      </w:pPr>
      <w:proofErr w:type="gramStart"/>
      <w:r w:rsidRPr="00202D94">
        <w:rPr>
          <w:szCs w:val="26"/>
        </w:rPr>
        <w:t>52 Pa. Code § 5.101(a).</w:t>
      </w:r>
      <w:proofErr w:type="gramEnd"/>
      <w:r w:rsidRPr="00202D94">
        <w:rPr>
          <w:szCs w:val="26"/>
        </w:rPr>
        <w:t xml:space="preserve">  </w:t>
      </w:r>
    </w:p>
    <w:p w:rsidR="00EC604F" w:rsidRDefault="00EC604F" w:rsidP="00EC604F">
      <w:pPr>
        <w:tabs>
          <w:tab w:val="left" w:pos="-720"/>
        </w:tabs>
        <w:suppressAutoHyphens/>
        <w:spacing w:line="360" w:lineRule="auto"/>
        <w:ind w:firstLine="1440"/>
        <w:rPr>
          <w:szCs w:val="26"/>
        </w:rPr>
      </w:pPr>
    </w:p>
    <w:p w:rsidR="00EC604F" w:rsidRDefault="00EC604F" w:rsidP="00EC604F">
      <w:pPr>
        <w:tabs>
          <w:tab w:val="left" w:pos="-720"/>
        </w:tabs>
        <w:suppressAutoHyphens/>
        <w:spacing w:line="360" w:lineRule="auto"/>
        <w:ind w:firstLine="1440"/>
        <w:rPr>
          <w:szCs w:val="26"/>
        </w:rPr>
      </w:pPr>
      <w:r w:rsidRPr="00202D94">
        <w:rPr>
          <w:szCs w:val="26"/>
        </w:rPr>
        <w:t xml:space="preserve">Commission preliminary objection practice is similar to Pennsylvania civil practice.  </w:t>
      </w:r>
      <w:r w:rsidRPr="00202D94">
        <w:rPr>
          <w:i/>
          <w:szCs w:val="26"/>
        </w:rPr>
        <w:t xml:space="preserve">Equitable Small Transportation </w:t>
      </w:r>
      <w:proofErr w:type="spellStart"/>
      <w:r w:rsidRPr="00202D94">
        <w:rPr>
          <w:i/>
          <w:szCs w:val="26"/>
        </w:rPr>
        <w:t>Interven</w:t>
      </w:r>
      <w:r>
        <w:rPr>
          <w:i/>
          <w:szCs w:val="26"/>
        </w:rPr>
        <w:t>o</w:t>
      </w:r>
      <w:r w:rsidRPr="00202D94">
        <w:rPr>
          <w:i/>
          <w:szCs w:val="26"/>
        </w:rPr>
        <w:t>rs</w:t>
      </w:r>
      <w:proofErr w:type="spellEnd"/>
      <w:r w:rsidRPr="00202D94">
        <w:rPr>
          <w:i/>
          <w:szCs w:val="26"/>
        </w:rPr>
        <w:t xml:space="preserve"> v. Equitable Gas Company, </w:t>
      </w:r>
      <w:r w:rsidRPr="00202D94">
        <w:rPr>
          <w:szCs w:val="26"/>
        </w:rPr>
        <w:t>1994 Pa. PUC LEXIS 69</w:t>
      </w:r>
      <w:r>
        <w:rPr>
          <w:szCs w:val="26"/>
        </w:rPr>
        <w:t xml:space="preserve"> (July 18, 1994).  </w:t>
      </w:r>
      <w:r w:rsidR="0077110D">
        <w:rPr>
          <w:szCs w:val="26"/>
        </w:rPr>
        <w:t xml:space="preserve">When considering </w:t>
      </w:r>
      <w:r w:rsidRPr="00202D94">
        <w:rPr>
          <w:szCs w:val="26"/>
        </w:rPr>
        <w:t>preliminary objection</w:t>
      </w:r>
      <w:r w:rsidR="0077110D">
        <w:rPr>
          <w:szCs w:val="26"/>
        </w:rPr>
        <w:t>s</w:t>
      </w:r>
      <w:r w:rsidRPr="00202D94">
        <w:rPr>
          <w:szCs w:val="26"/>
        </w:rPr>
        <w:t>, the Commission must determine</w:t>
      </w:r>
      <w:r>
        <w:rPr>
          <w:szCs w:val="26"/>
        </w:rPr>
        <w:t>:</w:t>
      </w:r>
    </w:p>
    <w:p w:rsidR="00EC604F" w:rsidRDefault="00EC604F" w:rsidP="00EC604F">
      <w:pPr>
        <w:tabs>
          <w:tab w:val="left" w:pos="-720"/>
        </w:tabs>
        <w:suppressAutoHyphens/>
        <w:spacing w:line="360" w:lineRule="auto"/>
        <w:ind w:firstLine="1440"/>
        <w:rPr>
          <w:szCs w:val="26"/>
        </w:rPr>
      </w:pPr>
    </w:p>
    <w:p w:rsidR="00EC604F" w:rsidRDefault="00EC604F" w:rsidP="00EC604F">
      <w:pPr>
        <w:tabs>
          <w:tab w:val="left" w:pos="-720"/>
        </w:tabs>
        <w:suppressAutoHyphens/>
        <w:ind w:left="1440" w:right="1440"/>
        <w:rPr>
          <w:szCs w:val="26"/>
        </w:rPr>
      </w:pPr>
      <w:r>
        <w:rPr>
          <w:szCs w:val="26"/>
        </w:rPr>
        <w:t xml:space="preserve">. . . </w:t>
      </w:r>
      <w:proofErr w:type="gramStart"/>
      <w:r w:rsidRPr="00202D94">
        <w:rPr>
          <w:szCs w:val="26"/>
        </w:rPr>
        <w:t>whether</w:t>
      </w:r>
      <w:proofErr w:type="gramEnd"/>
      <w:r w:rsidRPr="00202D94">
        <w:rPr>
          <w:szCs w:val="26"/>
        </w:rPr>
        <w:t xml:space="preserve"> the law says with certainty, based on well-</w:t>
      </w:r>
      <w:r>
        <w:rPr>
          <w:szCs w:val="26"/>
        </w:rPr>
        <w:t xml:space="preserve">pleaded factual averments . . . </w:t>
      </w:r>
      <w:r w:rsidRPr="00202D94">
        <w:rPr>
          <w:szCs w:val="26"/>
        </w:rPr>
        <w:t xml:space="preserve">that no recovery or relief is possible.  </w:t>
      </w:r>
      <w:proofErr w:type="gramStart"/>
      <w:r>
        <w:rPr>
          <w:i/>
          <w:szCs w:val="26"/>
        </w:rPr>
        <w:t>P.</w:t>
      </w:r>
      <w:r w:rsidRPr="00202D94">
        <w:rPr>
          <w:i/>
          <w:szCs w:val="26"/>
        </w:rPr>
        <w:t xml:space="preserve">J.S. v. Pa. State Ethics Commission, </w:t>
      </w:r>
      <w:r w:rsidRPr="00202D94">
        <w:rPr>
          <w:szCs w:val="26"/>
        </w:rPr>
        <w:t>669</w:t>
      </w:r>
      <w:r>
        <w:rPr>
          <w:szCs w:val="26"/>
        </w:rPr>
        <w:t xml:space="preserve"> A.2d 1105 (Pa. Cmwlth. 1996).</w:t>
      </w:r>
      <w:proofErr w:type="gramEnd"/>
      <w:r>
        <w:rPr>
          <w:szCs w:val="26"/>
        </w:rPr>
        <w:t xml:space="preserve">  </w:t>
      </w:r>
      <w:r w:rsidRPr="00202D94">
        <w:rPr>
          <w:szCs w:val="26"/>
        </w:rPr>
        <w:t xml:space="preserve">Any doubt must be resolved in favor of the non-moving party by refusing to sustain the preliminary objections.  </w:t>
      </w:r>
      <w:proofErr w:type="gramStart"/>
      <w:r w:rsidRPr="00202D94">
        <w:rPr>
          <w:i/>
          <w:szCs w:val="26"/>
        </w:rPr>
        <w:t xml:space="preserve">Boyd v. Ward, </w:t>
      </w:r>
      <w:r w:rsidRPr="00202D94">
        <w:rPr>
          <w:szCs w:val="26"/>
        </w:rPr>
        <w:t>802 A.2d 705 (Pa. Cmwlth. 2002).</w:t>
      </w:r>
      <w:proofErr w:type="gramEnd"/>
    </w:p>
    <w:p w:rsidR="00EC604F" w:rsidRDefault="00EC604F" w:rsidP="00EC604F">
      <w:pPr>
        <w:tabs>
          <w:tab w:val="left" w:pos="-720"/>
        </w:tabs>
        <w:suppressAutoHyphens/>
        <w:ind w:left="1440" w:right="1440"/>
        <w:rPr>
          <w:szCs w:val="26"/>
        </w:rPr>
      </w:pPr>
    </w:p>
    <w:p w:rsidR="00EC604F" w:rsidRDefault="00EC604F" w:rsidP="00EC604F">
      <w:pPr>
        <w:tabs>
          <w:tab w:val="left" w:pos="-720"/>
        </w:tabs>
        <w:suppressAutoHyphens/>
        <w:ind w:left="1440" w:right="1440"/>
        <w:rPr>
          <w:szCs w:val="26"/>
        </w:rPr>
      </w:pPr>
    </w:p>
    <w:p w:rsidR="00EC604F" w:rsidRDefault="00EC604F" w:rsidP="00EC604F">
      <w:pPr>
        <w:tabs>
          <w:tab w:val="left" w:pos="-720"/>
        </w:tabs>
        <w:suppressAutoHyphens/>
        <w:spacing w:line="360" w:lineRule="auto"/>
        <w:rPr>
          <w:szCs w:val="26"/>
        </w:rPr>
      </w:pPr>
      <w:proofErr w:type="gramStart"/>
      <w:r w:rsidRPr="00202D94">
        <w:rPr>
          <w:i/>
          <w:szCs w:val="26"/>
        </w:rPr>
        <w:t xml:space="preserve">Dept. of Auditor General, et al. v. State Employees’ Retirement System, et al., </w:t>
      </w:r>
      <w:r w:rsidRPr="00202D94">
        <w:rPr>
          <w:szCs w:val="26"/>
        </w:rPr>
        <w:t xml:space="preserve">836 A.2d </w:t>
      </w:r>
      <w:r>
        <w:rPr>
          <w:szCs w:val="26"/>
        </w:rPr>
        <w:t xml:space="preserve">1053, 1064 </w:t>
      </w:r>
      <w:r w:rsidRPr="00202D94">
        <w:rPr>
          <w:szCs w:val="26"/>
        </w:rPr>
        <w:t>(Pa. Cmwlth. 2003).</w:t>
      </w:r>
      <w:proofErr w:type="gramEnd"/>
      <w:r w:rsidRPr="00202D94">
        <w:rPr>
          <w:szCs w:val="26"/>
        </w:rPr>
        <w:t xml:space="preserve">  </w:t>
      </w:r>
    </w:p>
    <w:p w:rsidR="00EC604F" w:rsidRPr="00202D94" w:rsidRDefault="00EC604F" w:rsidP="00EC604F">
      <w:pPr>
        <w:spacing w:line="360" w:lineRule="auto"/>
        <w:rPr>
          <w:szCs w:val="26"/>
        </w:rPr>
      </w:pPr>
    </w:p>
    <w:p w:rsidR="00B608C8" w:rsidRDefault="00EC604F" w:rsidP="00BE11B2">
      <w:pPr>
        <w:tabs>
          <w:tab w:val="left" w:pos="-1440"/>
          <w:tab w:val="left" w:pos="-720"/>
        </w:tabs>
        <w:suppressAutoHyphens/>
        <w:spacing w:line="360" w:lineRule="auto"/>
        <w:ind w:firstLine="1440"/>
        <w:rPr>
          <w:spacing w:val="-3"/>
          <w:szCs w:val="26"/>
        </w:rPr>
      </w:pPr>
      <w:r w:rsidRPr="00CF5053">
        <w:rPr>
          <w:szCs w:val="26"/>
        </w:rPr>
        <w:t xml:space="preserve">Additionally, </w:t>
      </w:r>
      <w:r>
        <w:rPr>
          <w:szCs w:val="26"/>
        </w:rPr>
        <w:t xml:space="preserve">in considering preliminary objections, </w:t>
      </w:r>
      <w:r w:rsidRPr="00CF5053">
        <w:rPr>
          <w:szCs w:val="26"/>
        </w:rPr>
        <w:t>the Commission may not rely upon the factual assertions of the moving party</w:t>
      </w:r>
      <w:r>
        <w:rPr>
          <w:szCs w:val="26"/>
        </w:rPr>
        <w:t>,</w:t>
      </w:r>
      <w:r w:rsidRPr="00CF5053">
        <w:rPr>
          <w:szCs w:val="26"/>
        </w:rPr>
        <w:t xml:space="preserve"> but must accept as true for purposes of disposing of the motion all well pleaded, material facts of the nonmoving party, as well as every inference from those facts.  </w:t>
      </w:r>
      <w:proofErr w:type="gramStart"/>
      <w:r w:rsidRPr="00A654F3">
        <w:rPr>
          <w:i/>
          <w:szCs w:val="26"/>
        </w:rPr>
        <w:t>County of Allegheny v. Commonwealth of Pennsylvania</w:t>
      </w:r>
      <w:r>
        <w:rPr>
          <w:szCs w:val="26"/>
        </w:rPr>
        <w:t>, 490 A.</w:t>
      </w:r>
      <w:r w:rsidRPr="00CF5053">
        <w:rPr>
          <w:szCs w:val="26"/>
        </w:rPr>
        <w:t>2d 402 (Pa. 1985);</w:t>
      </w:r>
      <w:r w:rsidRPr="00A654F3">
        <w:rPr>
          <w:i/>
          <w:szCs w:val="26"/>
        </w:rPr>
        <w:t xml:space="preserve"> Commonwealth of Pennsylvania v. Bell Telephone Co. of Pa.</w:t>
      </w:r>
      <w:r w:rsidRPr="00CF5053">
        <w:rPr>
          <w:szCs w:val="26"/>
        </w:rPr>
        <w:t>, 551 A.2d 602 (Pa. Cmwlth. 1988).</w:t>
      </w:r>
      <w:proofErr w:type="gramEnd"/>
      <w:r>
        <w:rPr>
          <w:szCs w:val="26"/>
        </w:rPr>
        <w:t xml:space="preserve">  In this case, the Commission </w:t>
      </w:r>
      <w:r>
        <w:rPr>
          <w:szCs w:val="26"/>
        </w:rPr>
        <w:lastRenderedPageBreak/>
        <w:t>must view the C</w:t>
      </w:r>
      <w:r w:rsidRPr="00CF5053">
        <w:rPr>
          <w:szCs w:val="26"/>
        </w:rPr>
        <w:t xml:space="preserve">omplaint in the light most favorable to the </w:t>
      </w:r>
      <w:r>
        <w:rPr>
          <w:szCs w:val="26"/>
        </w:rPr>
        <w:t>Complainant,</w:t>
      </w:r>
      <w:r w:rsidRPr="00CF5053">
        <w:rPr>
          <w:szCs w:val="26"/>
        </w:rPr>
        <w:t xml:space="preserve"> and sh</w:t>
      </w:r>
      <w:r>
        <w:rPr>
          <w:szCs w:val="26"/>
        </w:rPr>
        <w:t>ould dismiss the C</w:t>
      </w:r>
      <w:r w:rsidRPr="00CF5053">
        <w:rPr>
          <w:szCs w:val="26"/>
        </w:rPr>
        <w:t xml:space="preserve">omplaint only if it appears that the Complainant would not be entitled to relief under any circumstances as a matter of law.  </w:t>
      </w:r>
      <w:r w:rsidRPr="00DE360D">
        <w:rPr>
          <w:i/>
          <w:szCs w:val="26"/>
        </w:rPr>
        <w:t xml:space="preserve">Equitable Small Transportation </w:t>
      </w:r>
      <w:proofErr w:type="spellStart"/>
      <w:r w:rsidRPr="00DE360D">
        <w:rPr>
          <w:i/>
          <w:szCs w:val="26"/>
        </w:rPr>
        <w:t>Intervenors</w:t>
      </w:r>
      <w:proofErr w:type="spellEnd"/>
      <w:r>
        <w:rPr>
          <w:i/>
          <w:szCs w:val="26"/>
        </w:rPr>
        <w:t>, supra</w:t>
      </w:r>
      <w:r>
        <w:rPr>
          <w:szCs w:val="26"/>
        </w:rPr>
        <w:t>.</w:t>
      </w:r>
    </w:p>
    <w:p w:rsidR="00B608C8" w:rsidRDefault="00B608C8" w:rsidP="00BE11B2">
      <w:pPr>
        <w:tabs>
          <w:tab w:val="left" w:pos="-1440"/>
          <w:tab w:val="left" w:pos="-720"/>
        </w:tabs>
        <w:suppressAutoHyphens/>
        <w:spacing w:line="360" w:lineRule="auto"/>
        <w:ind w:firstLine="1440"/>
        <w:rPr>
          <w:spacing w:val="-3"/>
          <w:szCs w:val="26"/>
        </w:rPr>
      </w:pPr>
    </w:p>
    <w:p w:rsidR="00B608C8" w:rsidRPr="00F27A83" w:rsidRDefault="00B608C8" w:rsidP="00F27A83">
      <w:pPr>
        <w:tabs>
          <w:tab w:val="left" w:pos="-1440"/>
          <w:tab w:val="left" w:pos="-720"/>
        </w:tabs>
        <w:suppressAutoHyphens/>
        <w:spacing w:line="360" w:lineRule="auto"/>
        <w:rPr>
          <w:b/>
          <w:spacing w:val="-3"/>
          <w:szCs w:val="26"/>
        </w:rPr>
      </w:pPr>
      <w:r>
        <w:rPr>
          <w:b/>
          <w:spacing w:val="-3"/>
          <w:szCs w:val="26"/>
        </w:rPr>
        <w:t>Disposition</w:t>
      </w:r>
    </w:p>
    <w:p w:rsidR="00B608C8" w:rsidRDefault="00B608C8" w:rsidP="00BE11B2">
      <w:pPr>
        <w:tabs>
          <w:tab w:val="left" w:pos="-1440"/>
          <w:tab w:val="left" w:pos="-720"/>
        </w:tabs>
        <w:suppressAutoHyphens/>
        <w:spacing w:line="360" w:lineRule="auto"/>
        <w:ind w:firstLine="1440"/>
        <w:rPr>
          <w:spacing w:val="-3"/>
          <w:szCs w:val="26"/>
        </w:rPr>
      </w:pPr>
    </w:p>
    <w:p w:rsidR="004D1567" w:rsidRDefault="004D1567" w:rsidP="004D1567">
      <w:pPr>
        <w:tabs>
          <w:tab w:val="left" w:pos="-720"/>
        </w:tabs>
        <w:suppressAutoHyphens/>
        <w:spacing w:line="360" w:lineRule="auto"/>
        <w:ind w:firstLine="1440"/>
        <w:rPr>
          <w:szCs w:val="26"/>
        </w:rPr>
      </w:pPr>
      <w:r>
        <w:rPr>
          <w:szCs w:val="26"/>
        </w:rPr>
        <w:t>On review, we find</w:t>
      </w:r>
      <w:r w:rsidR="00F02DBA">
        <w:rPr>
          <w:szCs w:val="26"/>
        </w:rPr>
        <w:t xml:space="preserve"> that the ALJ’s granting of Verizon PA</w:t>
      </w:r>
      <w:r w:rsidRPr="00C00D58">
        <w:rPr>
          <w:szCs w:val="26"/>
        </w:rPr>
        <w:t>’s Preliminary Objections was correct even though M</w:t>
      </w:r>
      <w:r w:rsidR="00BE0BC1">
        <w:rPr>
          <w:szCs w:val="26"/>
        </w:rPr>
        <w:t>r</w:t>
      </w:r>
      <w:r w:rsidRPr="00C00D58">
        <w:rPr>
          <w:szCs w:val="26"/>
        </w:rPr>
        <w:t xml:space="preserve">. </w:t>
      </w:r>
      <w:r w:rsidR="00BE0BC1">
        <w:rPr>
          <w:szCs w:val="26"/>
        </w:rPr>
        <w:t>Rudnick</w:t>
      </w:r>
      <w:r>
        <w:rPr>
          <w:szCs w:val="26"/>
        </w:rPr>
        <w:t xml:space="preserve"> i</w:t>
      </w:r>
      <w:r w:rsidRPr="00C00D58">
        <w:rPr>
          <w:szCs w:val="26"/>
        </w:rPr>
        <w:t xml:space="preserve">s a </w:t>
      </w:r>
      <w:r w:rsidRPr="00C00D58">
        <w:rPr>
          <w:i/>
          <w:szCs w:val="26"/>
        </w:rPr>
        <w:t>pro se</w:t>
      </w:r>
      <w:r w:rsidRPr="00C00D58">
        <w:rPr>
          <w:szCs w:val="26"/>
        </w:rPr>
        <w:t xml:space="preserve"> Complainant.  </w:t>
      </w:r>
      <w:proofErr w:type="gramStart"/>
      <w:r w:rsidRPr="00C00D58">
        <w:rPr>
          <w:szCs w:val="26"/>
        </w:rPr>
        <w:t xml:space="preserve">In </w:t>
      </w:r>
      <w:proofErr w:type="spellStart"/>
      <w:r w:rsidRPr="00C00D58">
        <w:rPr>
          <w:i/>
          <w:szCs w:val="26"/>
        </w:rPr>
        <w:t>Carlock</w:t>
      </w:r>
      <w:proofErr w:type="spellEnd"/>
      <w:r w:rsidRPr="00C00D58">
        <w:rPr>
          <w:i/>
          <w:szCs w:val="26"/>
        </w:rPr>
        <w:t xml:space="preserve"> v.</w:t>
      </w:r>
      <w:proofErr w:type="gramEnd"/>
      <w:r w:rsidRPr="00C00D58">
        <w:rPr>
          <w:i/>
          <w:szCs w:val="26"/>
        </w:rPr>
        <w:t xml:space="preserve"> The United Telephone Company of Pennsylvania</w:t>
      </w:r>
      <w:r w:rsidRPr="00C00D58">
        <w:rPr>
          <w:szCs w:val="26"/>
        </w:rPr>
        <w:t xml:space="preserve">, Docket No. F-00163617 (Order entered July 14, 1993), we held that, in the normal course, we would not dismiss a </w:t>
      </w:r>
      <w:r w:rsidRPr="00C00D58">
        <w:rPr>
          <w:i/>
          <w:szCs w:val="26"/>
        </w:rPr>
        <w:t>pro se</w:t>
      </w:r>
      <w:r w:rsidRPr="00C00D58">
        <w:rPr>
          <w:szCs w:val="26"/>
        </w:rPr>
        <w:t xml:space="preserve"> complaint without first providing a hearing during which the </w:t>
      </w:r>
      <w:r w:rsidRPr="00C00D58">
        <w:rPr>
          <w:i/>
          <w:szCs w:val="26"/>
        </w:rPr>
        <w:t>pro se</w:t>
      </w:r>
      <w:r w:rsidRPr="00C00D58">
        <w:rPr>
          <w:szCs w:val="26"/>
        </w:rPr>
        <w:t xml:space="preserve"> complainant could further explain his or her position and the factual basis for the complaint.  The concern was expressed that, in general, </w:t>
      </w:r>
      <w:r w:rsidRPr="00C00D58">
        <w:rPr>
          <w:i/>
          <w:szCs w:val="26"/>
        </w:rPr>
        <w:t>pro se</w:t>
      </w:r>
      <w:r w:rsidRPr="00C00D58">
        <w:rPr>
          <w:szCs w:val="26"/>
        </w:rPr>
        <w:t xml:space="preserve"> complainants may find it difficult to navigate through pre-hearing motions and should be given the chance to orally describe their basic issue and supporting facts.  There are some cases, such as this one, where we find that a hearing would not enable the C</w:t>
      </w:r>
      <w:r w:rsidR="00BE0BC1">
        <w:rPr>
          <w:szCs w:val="26"/>
        </w:rPr>
        <w:t>omplainant to better explain his</w:t>
      </w:r>
      <w:r w:rsidRPr="00C00D58">
        <w:rPr>
          <w:szCs w:val="26"/>
        </w:rPr>
        <w:t xml:space="preserve"> position or provide additional facts that would alter the inevitable conclusion that this Commission lacks jurisdiction to entertain the Complaint in the first instance.  </w:t>
      </w:r>
      <w:r>
        <w:rPr>
          <w:i/>
          <w:szCs w:val="26"/>
        </w:rPr>
        <w:t>See</w:t>
      </w:r>
      <w:r w:rsidRPr="00136B5E">
        <w:rPr>
          <w:i/>
          <w:szCs w:val="26"/>
        </w:rPr>
        <w:t xml:space="preserve">, </w:t>
      </w:r>
      <w:proofErr w:type="spellStart"/>
      <w:r w:rsidRPr="00136B5E">
        <w:rPr>
          <w:i/>
          <w:szCs w:val="26"/>
        </w:rPr>
        <w:t>Vata</w:t>
      </w:r>
      <w:proofErr w:type="spellEnd"/>
      <w:r w:rsidRPr="00136B5E">
        <w:rPr>
          <w:i/>
          <w:szCs w:val="26"/>
        </w:rPr>
        <w:t xml:space="preserve"> v. Philadelphia Gas Works</w:t>
      </w:r>
      <w:r>
        <w:rPr>
          <w:szCs w:val="26"/>
        </w:rPr>
        <w:t xml:space="preserve">, Docket No. </w:t>
      </w:r>
      <w:r w:rsidRPr="008A777B">
        <w:rPr>
          <w:szCs w:val="26"/>
        </w:rPr>
        <w:t>C-2009-2149960</w:t>
      </w:r>
      <w:r>
        <w:rPr>
          <w:szCs w:val="26"/>
        </w:rPr>
        <w:t xml:space="preserve"> (Order entered August 24, 2010).  </w:t>
      </w:r>
      <w:r w:rsidRPr="008A777B">
        <w:rPr>
          <w:szCs w:val="26"/>
        </w:rPr>
        <w:t>On</w:t>
      </w:r>
      <w:r w:rsidRPr="00C00D58">
        <w:rPr>
          <w:szCs w:val="26"/>
        </w:rPr>
        <w:t xml:space="preserve"> this basis, we distinguish </w:t>
      </w:r>
      <w:proofErr w:type="spellStart"/>
      <w:r w:rsidRPr="00C00D58">
        <w:rPr>
          <w:i/>
          <w:szCs w:val="26"/>
        </w:rPr>
        <w:t>Carlock</w:t>
      </w:r>
      <w:proofErr w:type="spellEnd"/>
      <w:r w:rsidRPr="00C00D58">
        <w:rPr>
          <w:szCs w:val="26"/>
        </w:rPr>
        <w:t xml:space="preserve"> from the case now before us.</w:t>
      </w:r>
    </w:p>
    <w:p w:rsidR="00460218" w:rsidRDefault="00460218" w:rsidP="00BE11B2">
      <w:pPr>
        <w:tabs>
          <w:tab w:val="left" w:pos="-1440"/>
          <w:tab w:val="left" w:pos="-720"/>
        </w:tabs>
        <w:suppressAutoHyphens/>
        <w:spacing w:line="360" w:lineRule="auto"/>
        <w:ind w:firstLine="1440"/>
        <w:rPr>
          <w:spacing w:val="-3"/>
          <w:szCs w:val="26"/>
        </w:rPr>
      </w:pPr>
    </w:p>
    <w:p w:rsidR="0060748E" w:rsidRDefault="005D48EF" w:rsidP="00BE11B2">
      <w:pPr>
        <w:tabs>
          <w:tab w:val="left" w:pos="-1440"/>
          <w:tab w:val="left" w:pos="-720"/>
        </w:tabs>
        <w:suppressAutoHyphens/>
        <w:spacing w:line="360" w:lineRule="auto"/>
        <w:ind w:firstLine="1440"/>
        <w:rPr>
          <w:spacing w:val="-3"/>
          <w:szCs w:val="26"/>
        </w:rPr>
      </w:pPr>
      <w:r>
        <w:rPr>
          <w:spacing w:val="-3"/>
          <w:szCs w:val="26"/>
        </w:rPr>
        <w:t>Although we agree with the ALJ’s decision to dismiss the instant Complaint for lack of subject matter jurisdiction, our rationale for doing so is somewhat different</w:t>
      </w:r>
      <w:r w:rsidR="003D0B84">
        <w:rPr>
          <w:spacing w:val="-3"/>
          <w:szCs w:val="26"/>
        </w:rPr>
        <w:t xml:space="preserve"> than that relied upon by the ALJ</w:t>
      </w:r>
      <w:r>
        <w:rPr>
          <w:spacing w:val="-3"/>
          <w:szCs w:val="26"/>
        </w:rPr>
        <w:t xml:space="preserve">.  The Commission previously has held that it does not have jurisdiction over the rates for calls placed from a point in Pennsylvania to another country.  </w:t>
      </w:r>
      <w:proofErr w:type="gramStart"/>
      <w:r w:rsidRPr="00AF54FC">
        <w:rPr>
          <w:i/>
          <w:spacing w:val="-3"/>
          <w:szCs w:val="26"/>
        </w:rPr>
        <w:t>See, e.g</w:t>
      </w:r>
      <w:r>
        <w:rPr>
          <w:spacing w:val="-3"/>
          <w:szCs w:val="26"/>
        </w:rPr>
        <w:t xml:space="preserve">., </w:t>
      </w:r>
      <w:proofErr w:type="spellStart"/>
      <w:r w:rsidRPr="005D48EF">
        <w:rPr>
          <w:i/>
          <w:spacing w:val="-3"/>
          <w:szCs w:val="26"/>
        </w:rPr>
        <w:t>Kpakiwa</w:t>
      </w:r>
      <w:proofErr w:type="spellEnd"/>
      <w:r w:rsidRPr="005D48EF">
        <w:rPr>
          <w:i/>
          <w:spacing w:val="-3"/>
          <w:szCs w:val="26"/>
        </w:rPr>
        <w:t xml:space="preserve"> v.</w:t>
      </w:r>
      <w:proofErr w:type="gramEnd"/>
      <w:r w:rsidRPr="005D48EF">
        <w:rPr>
          <w:i/>
          <w:spacing w:val="-3"/>
          <w:szCs w:val="26"/>
        </w:rPr>
        <w:t xml:space="preserve"> </w:t>
      </w:r>
      <w:r w:rsidR="00532B61">
        <w:rPr>
          <w:i/>
          <w:spacing w:val="-3"/>
          <w:szCs w:val="26"/>
        </w:rPr>
        <w:t xml:space="preserve">The </w:t>
      </w:r>
      <w:r w:rsidRPr="005D48EF">
        <w:rPr>
          <w:i/>
          <w:spacing w:val="-3"/>
          <w:szCs w:val="26"/>
        </w:rPr>
        <w:t>Bell</w:t>
      </w:r>
      <w:r w:rsidR="00F02DBA">
        <w:rPr>
          <w:i/>
          <w:spacing w:val="-3"/>
          <w:szCs w:val="26"/>
        </w:rPr>
        <w:t xml:space="preserve"> Telephone Company of</w:t>
      </w:r>
      <w:r w:rsidRPr="005D48EF">
        <w:rPr>
          <w:i/>
          <w:spacing w:val="-3"/>
          <w:szCs w:val="26"/>
        </w:rPr>
        <w:t xml:space="preserve"> Pennsylvania</w:t>
      </w:r>
      <w:r w:rsidR="00532B61">
        <w:rPr>
          <w:i/>
          <w:spacing w:val="-3"/>
          <w:szCs w:val="26"/>
        </w:rPr>
        <w:t xml:space="preserve"> and AT&amp;T Communications of Pa.</w:t>
      </w:r>
      <w:r w:rsidRPr="005D48EF">
        <w:rPr>
          <w:i/>
          <w:spacing w:val="-3"/>
          <w:szCs w:val="26"/>
        </w:rPr>
        <w:t xml:space="preserve"> Inc.</w:t>
      </w:r>
      <w:r>
        <w:rPr>
          <w:spacing w:val="-3"/>
          <w:szCs w:val="26"/>
        </w:rPr>
        <w:t xml:space="preserve">, Docket No. </w:t>
      </w:r>
      <w:proofErr w:type="gramStart"/>
      <w:r>
        <w:rPr>
          <w:spacing w:val="-3"/>
          <w:szCs w:val="26"/>
        </w:rPr>
        <w:t>F-09344616 (Order entered March 29, 1994) (no subject matter jurisdiction over complaint alleging improperly billed calls to Sierra Leone).</w:t>
      </w:r>
      <w:proofErr w:type="gramEnd"/>
      <w:r>
        <w:rPr>
          <w:spacing w:val="-3"/>
          <w:szCs w:val="26"/>
        </w:rPr>
        <w:t xml:space="preserve">  </w:t>
      </w:r>
      <w:r>
        <w:rPr>
          <w:spacing w:val="-3"/>
          <w:szCs w:val="26"/>
        </w:rPr>
        <w:lastRenderedPageBreak/>
        <w:t>Rather, the Federal Communications Commission has exclusive jurisdiction over rates for international calls.  Because international calls are outside of our ju</w:t>
      </w:r>
      <w:r w:rsidR="003D0B84">
        <w:rPr>
          <w:spacing w:val="-3"/>
          <w:szCs w:val="26"/>
        </w:rPr>
        <w:t>risdiction, it follows that Verizon</w:t>
      </w:r>
      <w:r w:rsidR="00685036">
        <w:rPr>
          <w:spacing w:val="-3"/>
          <w:szCs w:val="26"/>
        </w:rPr>
        <w:t xml:space="preserve"> PA’s</w:t>
      </w:r>
      <w:r w:rsidR="003D0B84">
        <w:rPr>
          <w:spacing w:val="-3"/>
          <w:szCs w:val="26"/>
        </w:rPr>
        <w:t xml:space="preserve"> </w:t>
      </w:r>
      <w:r>
        <w:rPr>
          <w:spacing w:val="-3"/>
          <w:szCs w:val="26"/>
        </w:rPr>
        <w:t xml:space="preserve">website content regarding international calling rates also is outside of our jurisdiction.  If we were to determine that we had jurisdiction over the website content pertaining to international calling rates, </w:t>
      </w:r>
      <w:r w:rsidR="00AF54FC">
        <w:rPr>
          <w:spacing w:val="-3"/>
          <w:szCs w:val="26"/>
        </w:rPr>
        <w:t>we would be creating jurisdiction where</w:t>
      </w:r>
      <w:r w:rsidR="00C82A6F">
        <w:rPr>
          <w:spacing w:val="-3"/>
          <w:szCs w:val="26"/>
        </w:rPr>
        <w:t xml:space="preserve"> none exists. </w:t>
      </w:r>
      <w:r w:rsidR="00F02DBA">
        <w:rPr>
          <w:spacing w:val="-3"/>
          <w:szCs w:val="26"/>
        </w:rPr>
        <w:t xml:space="preserve">As a creature of legislation, the Commission possesses only the authority that the General Assembly specifically has granted to it in the Code, 66 Pa. C.S. §§ 101 </w:t>
      </w:r>
      <w:r w:rsidR="00F02DBA" w:rsidRPr="00D14E02">
        <w:rPr>
          <w:i/>
          <w:spacing w:val="-3"/>
          <w:szCs w:val="26"/>
        </w:rPr>
        <w:t>et seq</w:t>
      </w:r>
      <w:r w:rsidR="00F02DBA">
        <w:rPr>
          <w:spacing w:val="-3"/>
          <w:szCs w:val="26"/>
        </w:rPr>
        <w:t xml:space="preserve">.  </w:t>
      </w:r>
      <w:proofErr w:type="gramStart"/>
      <w:r w:rsidR="00F02DBA" w:rsidRPr="00D14E02">
        <w:rPr>
          <w:i/>
          <w:spacing w:val="-3"/>
          <w:szCs w:val="26"/>
        </w:rPr>
        <w:t>Pickford</w:t>
      </w:r>
      <w:r w:rsidR="00F02DBA">
        <w:rPr>
          <w:i/>
          <w:spacing w:val="-3"/>
          <w:szCs w:val="26"/>
        </w:rPr>
        <w:t>, et al.</w:t>
      </w:r>
      <w:r w:rsidR="00F02DBA" w:rsidRPr="00D14E02">
        <w:rPr>
          <w:i/>
          <w:spacing w:val="-3"/>
          <w:szCs w:val="26"/>
        </w:rPr>
        <w:t xml:space="preserve"> v Pa. PUC</w:t>
      </w:r>
      <w:r w:rsidR="00F02DBA">
        <w:rPr>
          <w:spacing w:val="-3"/>
          <w:szCs w:val="26"/>
        </w:rPr>
        <w:t>, 4 A.3d 707 (Pa. Cmwlth. 2010).</w:t>
      </w:r>
      <w:proofErr w:type="gramEnd"/>
      <w:r w:rsidR="00C82A6F">
        <w:rPr>
          <w:spacing w:val="-3"/>
          <w:szCs w:val="26"/>
        </w:rPr>
        <w:t xml:space="preserve"> </w:t>
      </w:r>
      <w:r w:rsidR="00F02DBA">
        <w:rPr>
          <w:spacing w:val="-3"/>
          <w:szCs w:val="26"/>
        </w:rPr>
        <w:t xml:space="preserve"> </w:t>
      </w:r>
      <w:r w:rsidR="00C82A6F">
        <w:rPr>
          <w:spacing w:val="-3"/>
          <w:szCs w:val="26"/>
        </w:rPr>
        <w:t>It is axiomatic</w:t>
      </w:r>
      <w:r w:rsidR="00AF54FC">
        <w:rPr>
          <w:spacing w:val="-3"/>
          <w:szCs w:val="26"/>
        </w:rPr>
        <w:t xml:space="preserve"> th</w:t>
      </w:r>
      <w:r w:rsidR="00C82A6F">
        <w:rPr>
          <w:spacing w:val="-3"/>
          <w:szCs w:val="26"/>
        </w:rPr>
        <w:t xml:space="preserve">at </w:t>
      </w:r>
      <w:r w:rsidR="00AF54FC">
        <w:rPr>
          <w:spacing w:val="-3"/>
          <w:szCs w:val="26"/>
        </w:rPr>
        <w:t xml:space="preserve">jurisdiction </w:t>
      </w:r>
      <w:r w:rsidR="00C82A6F">
        <w:rPr>
          <w:spacing w:val="-3"/>
          <w:szCs w:val="26"/>
        </w:rPr>
        <w:t>cannot be conferred by the parties where none exists</w:t>
      </w:r>
      <w:r w:rsidR="00AF54FC">
        <w:rPr>
          <w:spacing w:val="-3"/>
          <w:szCs w:val="26"/>
        </w:rPr>
        <w:t xml:space="preserve">.  </w:t>
      </w:r>
      <w:proofErr w:type="gramStart"/>
      <w:r w:rsidR="00AF54FC" w:rsidRPr="00AF54FC">
        <w:rPr>
          <w:i/>
          <w:spacing w:val="-3"/>
          <w:szCs w:val="26"/>
        </w:rPr>
        <w:t xml:space="preserve">Roberts v. </w:t>
      </w:r>
      <w:proofErr w:type="spellStart"/>
      <w:r w:rsidR="00AF54FC" w:rsidRPr="00AF54FC">
        <w:rPr>
          <w:i/>
          <w:spacing w:val="-3"/>
          <w:szCs w:val="26"/>
        </w:rPr>
        <w:t>Ma</w:t>
      </w:r>
      <w:r w:rsidR="00BE2F87">
        <w:rPr>
          <w:i/>
          <w:spacing w:val="-3"/>
          <w:szCs w:val="26"/>
        </w:rPr>
        <w:t>rto</w:t>
      </w:r>
      <w:r w:rsidR="00AF54FC" w:rsidRPr="00AF54FC">
        <w:rPr>
          <w:i/>
          <w:spacing w:val="-3"/>
          <w:szCs w:val="26"/>
        </w:rPr>
        <w:t>rano</w:t>
      </w:r>
      <w:proofErr w:type="spellEnd"/>
      <w:r w:rsidR="00755701">
        <w:rPr>
          <w:spacing w:val="-3"/>
          <w:szCs w:val="26"/>
        </w:rPr>
        <w:t>, 427 Pa. 581, 235 A.</w:t>
      </w:r>
      <w:r w:rsidR="00AF54FC">
        <w:rPr>
          <w:spacing w:val="-3"/>
          <w:szCs w:val="26"/>
        </w:rPr>
        <w:t>2d</w:t>
      </w:r>
      <w:r w:rsidR="00C82A6F">
        <w:rPr>
          <w:spacing w:val="-3"/>
          <w:szCs w:val="26"/>
        </w:rPr>
        <w:t xml:space="preserve"> 602 (1967); </w:t>
      </w:r>
      <w:r w:rsidR="00C82A6F" w:rsidRPr="00C82A6F">
        <w:rPr>
          <w:i/>
          <w:spacing w:val="-3"/>
          <w:szCs w:val="26"/>
        </w:rPr>
        <w:t>Hughes v. Pa. State Police</w:t>
      </w:r>
      <w:r w:rsidR="00C82A6F">
        <w:rPr>
          <w:spacing w:val="-3"/>
          <w:szCs w:val="26"/>
        </w:rPr>
        <w:t>, 619 A.2d 390 (Pa. Cmwlth. 1992).</w:t>
      </w:r>
      <w:proofErr w:type="gramEnd"/>
      <w:r w:rsidR="00C82A6F">
        <w:rPr>
          <w:spacing w:val="-3"/>
          <w:szCs w:val="26"/>
        </w:rPr>
        <w:t xml:space="preserve">   </w:t>
      </w:r>
    </w:p>
    <w:p w:rsidR="0060748E" w:rsidRDefault="0060748E" w:rsidP="00BE11B2">
      <w:pPr>
        <w:tabs>
          <w:tab w:val="left" w:pos="-1440"/>
          <w:tab w:val="left" w:pos="-720"/>
        </w:tabs>
        <w:suppressAutoHyphens/>
        <w:spacing w:line="360" w:lineRule="auto"/>
        <w:ind w:firstLine="1440"/>
        <w:rPr>
          <w:spacing w:val="-3"/>
          <w:szCs w:val="26"/>
        </w:rPr>
      </w:pPr>
    </w:p>
    <w:p w:rsidR="0081348B" w:rsidRDefault="00A9373C" w:rsidP="00E521D9">
      <w:pPr>
        <w:tabs>
          <w:tab w:val="left" w:pos="-1440"/>
          <w:tab w:val="left" w:pos="-720"/>
        </w:tabs>
        <w:suppressAutoHyphens/>
        <w:spacing w:line="360" w:lineRule="auto"/>
        <w:ind w:firstLine="1440"/>
        <w:rPr>
          <w:spacing w:val="-3"/>
          <w:szCs w:val="26"/>
        </w:rPr>
      </w:pPr>
      <w:r>
        <w:rPr>
          <w:spacing w:val="-3"/>
          <w:szCs w:val="26"/>
        </w:rPr>
        <w:t>In contrast</w:t>
      </w:r>
      <w:r w:rsidR="00755701">
        <w:rPr>
          <w:spacing w:val="-3"/>
          <w:szCs w:val="26"/>
        </w:rPr>
        <w:t>, we c</w:t>
      </w:r>
      <w:r w:rsidR="00BE2F87">
        <w:rPr>
          <w:spacing w:val="-3"/>
          <w:szCs w:val="26"/>
        </w:rPr>
        <w:t xml:space="preserve">ould have subject matter jurisdiction </w:t>
      </w:r>
      <w:r w:rsidR="0060748E">
        <w:rPr>
          <w:spacing w:val="-3"/>
          <w:szCs w:val="26"/>
        </w:rPr>
        <w:t>over a c</w:t>
      </w:r>
      <w:r w:rsidR="00BE2F87">
        <w:rPr>
          <w:spacing w:val="-3"/>
          <w:szCs w:val="26"/>
        </w:rPr>
        <w:t>omplai</w:t>
      </w:r>
      <w:r w:rsidR="00F02DBA">
        <w:rPr>
          <w:spacing w:val="-3"/>
          <w:szCs w:val="26"/>
        </w:rPr>
        <w:t>nt about information posted on V</w:t>
      </w:r>
      <w:r w:rsidR="00755701">
        <w:rPr>
          <w:spacing w:val="-3"/>
          <w:szCs w:val="26"/>
        </w:rPr>
        <w:t>erizon.com</w:t>
      </w:r>
      <w:r w:rsidR="00BE2F87">
        <w:rPr>
          <w:spacing w:val="-3"/>
          <w:szCs w:val="26"/>
        </w:rPr>
        <w:t xml:space="preserve"> pertaining to rates or service under our jurisdiction.  </w:t>
      </w:r>
      <w:r>
        <w:rPr>
          <w:spacing w:val="-3"/>
          <w:szCs w:val="26"/>
        </w:rPr>
        <w:t>D</w:t>
      </w:r>
      <w:r w:rsidR="0060748E">
        <w:rPr>
          <w:spacing w:val="-3"/>
          <w:szCs w:val="26"/>
        </w:rPr>
        <w:t xml:space="preserve">rawing an implication from the ALJ’s </w:t>
      </w:r>
      <w:r w:rsidR="009243BF">
        <w:rPr>
          <w:spacing w:val="-3"/>
          <w:szCs w:val="26"/>
        </w:rPr>
        <w:t>Initial Decision</w:t>
      </w:r>
      <w:r w:rsidR="0060748E">
        <w:rPr>
          <w:spacing w:val="-3"/>
          <w:szCs w:val="26"/>
        </w:rPr>
        <w:t xml:space="preserve"> </w:t>
      </w:r>
      <w:r w:rsidR="00BE2F87">
        <w:rPr>
          <w:spacing w:val="-3"/>
          <w:szCs w:val="26"/>
        </w:rPr>
        <w:t xml:space="preserve">that the Commission does not have jurisdiction over </w:t>
      </w:r>
      <w:r w:rsidR="0060748E" w:rsidRPr="0060748E">
        <w:rPr>
          <w:i/>
          <w:spacing w:val="-3"/>
          <w:szCs w:val="26"/>
        </w:rPr>
        <w:t>any</w:t>
      </w:r>
      <w:r w:rsidR="0060748E">
        <w:rPr>
          <w:spacing w:val="-3"/>
          <w:szCs w:val="26"/>
        </w:rPr>
        <w:t xml:space="preserve"> </w:t>
      </w:r>
      <w:r w:rsidR="00BE2F87">
        <w:rPr>
          <w:spacing w:val="-3"/>
          <w:szCs w:val="26"/>
        </w:rPr>
        <w:t>informati</w:t>
      </w:r>
      <w:r w:rsidR="00F02DBA">
        <w:rPr>
          <w:spacing w:val="-3"/>
          <w:szCs w:val="26"/>
        </w:rPr>
        <w:t>on provided on V</w:t>
      </w:r>
      <w:r w:rsidR="00755701">
        <w:rPr>
          <w:spacing w:val="-3"/>
          <w:szCs w:val="26"/>
        </w:rPr>
        <w:t xml:space="preserve">erizon.com </w:t>
      </w:r>
      <w:r w:rsidR="0060748E">
        <w:rPr>
          <w:spacing w:val="-3"/>
          <w:szCs w:val="26"/>
        </w:rPr>
        <w:t>would be</w:t>
      </w:r>
      <w:r w:rsidR="00BE2F87">
        <w:rPr>
          <w:spacing w:val="-3"/>
          <w:szCs w:val="26"/>
        </w:rPr>
        <w:t xml:space="preserve"> </w:t>
      </w:r>
      <w:r w:rsidR="0060748E">
        <w:rPr>
          <w:spacing w:val="-3"/>
          <w:szCs w:val="26"/>
        </w:rPr>
        <w:t xml:space="preserve">too broad.  </w:t>
      </w:r>
      <w:proofErr w:type="gramStart"/>
      <w:r w:rsidR="0060748E">
        <w:rPr>
          <w:spacing w:val="-3"/>
          <w:szCs w:val="26"/>
        </w:rPr>
        <w:t xml:space="preserve">The question of jurisdiction over the </w:t>
      </w:r>
      <w:r w:rsidR="00755701">
        <w:rPr>
          <w:spacing w:val="-3"/>
          <w:szCs w:val="26"/>
        </w:rPr>
        <w:t xml:space="preserve">relevant </w:t>
      </w:r>
      <w:r w:rsidR="0060748E">
        <w:rPr>
          <w:spacing w:val="-3"/>
          <w:szCs w:val="26"/>
        </w:rPr>
        <w:t xml:space="preserve">website </w:t>
      </w:r>
      <w:r w:rsidR="00755701">
        <w:rPr>
          <w:spacing w:val="-3"/>
          <w:szCs w:val="26"/>
        </w:rPr>
        <w:t xml:space="preserve">content </w:t>
      </w:r>
      <w:r w:rsidR="0060748E">
        <w:rPr>
          <w:spacing w:val="-3"/>
          <w:szCs w:val="26"/>
        </w:rPr>
        <w:t xml:space="preserve">turns on </w:t>
      </w:r>
      <w:r w:rsidR="00BE2F87">
        <w:rPr>
          <w:spacing w:val="-3"/>
          <w:szCs w:val="26"/>
        </w:rPr>
        <w:t xml:space="preserve">whether or not </w:t>
      </w:r>
      <w:r w:rsidR="0060748E">
        <w:rPr>
          <w:spacing w:val="-3"/>
          <w:szCs w:val="26"/>
        </w:rPr>
        <w:t xml:space="preserve">we have jurisdiction over </w:t>
      </w:r>
      <w:r w:rsidR="00BE2F87">
        <w:rPr>
          <w:spacing w:val="-3"/>
          <w:szCs w:val="26"/>
        </w:rPr>
        <w:t xml:space="preserve">the </w:t>
      </w:r>
      <w:r w:rsidR="0060748E">
        <w:rPr>
          <w:spacing w:val="-3"/>
          <w:szCs w:val="26"/>
        </w:rPr>
        <w:t xml:space="preserve">underlying </w:t>
      </w:r>
      <w:r w:rsidR="00BE2F87">
        <w:rPr>
          <w:spacing w:val="-3"/>
          <w:szCs w:val="26"/>
        </w:rPr>
        <w:t>rates or service</w:t>
      </w:r>
      <w:r w:rsidR="00755701">
        <w:rPr>
          <w:spacing w:val="-3"/>
          <w:szCs w:val="26"/>
        </w:rPr>
        <w:t xml:space="preserve"> to which the website content</w:t>
      </w:r>
      <w:r w:rsidR="0060748E">
        <w:rPr>
          <w:spacing w:val="-3"/>
          <w:szCs w:val="26"/>
        </w:rPr>
        <w:t xml:space="preserve"> pertains.</w:t>
      </w:r>
      <w:proofErr w:type="gramEnd"/>
      <w:r w:rsidR="00BE2F87">
        <w:rPr>
          <w:spacing w:val="-3"/>
          <w:szCs w:val="26"/>
        </w:rPr>
        <w:t xml:space="preserve"> </w:t>
      </w:r>
    </w:p>
    <w:p w:rsidR="0081348B" w:rsidRDefault="0081348B" w:rsidP="00E521D9">
      <w:pPr>
        <w:tabs>
          <w:tab w:val="left" w:pos="-1440"/>
          <w:tab w:val="left" w:pos="-720"/>
        </w:tabs>
        <w:suppressAutoHyphens/>
        <w:spacing w:line="360" w:lineRule="auto"/>
        <w:ind w:firstLine="1440"/>
        <w:rPr>
          <w:spacing w:val="-3"/>
          <w:szCs w:val="26"/>
        </w:rPr>
      </w:pPr>
    </w:p>
    <w:p w:rsidR="0081348B" w:rsidRDefault="0081348B" w:rsidP="0081348B">
      <w:pPr>
        <w:tabs>
          <w:tab w:val="left" w:pos="-1440"/>
          <w:tab w:val="left" w:pos="-720"/>
        </w:tabs>
        <w:suppressAutoHyphens/>
        <w:spacing w:line="360" w:lineRule="auto"/>
        <w:ind w:firstLine="1440"/>
        <w:rPr>
          <w:szCs w:val="26"/>
        </w:rPr>
      </w:pPr>
      <w:r>
        <w:rPr>
          <w:szCs w:val="26"/>
        </w:rPr>
        <w:t xml:space="preserve">As indicated in our August 3, 2010 Order in </w:t>
      </w:r>
      <w:r w:rsidRPr="0081348B">
        <w:rPr>
          <w:i/>
          <w:szCs w:val="26"/>
        </w:rPr>
        <w:t>Rudnick 1</w:t>
      </w:r>
      <w:r>
        <w:rPr>
          <w:szCs w:val="26"/>
        </w:rPr>
        <w:t>, we encouraged all telephone companies in Pennsylvania to strive to use the most modern means of available technology to inform consumers of the various available calling plans, including the associated rates for local, intrastate, interstate and international calls.  The Commission further e</w:t>
      </w:r>
      <w:r w:rsidR="00B81D72">
        <w:rPr>
          <w:szCs w:val="26"/>
        </w:rPr>
        <w:t>ncourages all telecommunication</w:t>
      </w:r>
      <w:r>
        <w:rPr>
          <w:szCs w:val="26"/>
        </w:rPr>
        <w:t xml:space="preserve"> providers to strive for accuracy and clarity in disclosing calling and rate plans to consumers communicated through the companies’ websites.</w:t>
      </w:r>
    </w:p>
    <w:p w:rsidR="00046894" w:rsidRDefault="00046894" w:rsidP="0081348B">
      <w:pPr>
        <w:tabs>
          <w:tab w:val="left" w:pos="-1440"/>
          <w:tab w:val="left" w:pos="-720"/>
        </w:tabs>
        <w:suppressAutoHyphens/>
        <w:spacing w:line="360" w:lineRule="auto"/>
        <w:ind w:firstLine="1440"/>
        <w:rPr>
          <w:szCs w:val="26"/>
        </w:rPr>
      </w:pPr>
    </w:p>
    <w:p w:rsidR="00046894" w:rsidRDefault="00474E00" w:rsidP="0081348B">
      <w:pPr>
        <w:tabs>
          <w:tab w:val="left" w:pos="-1440"/>
          <w:tab w:val="left" w:pos="-720"/>
        </w:tabs>
        <w:suppressAutoHyphens/>
        <w:spacing w:line="360" w:lineRule="auto"/>
        <w:ind w:firstLine="1440"/>
        <w:rPr>
          <w:spacing w:val="-3"/>
          <w:szCs w:val="26"/>
        </w:rPr>
      </w:pPr>
      <w:r>
        <w:rPr>
          <w:szCs w:val="26"/>
        </w:rPr>
        <w:t>Finally, we note</w:t>
      </w:r>
      <w:r w:rsidR="00046894">
        <w:rPr>
          <w:szCs w:val="26"/>
        </w:rPr>
        <w:t xml:space="preserve"> that the instant Complaint does not appear to implicate a reliability, safety or strictly engineering quality of service issue with the Complainant’s quality of </w:t>
      </w:r>
      <w:proofErr w:type="spellStart"/>
      <w:r w:rsidR="00046894">
        <w:rPr>
          <w:szCs w:val="26"/>
        </w:rPr>
        <w:t>FiOS</w:t>
      </w:r>
      <w:proofErr w:type="spellEnd"/>
      <w:r w:rsidR="00046894">
        <w:rPr>
          <w:szCs w:val="26"/>
        </w:rPr>
        <w:t xml:space="preserve"> (</w:t>
      </w:r>
      <w:r w:rsidR="008D75D6">
        <w:rPr>
          <w:szCs w:val="26"/>
        </w:rPr>
        <w:t>retail fiber-to-the-home or FTTH</w:t>
      </w:r>
      <w:r w:rsidR="00046894">
        <w:rPr>
          <w:szCs w:val="26"/>
        </w:rPr>
        <w:t xml:space="preserve">) service that is provided by Verizon </w:t>
      </w:r>
      <w:r w:rsidR="00046894">
        <w:rPr>
          <w:szCs w:val="26"/>
        </w:rPr>
        <w:lastRenderedPageBreak/>
        <w:t>PA.</w:t>
      </w:r>
      <w:r w:rsidR="00467C11">
        <w:rPr>
          <w:rStyle w:val="FootnoteReference"/>
          <w:szCs w:val="26"/>
        </w:rPr>
        <w:footnoteReference w:id="1"/>
      </w:r>
      <w:r w:rsidR="00046894">
        <w:rPr>
          <w:szCs w:val="26"/>
        </w:rPr>
        <w:t xml:space="preserve">  Because Verizon PA admits that it is the provider of the </w:t>
      </w:r>
      <w:proofErr w:type="spellStart"/>
      <w:r w:rsidR="00046894">
        <w:rPr>
          <w:szCs w:val="26"/>
        </w:rPr>
        <w:t>FiOS</w:t>
      </w:r>
      <w:proofErr w:type="spellEnd"/>
      <w:r w:rsidR="00046894">
        <w:rPr>
          <w:szCs w:val="26"/>
        </w:rPr>
        <w:t xml:space="preserve"> service to the Complainant, the on-line affiliate of</w:t>
      </w:r>
      <w:r w:rsidR="00467C11">
        <w:rPr>
          <w:szCs w:val="26"/>
        </w:rPr>
        <w:t xml:space="preserve"> Verizon PA – Verizon On-Line – does not appear to be involved or otherwise implicated in this proceeding.</w:t>
      </w:r>
      <w:r w:rsidR="00467C11">
        <w:rPr>
          <w:rStyle w:val="FootnoteReference"/>
          <w:szCs w:val="26"/>
        </w:rPr>
        <w:footnoteReference w:id="2"/>
      </w:r>
    </w:p>
    <w:p w:rsidR="0081348B" w:rsidRDefault="0081348B" w:rsidP="0081348B">
      <w:pPr>
        <w:tabs>
          <w:tab w:val="left" w:pos="-1440"/>
          <w:tab w:val="left" w:pos="-720"/>
        </w:tabs>
        <w:suppressAutoHyphens/>
        <w:spacing w:line="360" w:lineRule="auto"/>
        <w:jc w:val="center"/>
        <w:rPr>
          <w:b/>
          <w:spacing w:val="-3"/>
          <w:szCs w:val="26"/>
        </w:rPr>
      </w:pPr>
    </w:p>
    <w:p w:rsidR="0081348B" w:rsidRPr="0081348B" w:rsidRDefault="0081348B" w:rsidP="0081348B">
      <w:pPr>
        <w:tabs>
          <w:tab w:val="left" w:pos="-1440"/>
          <w:tab w:val="left" w:pos="-720"/>
        </w:tabs>
        <w:suppressAutoHyphens/>
        <w:spacing w:line="360" w:lineRule="auto"/>
        <w:jc w:val="center"/>
        <w:rPr>
          <w:b/>
          <w:spacing w:val="-3"/>
          <w:szCs w:val="26"/>
        </w:rPr>
      </w:pPr>
      <w:r w:rsidRPr="0081348B">
        <w:rPr>
          <w:b/>
          <w:spacing w:val="-3"/>
          <w:szCs w:val="26"/>
        </w:rPr>
        <w:t>Conclusion</w:t>
      </w:r>
    </w:p>
    <w:p w:rsidR="00BE2F87" w:rsidRDefault="00BE2F87" w:rsidP="00BE2F87">
      <w:pPr>
        <w:tabs>
          <w:tab w:val="left" w:pos="-1440"/>
          <w:tab w:val="left" w:pos="-720"/>
        </w:tabs>
        <w:suppressAutoHyphens/>
        <w:spacing w:line="360" w:lineRule="auto"/>
        <w:rPr>
          <w:spacing w:val="-3"/>
          <w:szCs w:val="26"/>
        </w:rPr>
      </w:pPr>
    </w:p>
    <w:p w:rsidR="00966A49" w:rsidRPr="00E521D9" w:rsidRDefault="00BE2F87" w:rsidP="00E521D9">
      <w:pPr>
        <w:tabs>
          <w:tab w:val="left" w:pos="-1440"/>
          <w:tab w:val="left" w:pos="-720"/>
        </w:tabs>
        <w:suppressAutoHyphens/>
        <w:spacing w:line="360" w:lineRule="auto"/>
        <w:rPr>
          <w:spacing w:val="-3"/>
          <w:szCs w:val="26"/>
        </w:rPr>
      </w:pPr>
      <w:r>
        <w:rPr>
          <w:spacing w:val="-3"/>
          <w:szCs w:val="26"/>
        </w:rPr>
        <w:tab/>
        <w:t xml:space="preserve"> </w:t>
      </w:r>
      <w:r>
        <w:rPr>
          <w:spacing w:val="-3"/>
          <w:szCs w:val="26"/>
        </w:rPr>
        <w:tab/>
      </w:r>
      <w:r w:rsidR="0081348B">
        <w:rPr>
          <w:spacing w:val="-3"/>
          <w:szCs w:val="26"/>
        </w:rPr>
        <w:t xml:space="preserve">Based upon the foregoing discussion, and with the clarification noted above, we shall </w:t>
      </w:r>
      <w:r w:rsidR="009243BF">
        <w:rPr>
          <w:spacing w:val="-3"/>
          <w:szCs w:val="26"/>
        </w:rPr>
        <w:t xml:space="preserve">modify the Initial Decision, </w:t>
      </w:r>
      <w:r w:rsidR="0081348B">
        <w:rPr>
          <w:spacing w:val="-3"/>
          <w:szCs w:val="26"/>
        </w:rPr>
        <w:t xml:space="preserve">grant </w:t>
      </w:r>
      <w:r>
        <w:rPr>
          <w:spacing w:val="-3"/>
          <w:szCs w:val="26"/>
        </w:rPr>
        <w:t>Verizon PA</w:t>
      </w:r>
      <w:r w:rsidR="00966A49" w:rsidRPr="00224E09">
        <w:rPr>
          <w:szCs w:val="26"/>
        </w:rPr>
        <w:t>'s Preliminary Objection challenging the Commission's subject matter jurisdiction</w:t>
      </w:r>
      <w:r w:rsidR="009243BF">
        <w:rPr>
          <w:szCs w:val="26"/>
        </w:rPr>
        <w:t>, and dismiss the Complaint</w:t>
      </w:r>
      <w:r w:rsidR="00E521D9">
        <w:rPr>
          <w:szCs w:val="26"/>
        </w:rPr>
        <w:t xml:space="preserve">; </w:t>
      </w:r>
      <w:r w:rsidR="00966A49" w:rsidRPr="00E521D9">
        <w:rPr>
          <w:b/>
          <w:szCs w:val="26"/>
        </w:rPr>
        <w:t>THEREFORE,</w:t>
      </w:r>
    </w:p>
    <w:p w:rsidR="00966A49" w:rsidRPr="00224E09" w:rsidRDefault="00966A49" w:rsidP="00CA735A">
      <w:pPr>
        <w:spacing w:line="360" w:lineRule="auto"/>
        <w:ind w:firstLine="1440"/>
        <w:rPr>
          <w:szCs w:val="26"/>
        </w:rPr>
      </w:pPr>
    </w:p>
    <w:p w:rsidR="00966A49" w:rsidRPr="00E521D9" w:rsidRDefault="00966A49" w:rsidP="00CA735A">
      <w:pPr>
        <w:spacing w:line="360" w:lineRule="auto"/>
        <w:ind w:firstLine="1440"/>
        <w:rPr>
          <w:b/>
          <w:szCs w:val="26"/>
        </w:rPr>
      </w:pPr>
      <w:r w:rsidRPr="00E521D9">
        <w:rPr>
          <w:b/>
          <w:szCs w:val="26"/>
        </w:rPr>
        <w:t xml:space="preserve">IT IS ORDERED: </w:t>
      </w:r>
    </w:p>
    <w:p w:rsidR="00966A49" w:rsidRPr="00224E09" w:rsidRDefault="00966A49" w:rsidP="00CA735A">
      <w:pPr>
        <w:spacing w:line="360" w:lineRule="auto"/>
        <w:ind w:firstLine="1440"/>
        <w:rPr>
          <w:szCs w:val="26"/>
        </w:rPr>
      </w:pPr>
    </w:p>
    <w:p w:rsidR="001A5647" w:rsidRDefault="00966A49" w:rsidP="00CA735A">
      <w:pPr>
        <w:spacing w:line="360" w:lineRule="auto"/>
        <w:ind w:firstLine="1440"/>
        <w:rPr>
          <w:spacing w:val="-3"/>
          <w:szCs w:val="26"/>
        </w:rPr>
      </w:pPr>
      <w:r w:rsidRPr="00224E09">
        <w:rPr>
          <w:szCs w:val="26"/>
        </w:rPr>
        <w:t>1.</w:t>
      </w:r>
      <w:r w:rsidRPr="00224E09">
        <w:rPr>
          <w:szCs w:val="26"/>
        </w:rPr>
        <w:tab/>
      </w:r>
      <w:r w:rsidR="001A5647">
        <w:rPr>
          <w:szCs w:val="26"/>
        </w:rPr>
        <w:t>That the Initial Decision of Administrative Law Judge Dennis</w:t>
      </w:r>
      <w:r w:rsidR="001A5647" w:rsidRPr="001A5647">
        <w:rPr>
          <w:spacing w:val="-3"/>
          <w:szCs w:val="26"/>
        </w:rPr>
        <w:t xml:space="preserve"> </w:t>
      </w:r>
      <w:r w:rsidR="001A5647">
        <w:rPr>
          <w:spacing w:val="-3"/>
          <w:szCs w:val="26"/>
        </w:rPr>
        <w:t>J. Buckley issued on August 2, 2011, is adopted, as modified by this Opinion and Order.</w:t>
      </w:r>
    </w:p>
    <w:p w:rsidR="001A5647" w:rsidRDefault="001A5647" w:rsidP="00CA735A">
      <w:pPr>
        <w:spacing w:line="360" w:lineRule="auto"/>
        <w:ind w:firstLine="1440"/>
        <w:rPr>
          <w:szCs w:val="26"/>
        </w:rPr>
      </w:pPr>
    </w:p>
    <w:p w:rsidR="009243BF" w:rsidRDefault="001A5647" w:rsidP="00B81D72">
      <w:pPr>
        <w:spacing w:line="360" w:lineRule="auto"/>
        <w:ind w:firstLine="1440"/>
        <w:rPr>
          <w:szCs w:val="26"/>
        </w:rPr>
      </w:pPr>
      <w:r>
        <w:rPr>
          <w:szCs w:val="26"/>
        </w:rPr>
        <w:t>2.</w:t>
      </w:r>
      <w:r>
        <w:rPr>
          <w:szCs w:val="26"/>
        </w:rPr>
        <w:tab/>
      </w:r>
      <w:r w:rsidR="00676DA1">
        <w:rPr>
          <w:szCs w:val="26"/>
        </w:rPr>
        <w:t>That Verizon Pennsylvania</w:t>
      </w:r>
      <w:r w:rsidR="00966A49" w:rsidRPr="00224E09">
        <w:rPr>
          <w:szCs w:val="26"/>
        </w:rPr>
        <w:t xml:space="preserve"> Inc.’s Preliminary Objection seeking dismissal of the Complaint filed by Brian M. Rudnick </w:t>
      </w:r>
      <w:r w:rsidRPr="00224E09">
        <w:rPr>
          <w:szCs w:val="26"/>
        </w:rPr>
        <w:t xml:space="preserve">for lack of </w:t>
      </w:r>
      <w:r>
        <w:rPr>
          <w:szCs w:val="26"/>
        </w:rPr>
        <w:t xml:space="preserve">subject matter </w:t>
      </w:r>
      <w:r w:rsidRPr="00224E09">
        <w:rPr>
          <w:szCs w:val="26"/>
        </w:rPr>
        <w:t>jurisdiction</w:t>
      </w:r>
      <w:r>
        <w:rPr>
          <w:szCs w:val="26"/>
        </w:rPr>
        <w:t xml:space="preserve"> is </w:t>
      </w:r>
      <w:r w:rsidR="002637B1">
        <w:rPr>
          <w:szCs w:val="26"/>
        </w:rPr>
        <w:t>granted</w:t>
      </w:r>
      <w:r w:rsidR="009243BF">
        <w:rPr>
          <w:szCs w:val="26"/>
        </w:rPr>
        <w:t>.</w:t>
      </w:r>
      <w:r w:rsidR="00F02DBA">
        <w:rPr>
          <w:szCs w:val="26"/>
        </w:rPr>
        <w:t xml:space="preserve"> </w:t>
      </w:r>
    </w:p>
    <w:p w:rsidR="009243BF" w:rsidRDefault="009243BF" w:rsidP="00B81D72">
      <w:pPr>
        <w:spacing w:line="360" w:lineRule="auto"/>
        <w:ind w:firstLine="1440"/>
        <w:rPr>
          <w:szCs w:val="26"/>
        </w:rPr>
      </w:pPr>
    </w:p>
    <w:p w:rsidR="00B81D72" w:rsidRDefault="009243BF" w:rsidP="00B81D72">
      <w:pPr>
        <w:spacing w:line="360" w:lineRule="auto"/>
        <w:ind w:firstLine="1440"/>
        <w:rPr>
          <w:szCs w:val="26"/>
        </w:rPr>
      </w:pPr>
      <w:r>
        <w:rPr>
          <w:szCs w:val="26"/>
        </w:rPr>
        <w:t xml:space="preserve">3.  </w:t>
      </w:r>
      <w:r w:rsidR="001C71FC">
        <w:rPr>
          <w:szCs w:val="26"/>
        </w:rPr>
        <w:tab/>
      </w:r>
      <w:r>
        <w:rPr>
          <w:szCs w:val="26"/>
        </w:rPr>
        <w:t xml:space="preserve">That </w:t>
      </w:r>
      <w:r w:rsidR="002637B1">
        <w:rPr>
          <w:szCs w:val="26"/>
        </w:rPr>
        <w:t xml:space="preserve">the Complaint </w:t>
      </w:r>
      <w:r>
        <w:rPr>
          <w:szCs w:val="26"/>
        </w:rPr>
        <w:t xml:space="preserve">filed by Brian M. Rudnick against Verizon Pennsylvania Inc. on April 18, 2011, </w:t>
      </w:r>
      <w:r w:rsidR="00966A49" w:rsidRPr="001A5647">
        <w:rPr>
          <w:szCs w:val="26"/>
        </w:rPr>
        <w:t>is d</w:t>
      </w:r>
      <w:r w:rsidR="00A7682C" w:rsidRPr="001A5647">
        <w:rPr>
          <w:szCs w:val="26"/>
        </w:rPr>
        <w:t>ismissed</w:t>
      </w:r>
      <w:r w:rsidR="00966A49" w:rsidRPr="001A5647">
        <w:rPr>
          <w:szCs w:val="26"/>
        </w:rPr>
        <w:t>.</w:t>
      </w:r>
    </w:p>
    <w:p w:rsidR="009243BF" w:rsidRDefault="009243BF" w:rsidP="00B81D72">
      <w:pPr>
        <w:spacing w:line="360" w:lineRule="auto"/>
        <w:ind w:firstLine="1440"/>
        <w:rPr>
          <w:szCs w:val="26"/>
        </w:rPr>
      </w:pPr>
    </w:p>
    <w:p w:rsidR="00966A49" w:rsidRDefault="009243BF" w:rsidP="002137C8">
      <w:pPr>
        <w:spacing w:line="360" w:lineRule="auto"/>
        <w:ind w:left="720" w:firstLine="720"/>
        <w:rPr>
          <w:szCs w:val="26"/>
        </w:rPr>
      </w:pPr>
      <w:r>
        <w:rPr>
          <w:szCs w:val="26"/>
        </w:rPr>
        <w:t>4</w:t>
      </w:r>
      <w:r w:rsidR="00966A49" w:rsidRPr="00224E09">
        <w:rPr>
          <w:szCs w:val="26"/>
        </w:rPr>
        <w:t>.</w:t>
      </w:r>
      <w:r w:rsidR="00966A49" w:rsidRPr="00224E09">
        <w:rPr>
          <w:szCs w:val="26"/>
        </w:rPr>
        <w:tab/>
        <w:t xml:space="preserve">That </w:t>
      </w:r>
      <w:r w:rsidR="00A7682C" w:rsidRPr="00224E09">
        <w:rPr>
          <w:szCs w:val="26"/>
        </w:rPr>
        <w:t xml:space="preserve">this </w:t>
      </w:r>
      <w:r w:rsidR="00966A49" w:rsidRPr="00224E09">
        <w:rPr>
          <w:szCs w:val="26"/>
        </w:rPr>
        <w:t xml:space="preserve">case be </w:t>
      </w:r>
      <w:r w:rsidR="00A7682C" w:rsidRPr="00224E09">
        <w:rPr>
          <w:szCs w:val="26"/>
        </w:rPr>
        <w:t>marked closed</w:t>
      </w:r>
      <w:r w:rsidR="00966A49" w:rsidRPr="00224E09">
        <w:rPr>
          <w:szCs w:val="26"/>
        </w:rPr>
        <w:t>.</w:t>
      </w:r>
    </w:p>
    <w:p w:rsidR="00B81D72" w:rsidRDefault="00B81D72" w:rsidP="002137C8">
      <w:pPr>
        <w:spacing w:line="360" w:lineRule="auto"/>
        <w:ind w:left="720" w:firstLine="720"/>
        <w:rPr>
          <w:szCs w:val="26"/>
        </w:rPr>
      </w:pPr>
    </w:p>
    <w:p w:rsidR="001A5647" w:rsidRPr="002637B1" w:rsidRDefault="00AB1DC1" w:rsidP="002137C8">
      <w:pPr>
        <w:spacing w:line="360" w:lineRule="auto"/>
        <w:ind w:left="720" w:firstLine="720"/>
        <w:rPr>
          <w:b/>
          <w:szCs w:val="26"/>
        </w:rPr>
      </w:pPr>
      <w:r>
        <w:rPr>
          <w:noProof/>
        </w:rPr>
        <w:drawing>
          <wp:anchor distT="0" distB="0" distL="114300" distR="114300" simplePos="0" relativeHeight="251659264" behindDoc="1" locked="0" layoutInCell="1" allowOverlap="1" wp14:anchorId="4C60F427" wp14:editId="3E8354E2">
            <wp:simplePos x="0" y="0"/>
            <wp:positionH relativeFrom="column">
              <wp:posOffset>2847975</wp:posOffset>
            </wp:positionH>
            <wp:positionV relativeFrom="paragraph">
              <wp:posOffset>22225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5647">
        <w:rPr>
          <w:szCs w:val="26"/>
        </w:rPr>
        <w:tab/>
      </w:r>
      <w:r w:rsidR="001A5647">
        <w:rPr>
          <w:szCs w:val="26"/>
        </w:rPr>
        <w:tab/>
      </w:r>
      <w:r w:rsidR="001A5647">
        <w:rPr>
          <w:szCs w:val="26"/>
        </w:rPr>
        <w:tab/>
      </w:r>
      <w:r w:rsidR="001A5647">
        <w:rPr>
          <w:szCs w:val="26"/>
        </w:rPr>
        <w:tab/>
      </w:r>
      <w:r w:rsidR="001A5647">
        <w:rPr>
          <w:szCs w:val="26"/>
        </w:rPr>
        <w:tab/>
      </w:r>
      <w:r w:rsidR="001A5647" w:rsidRPr="002637B1">
        <w:rPr>
          <w:b/>
          <w:szCs w:val="26"/>
        </w:rPr>
        <w:t>BY THE COMMISSION,</w:t>
      </w:r>
    </w:p>
    <w:p w:rsidR="002637B1" w:rsidRDefault="002637B1" w:rsidP="001A5647">
      <w:pPr>
        <w:spacing w:line="360" w:lineRule="auto"/>
        <w:rPr>
          <w:szCs w:val="26"/>
        </w:rPr>
      </w:pPr>
    </w:p>
    <w:p w:rsidR="00D14E02" w:rsidRDefault="00D14E02" w:rsidP="001A5647">
      <w:pPr>
        <w:spacing w:line="360" w:lineRule="auto"/>
        <w:rPr>
          <w:szCs w:val="26"/>
        </w:rPr>
      </w:pP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Rosemary Chiavetta</w:t>
      </w: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Secretary</w:t>
      </w:r>
    </w:p>
    <w:p w:rsidR="001A5647" w:rsidRDefault="001A5647" w:rsidP="001A5647">
      <w:pPr>
        <w:rPr>
          <w:szCs w:val="26"/>
        </w:rPr>
      </w:pPr>
    </w:p>
    <w:p w:rsidR="001A5647" w:rsidRDefault="001A5647" w:rsidP="001A5647">
      <w:pPr>
        <w:rPr>
          <w:szCs w:val="26"/>
        </w:rPr>
      </w:pPr>
      <w:r>
        <w:rPr>
          <w:szCs w:val="26"/>
        </w:rPr>
        <w:t>(SEAL)</w:t>
      </w:r>
    </w:p>
    <w:p w:rsidR="002637B1" w:rsidRDefault="002637B1" w:rsidP="001A5647">
      <w:pPr>
        <w:rPr>
          <w:szCs w:val="26"/>
        </w:rPr>
      </w:pPr>
    </w:p>
    <w:p w:rsidR="001A5647" w:rsidRDefault="001A5647" w:rsidP="001A5647">
      <w:pPr>
        <w:rPr>
          <w:szCs w:val="26"/>
        </w:rPr>
      </w:pPr>
      <w:r>
        <w:rPr>
          <w:szCs w:val="26"/>
        </w:rPr>
        <w:t>ORDER ADOPTED:</w:t>
      </w:r>
      <w:r>
        <w:rPr>
          <w:szCs w:val="26"/>
        </w:rPr>
        <w:tab/>
        <w:t>November 10, 2011</w:t>
      </w:r>
    </w:p>
    <w:p w:rsidR="001A5647" w:rsidRDefault="001A5647" w:rsidP="001A5647">
      <w:pPr>
        <w:rPr>
          <w:szCs w:val="26"/>
        </w:rPr>
      </w:pPr>
    </w:p>
    <w:p w:rsidR="00BC5588" w:rsidRPr="002637B1" w:rsidRDefault="001A5647" w:rsidP="002637B1">
      <w:pPr>
        <w:rPr>
          <w:szCs w:val="26"/>
        </w:rPr>
      </w:pPr>
      <w:r>
        <w:rPr>
          <w:szCs w:val="26"/>
        </w:rPr>
        <w:t>ORDER ENTERED:</w:t>
      </w:r>
      <w:r w:rsidR="00AB1DC1">
        <w:rPr>
          <w:szCs w:val="26"/>
        </w:rPr>
        <w:tab/>
        <w:t>December 1, 2011</w:t>
      </w:r>
    </w:p>
    <w:sectPr w:rsidR="00BC5588" w:rsidRPr="002637B1" w:rsidSect="002137C8">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766" w:rsidRDefault="002A2766" w:rsidP="004C6B7C">
      <w:r>
        <w:separator/>
      </w:r>
    </w:p>
  </w:endnote>
  <w:endnote w:type="continuationSeparator" w:id="0">
    <w:p w:rsidR="002A2766" w:rsidRDefault="002A2766" w:rsidP="004C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92" w:rsidRPr="002137C8" w:rsidRDefault="003E5713">
    <w:pPr>
      <w:pStyle w:val="Footer"/>
      <w:jc w:val="center"/>
      <w:rPr>
        <w:sz w:val="20"/>
      </w:rPr>
    </w:pPr>
    <w:r w:rsidRPr="002137C8">
      <w:rPr>
        <w:sz w:val="20"/>
      </w:rPr>
      <w:fldChar w:fldCharType="begin"/>
    </w:r>
    <w:r w:rsidR="00FB535D" w:rsidRPr="002137C8">
      <w:rPr>
        <w:sz w:val="20"/>
      </w:rPr>
      <w:instrText xml:space="preserve"> PAGE   \* MERGEFORMAT </w:instrText>
    </w:r>
    <w:r w:rsidRPr="002137C8">
      <w:rPr>
        <w:sz w:val="20"/>
      </w:rPr>
      <w:fldChar w:fldCharType="separate"/>
    </w:r>
    <w:r w:rsidR="00E551C2">
      <w:rPr>
        <w:noProof/>
        <w:sz w:val="20"/>
      </w:rPr>
      <w:t>9</w:t>
    </w:r>
    <w:r w:rsidRPr="002137C8">
      <w:rPr>
        <w:sz w:val="20"/>
      </w:rPr>
      <w:fldChar w:fldCharType="end"/>
    </w:r>
  </w:p>
  <w:p w:rsidR="00206892" w:rsidRDefault="00206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766" w:rsidRDefault="002A2766" w:rsidP="004C6B7C">
      <w:r>
        <w:separator/>
      </w:r>
    </w:p>
  </w:footnote>
  <w:footnote w:type="continuationSeparator" w:id="0">
    <w:p w:rsidR="002A2766" w:rsidRDefault="002A2766" w:rsidP="004C6B7C">
      <w:r>
        <w:continuationSeparator/>
      </w:r>
    </w:p>
  </w:footnote>
  <w:footnote w:id="1">
    <w:p w:rsidR="00467C11" w:rsidRPr="009610AE" w:rsidRDefault="00467C11" w:rsidP="009610AE">
      <w:pPr>
        <w:pStyle w:val="FootnoteText"/>
        <w:ind w:firstLine="720"/>
        <w:rPr>
          <w:sz w:val="26"/>
          <w:szCs w:val="26"/>
        </w:rPr>
      </w:pPr>
      <w:r w:rsidRPr="009610AE">
        <w:rPr>
          <w:rStyle w:val="FootnoteReference"/>
          <w:sz w:val="26"/>
          <w:szCs w:val="26"/>
        </w:rPr>
        <w:footnoteRef/>
      </w:r>
      <w:r w:rsidR="008D75D6" w:rsidRPr="008D75D6">
        <w:rPr>
          <w:sz w:val="26"/>
          <w:szCs w:val="26"/>
        </w:rPr>
        <w:t xml:space="preserve"> </w:t>
      </w:r>
      <w:r w:rsidR="008D75D6" w:rsidRPr="008D75D6">
        <w:rPr>
          <w:sz w:val="26"/>
          <w:szCs w:val="26"/>
        </w:rPr>
        <w:tab/>
        <w:t>Verizon PA Answer</w:t>
      </w:r>
      <w:r w:rsidR="008D75D6">
        <w:rPr>
          <w:sz w:val="26"/>
          <w:szCs w:val="26"/>
        </w:rPr>
        <w:t xml:space="preserve"> at </w:t>
      </w:r>
      <w:r w:rsidRPr="009610AE">
        <w:rPr>
          <w:sz w:val="26"/>
          <w:szCs w:val="26"/>
        </w:rPr>
        <w:t xml:space="preserve">¶ </w:t>
      </w:r>
      <w:proofErr w:type="gramStart"/>
      <w:r w:rsidRPr="009610AE">
        <w:rPr>
          <w:sz w:val="26"/>
          <w:szCs w:val="26"/>
        </w:rPr>
        <w:t>4.B(</w:t>
      </w:r>
      <w:proofErr w:type="gramEnd"/>
      <w:r w:rsidRPr="009610AE">
        <w:rPr>
          <w:sz w:val="26"/>
          <w:szCs w:val="26"/>
        </w:rPr>
        <w:t xml:space="preserve">a), Docket No. C-2011-2238995 (filed May 23, 2011) (“Verizon PA ADMITS Complainant currently receives </w:t>
      </w:r>
      <w:proofErr w:type="spellStart"/>
      <w:r w:rsidRPr="009610AE">
        <w:rPr>
          <w:sz w:val="26"/>
          <w:szCs w:val="26"/>
        </w:rPr>
        <w:t>FiOS</w:t>
      </w:r>
      <w:proofErr w:type="spellEnd"/>
      <w:r w:rsidRPr="009610AE">
        <w:rPr>
          <w:sz w:val="26"/>
          <w:szCs w:val="26"/>
        </w:rPr>
        <w:t xml:space="preserve"> service provided by the Company [Verizon PA]</w:t>
      </w:r>
      <w:r w:rsidR="00474E00">
        <w:rPr>
          <w:sz w:val="26"/>
          <w:szCs w:val="26"/>
        </w:rPr>
        <w:t>”</w:t>
      </w:r>
      <w:r w:rsidRPr="009610AE">
        <w:rPr>
          <w:sz w:val="26"/>
          <w:szCs w:val="26"/>
        </w:rPr>
        <w:t xml:space="preserve">).  We note that the Verizon PA </w:t>
      </w:r>
      <w:proofErr w:type="spellStart"/>
      <w:r w:rsidRPr="009610AE">
        <w:rPr>
          <w:sz w:val="26"/>
          <w:szCs w:val="26"/>
        </w:rPr>
        <w:t>FiOS</w:t>
      </w:r>
      <w:proofErr w:type="spellEnd"/>
      <w:r w:rsidRPr="009610AE">
        <w:rPr>
          <w:sz w:val="26"/>
          <w:szCs w:val="26"/>
        </w:rPr>
        <w:t xml:space="preserve"> fiber optic based (FTTH) service and network configuration have certain engineering differences from the Verizon PA digital subscriber line or </w:t>
      </w:r>
      <w:proofErr w:type="spellStart"/>
      <w:r w:rsidRPr="009610AE">
        <w:rPr>
          <w:sz w:val="26"/>
          <w:szCs w:val="26"/>
        </w:rPr>
        <w:t>xDSL</w:t>
      </w:r>
      <w:proofErr w:type="spellEnd"/>
      <w:r w:rsidRPr="009610AE">
        <w:rPr>
          <w:sz w:val="26"/>
          <w:szCs w:val="26"/>
        </w:rPr>
        <w:t xml:space="preserve"> services that are provided over ordinary copper access lines.  Thus, the terms </w:t>
      </w:r>
      <w:proofErr w:type="spellStart"/>
      <w:r w:rsidRPr="009610AE">
        <w:rPr>
          <w:sz w:val="26"/>
          <w:szCs w:val="26"/>
        </w:rPr>
        <w:t>FiOS</w:t>
      </w:r>
      <w:proofErr w:type="spellEnd"/>
      <w:r w:rsidRPr="009610AE">
        <w:rPr>
          <w:sz w:val="26"/>
          <w:szCs w:val="26"/>
        </w:rPr>
        <w:t xml:space="preserve"> and </w:t>
      </w:r>
      <w:proofErr w:type="spellStart"/>
      <w:r w:rsidRPr="009610AE">
        <w:rPr>
          <w:sz w:val="26"/>
          <w:szCs w:val="26"/>
        </w:rPr>
        <w:t>xDSL</w:t>
      </w:r>
      <w:proofErr w:type="spellEnd"/>
      <w:r w:rsidRPr="009610AE">
        <w:rPr>
          <w:sz w:val="26"/>
          <w:szCs w:val="26"/>
        </w:rPr>
        <w:t xml:space="preserve"> cannot be equated or used interchangeably.  </w:t>
      </w:r>
      <w:proofErr w:type="gramStart"/>
      <w:r w:rsidRPr="009610AE">
        <w:rPr>
          <w:sz w:val="26"/>
          <w:szCs w:val="26"/>
        </w:rPr>
        <w:t>I.D. at 1.</w:t>
      </w:r>
      <w:proofErr w:type="gramEnd"/>
    </w:p>
  </w:footnote>
  <w:footnote w:id="2">
    <w:p w:rsidR="00467C11" w:rsidRDefault="00467C11" w:rsidP="009610AE">
      <w:pPr>
        <w:pStyle w:val="FootnoteText"/>
        <w:ind w:firstLine="720"/>
      </w:pPr>
      <w:r w:rsidRPr="009610AE">
        <w:rPr>
          <w:rStyle w:val="FootnoteReference"/>
          <w:sz w:val="26"/>
          <w:szCs w:val="26"/>
        </w:rPr>
        <w:footnoteRef/>
      </w:r>
      <w:r w:rsidRPr="009610AE">
        <w:rPr>
          <w:sz w:val="26"/>
          <w:szCs w:val="26"/>
        </w:rPr>
        <w:t xml:space="preserve"> </w:t>
      </w:r>
      <w:r w:rsidRPr="009610AE">
        <w:rPr>
          <w:sz w:val="26"/>
          <w:szCs w:val="26"/>
        </w:rPr>
        <w:tab/>
        <w:t xml:space="preserve">I.D., Findings of Fact 4 and 5, at 3.  It should be administratively noted that Verizon On-Line is an affiliate of Verizon PA.  </w:t>
      </w:r>
      <w:r w:rsidRPr="009610AE">
        <w:rPr>
          <w:i/>
          <w:sz w:val="26"/>
          <w:szCs w:val="26"/>
        </w:rPr>
        <w:t>Affiliated Interest Agreement Verizon Services Corp., et al.</w:t>
      </w:r>
      <w:r w:rsidRPr="009610AE">
        <w:rPr>
          <w:sz w:val="26"/>
          <w:szCs w:val="26"/>
        </w:rPr>
        <w:t xml:space="preserve">, Docket No. </w:t>
      </w:r>
      <w:proofErr w:type="gramStart"/>
      <w:r w:rsidRPr="009610AE">
        <w:rPr>
          <w:sz w:val="26"/>
          <w:szCs w:val="26"/>
        </w:rPr>
        <w:t>G-00041080 (filed September 2, 2004) (Proprietary).</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556A"/>
    <w:multiLevelType w:val="hybridMultilevel"/>
    <w:tmpl w:val="558A1EF2"/>
    <w:lvl w:ilvl="0" w:tplc="2268413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0D46EF5"/>
    <w:multiLevelType w:val="hybridMultilevel"/>
    <w:tmpl w:val="C2A4A0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F959A4"/>
    <w:multiLevelType w:val="hybridMultilevel"/>
    <w:tmpl w:val="72FA51F0"/>
    <w:lvl w:ilvl="0" w:tplc="60F0745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28405A"/>
    <w:multiLevelType w:val="hybridMultilevel"/>
    <w:tmpl w:val="ABF0C0F4"/>
    <w:lvl w:ilvl="0" w:tplc="5694DB42">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8FE0BD0"/>
    <w:multiLevelType w:val="hybridMultilevel"/>
    <w:tmpl w:val="0ADE3A2C"/>
    <w:lvl w:ilvl="0" w:tplc="B55612FA">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DA45D9D"/>
    <w:multiLevelType w:val="hybridMultilevel"/>
    <w:tmpl w:val="4D227CB8"/>
    <w:lvl w:ilvl="0" w:tplc="BB74F1C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E4B2AA5"/>
    <w:multiLevelType w:val="hybridMultilevel"/>
    <w:tmpl w:val="181401CC"/>
    <w:lvl w:ilvl="0" w:tplc="01D0F38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25A5D34"/>
    <w:multiLevelType w:val="hybridMultilevel"/>
    <w:tmpl w:val="0CE6269E"/>
    <w:lvl w:ilvl="0" w:tplc="EFE6EDB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2981A95"/>
    <w:multiLevelType w:val="hybridMultilevel"/>
    <w:tmpl w:val="B52A83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1641E"/>
    <w:multiLevelType w:val="hybridMultilevel"/>
    <w:tmpl w:val="1688A324"/>
    <w:lvl w:ilvl="0" w:tplc="BA82C59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6"/>
  </w:num>
  <w:num w:numId="5">
    <w:abstractNumId w:val="9"/>
  </w:num>
  <w:num w:numId="6">
    <w:abstractNumId w:val="10"/>
  </w:num>
  <w:num w:numId="7">
    <w:abstractNumId w:val="0"/>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DE"/>
    <w:rsid w:val="00000DEA"/>
    <w:rsid w:val="0000796D"/>
    <w:rsid w:val="000115FD"/>
    <w:rsid w:val="00032309"/>
    <w:rsid w:val="00034A29"/>
    <w:rsid w:val="000424CB"/>
    <w:rsid w:val="00044F6E"/>
    <w:rsid w:val="00046894"/>
    <w:rsid w:val="00055372"/>
    <w:rsid w:val="000674BA"/>
    <w:rsid w:val="00070392"/>
    <w:rsid w:val="00071DF7"/>
    <w:rsid w:val="000723EA"/>
    <w:rsid w:val="000955D5"/>
    <w:rsid w:val="000972EE"/>
    <w:rsid w:val="00097335"/>
    <w:rsid w:val="000A29F6"/>
    <w:rsid w:val="000A5F72"/>
    <w:rsid w:val="000A7AA8"/>
    <w:rsid w:val="000B1558"/>
    <w:rsid w:val="000B48CF"/>
    <w:rsid w:val="000C1B9B"/>
    <w:rsid w:val="000D3F25"/>
    <w:rsid w:val="000D490B"/>
    <w:rsid w:val="000D6B9F"/>
    <w:rsid w:val="000E069F"/>
    <w:rsid w:val="000E4C55"/>
    <w:rsid w:val="000E58C0"/>
    <w:rsid w:val="000E629C"/>
    <w:rsid w:val="000E7180"/>
    <w:rsid w:val="000F1786"/>
    <w:rsid w:val="001270D4"/>
    <w:rsid w:val="0013283A"/>
    <w:rsid w:val="00140404"/>
    <w:rsid w:val="00151331"/>
    <w:rsid w:val="00151576"/>
    <w:rsid w:val="00153EEB"/>
    <w:rsid w:val="00160228"/>
    <w:rsid w:val="00160646"/>
    <w:rsid w:val="00166AAD"/>
    <w:rsid w:val="0017003C"/>
    <w:rsid w:val="001713F7"/>
    <w:rsid w:val="001821EA"/>
    <w:rsid w:val="001917AF"/>
    <w:rsid w:val="0019768F"/>
    <w:rsid w:val="001A16B3"/>
    <w:rsid w:val="001A5647"/>
    <w:rsid w:val="001A70A2"/>
    <w:rsid w:val="001B033E"/>
    <w:rsid w:val="001B23F2"/>
    <w:rsid w:val="001B35D1"/>
    <w:rsid w:val="001C71FC"/>
    <w:rsid w:val="001C7DDF"/>
    <w:rsid w:val="001D2B59"/>
    <w:rsid w:val="001E1C9E"/>
    <w:rsid w:val="001F05C6"/>
    <w:rsid w:val="001F4989"/>
    <w:rsid w:val="001F4B47"/>
    <w:rsid w:val="00203CEB"/>
    <w:rsid w:val="00206892"/>
    <w:rsid w:val="00207CBC"/>
    <w:rsid w:val="002137C8"/>
    <w:rsid w:val="00214FB0"/>
    <w:rsid w:val="00217DE0"/>
    <w:rsid w:val="00217FF6"/>
    <w:rsid w:val="00224B8B"/>
    <w:rsid w:val="00224E09"/>
    <w:rsid w:val="00226BB6"/>
    <w:rsid w:val="0024232A"/>
    <w:rsid w:val="00244384"/>
    <w:rsid w:val="002637B1"/>
    <w:rsid w:val="00263CED"/>
    <w:rsid w:val="00264B4D"/>
    <w:rsid w:val="002732A6"/>
    <w:rsid w:val="0029378F"/>
    <w:rsid w:val="0029427B"/>
    <w:rsid w:val="002A2766"/>
    <w:rsid w:val="002B4FED"/>
    <w:rsid w:val="002C6DCC"/>
    <w:rsid w:val="002E5D1A"/>
    <w:rsid w:val="002F0719"/>
    <w:rsid w:val="002F2DFD"/>
    <w:rsid w:val="003015A3"/>
    <w:rsid w:val="00314F46"/>
    <w:rsid w:val="00323519"/>
    <w:rsid w:val="00341614"/>
    <w:rsid w:val="0034562B"/>
    <w:rsid w:val="00365C75"/>
    <w:rsid w:val="00380809"/>
    <w:rsid w:val="0039553C"/>
    <w:rsid w:val="00395DAE"/>
    <w:rsid w:val="003B0F80"/>
    <w:rsid w:val="003C47BE"/>
    <w:rsid w:val="003C7163"/>
    <w:rsid w:val="003D0B84"/>
    <w:rsid w:val="003D618D"/>
    <w:rsid w:val="003E5713"/>
    <w:rsid w:val="00401C0F"/>
    <w:rsid w:val="0040339C"/>
    <w:rsid w:val="0040410E"/>
    <w:rsid w:val="004134CE"/>
    <w:rsid w:val="004216DA"/>
    <w:rsid w:val="0043268C"/>
    <w:rsid w:val="00441244"/>
    <w:rsid w:val="0044224E"/>
    <w:rsid w:val="00444FC3"/>
    <w:rsid w:val="0044750E"/>
    <w:rsid w:val="00450A7C"/>
    <w:rsid w:val="00452AA3"/>
    <w:rsid w:val="00460218"/>
    <w:rsid w:val="00467C11"/>
    <w:rsid w:val="00474E00"/>
    <w:rsid w:val="00490125"/>
    <w:rsid w:val="004915C6"/>
    <w:rsid w:val="00493CBF"/>
    <w:rsid w:val="004A54A3"/>
    <w:rsid w:val="004A551F"/>
    <w:rsid w:val="004B5F3A"/>
    <w:rsid w:val="004C4327"/>
    <w:rsid w:val="004C6B7C"/>
    <w:rsid w:val="004C7937"/>
    <w:rsid w:val="004D1567"/>
    <w:rsid w:val="004E5173"/>
    <w:rsid w:val="004E63F7"/>
    <w:rsid w:val="004F43C6"/>
    <w:rsid w:val="00501112"/>
    <w:rsid w:val="005315A6"/>
    <w:rsid w:val="00532B61"/>
    <w:rsid w:val="005338F0"/>
    <w:rsid w:val="00540CA8"/>
    <w:rsid w:val="00544675"/>
    <w:rsid w:val="0055581C"/>
    <w:rsid w:val="00557A61"/>
    <w:rsid w:val="00560F7E"/>
    <w:rsid w:val="00562C01"/>
    <w:rsid w:val="00571CC2"/>
    <w:rsid w:val="00573FAD"/>
    <w:rsid w:val="0057585A"/>
    <w:rsid w:val="005762A6"/>
    <w:rsid w:val="00593308"/>
    <w:rsid w:val="00593E5D"/>
    <w:rsid w:val="00596E88"/>
    <w:rsid w:val="005B2FC4"/>
    <w:rsid w:val="005B3FBF"/>
    <w:rsid w:val="005D062E"/>
    <w:rsid w:val="005D48EF"/>
    <w:rsid w:val="005D7D06"/>
    <w:rsid w:val="005E1C4F"/>
    <w:rsid w:val="005E2A84"/>
    <w:rsid w:val="005E3CA2"/>
    <w:rsid w:val="005E466D"/>
    <w:rsid w:val="005E7117"/>
    <w:rsid w:val="0060748E"/>
    <w:rsid w:val="00607CD0"/>
    <w:rsid w:val="006119B8"/>
    <w:rsid w:val="00622D3C"/>
    <w:rsid w:val="00623B5B"/>
    <w:rsid w:val="006510E2"/>
    <w:rsid w:val="00655B37"/>
    <w:rsid w:val="00662DEE"/>
    <w:rsid w:val="006715DB"/>
    <w:rsid w:val="00674B7A"/>
    <w:rsid w:val="00676DA1"/>
    <w:rsid w:val="00685036"/>
    <w:rsid w:val="00697793"/>
    <w:rsid w:val="006A0FE3"/>
    <w:rsid w:val="006A1218"/>
    <w:rsid w:val="006A51D9"/>
    <w:rsid w:val="006B127A"/>
    <w:rsid w:val="006B39D4"/>
    <w:rsid w:val="006B5077"/>
    <w:rsid w:val="006C0A81"/>
    <w:rsid w:val="006C50C3"/>
    <w:rsid w:val="006C6A5D"/>
    <w:rsid w:val="006D4BE1"/>
    <w:rsid w:val="006D59AD"/>
    <w:rsid w:val="006F26C1"/>
    <w:rsid w:val="006F60CC"/>
    <w:rsid w:val="006F671A"/>
    <w:rsid w:val="00700A4E"/>
    <w:rsid w:val="0071429E"/>
    <w:rsid w:val="007218BF"/>
    <w:rsid w:val="00723B56"/>
    <w:rsid w:val="00731760"/>
    <w:rsid w:val="007348EE"/>
    <w:rsid w:val="00755701"/>
    <w:rsid w:val="0077110D"/>
    <w:rsid w:val="007850BB"/>
    <w:rsid w:val="00793794"/>
    <w:rsid w:val="00793DA1"/>
    <w:rsid w:val="007962C2"/>
    <w:rsid w:val="007A11AC"/>
    <w:rsid w:val="007A2B94"/>
    <w:rsid w:val="007A66A2"/>
    <w:rsid w:val="007B0D99"/>
    <w:rsid w:val="007B5B1C"/>
    <w:rsid w:val="007D1AB5"/>
    <w:rsid w:val="007D6113"/>
    <w:rsid w:val="007E12B5"/>
    <w:rsid w:val="007E4762"/>
    <w:rsid w:val="00801127"/>
    <w:rsid w:val="00801401"/>
    <w:rsid w:val="0081348B"/>
    <w:rsid w:val="00837812"/>
    <w:rsid w:val="00842CB4"/>
    <w:rsid w:val="00843796"/>
    <w:rsid w:val="00846974"/>
    <w:rsid w:val="00850272"/>
    <w:rsid w:val="00857CE5"/>
    <w:rsid w:val="00873050"/>
    <w:rsid w:val="008929C3"/>
    <w:rsid w:val="008A4F08"/>
    <w:rsid w:val="008D6546"/>
    <w:rsid w:val="008D75D6"/>
    <w:rsid w:val="008F6EF3"/>
    <w:rsid w:val="00901E9D"/>
    <w:rsid w:val="0091087E"/>
    <w:rsid w:val="0091196B"/>
    <w:rsid w:val="009136BD"/>
    <w:rsid w:val="009143E1"/>
    <w:rsid w:val="009165B6"/>
    <w:rsid w:val="0092349B"/>
    <w:rsid w:val="009243BF"/>
    <w:rsid w:val="009411D5"/>
    <w:rsid w:val="00943E1E"/>
    <w:rsid w:val="00945700"/>
    <w:rsid w:val="00952065"/>
    <w:rsid w:val="009610AE"/>
    <w:rsid w:val="00962746"/>
    <w:rsid w:val="00966A49"/>
    <w:rsid w:val="00970CDA"/>
    <w:rsid w:val="00971738"/>
    <w:rsid w:val="009741B5"/>
    <w:rsid w:val="00995316"/>
    <w:rsid w:val="00997386"/>
    <w:rsid w:val="009A15A7"/>
    <w:rsid w:val="009A7607"/>
    <w:rsid w:val="009B071F"/>
    <w:rsid w:val="009B1966"/>
    <w:rsid w:val="009C1D0F"/>
    <w:rsid w:val="009D0B44"/>
    <w:rsid w:val="009E4CE0"/>
    <w:rsid w:val="009F48C6"/>
    <w:rsid w:val="00A03C70"/>
    <w:rsid w:val="00A05D30"/>
    <w:rsid w:val="00A06132"/>
    <w:rsid w:val="00A154D5"/>
    <w:rsid w:val="00A210AB"/>
    <w:rsid w:val="00A21834"/>
    <w:rsid w:val="00A35E67"/>
    <w:rsid w:val="00A42A84"/>
    <w:rsid w:val="00A55753"/>
    <w:rsid w:val="00A658DB"/>
    <w:rsid w:val="00A67276"/>
    <w:rsid w:val="00A72419"/>
    <w:rsid w:val="00A7682C"/>
    <w:rsid w:val="00A9373C"/>
    <w:rsid w:val="00AA1544"/>
    <w:rsid w:val="00AA4F81"/>
    <w:rsid w:val="00AB1DC1"/>
    <w:rsid w:val="00AB64CF"/>
    <w:rsid w:val="00AE0D5A"/>
    <w:rsid w:val="00AE17EA"/>
    <w:rsid w:val="00AE19EC"/>
    <w:rsid w:val="00AE224B"/>
    <w:rsid w:val="00AF54FC"/>
    <w:rsid w:val="00AF60F8"/>
    <w:rsid w:val="00AF69A7"/>
    <w:rsid w:val="00B14BD5"/>
    <w:rsid w:val="00B23771"/>
    <w:rsid w:val="00B26638"/>
    <w:rsid w:val="00B32F01"/>
    <w:rsid w:val="00B35E41"/>
    <w:rsid w:val="00B37DCB"/>
    <w:rsid w:val="00B41C0F"/>
    <w:rsid w:val="00B43D9D"/>
    <w:rsid w:val="00B463B3"/>
    <w:rsid w:val="00B608C8"/>
    <w:rsid w:val="00B618A2"/>
    <w:rsid w:val="00B65E4F"/>
    <w:rsid w:val="00B70401"/>
    <w:rsid w:val="00B73028"/>
    <w:rsid w:val="00B77C2E"/>
    <w:rsid w:val="00B81202"/>
    <w:rsid w:val="00B81D72"/>
    <w:rsid w:val="00B9601A"/>
    <w:rsid w:val="00B97C94"/>
    <w:rsid w:val="00BA262A"/>
    <w:rsid w:val="00BA2CDF"/>
    <w:rsid w:val="00BC2543"/>
    <w:rsid w:val="00BC5588"/>
    <w:rsid w:val="00BD0ADA"/>
    <w:rsid w:val="00BD45B0"/>
    <w:rsid w:val="00BD52AA"/>
    <w:rsid w:val="00BE0BC1"/>
    <w:rsid w:val="00BE11B2"/>
    <w:rsid w:val="00BE2F87"/>
    <w:rsid w:val="00BE2FDA"/>
    <w:rsid w:val="00BF0D00"/>
    <w:rsid w:val="00C02FF1"/>
    <w:rsid w:val="00C103F1"/>
    <w:rsid w:val="00C44045"/>
    <w:rsid w:val="00C4492D"/>
    <w:rsid w:val="00C53D9D"/>
    <w:rsid w:val="00C55E55"/>
    <w:rsid w:val="00C70970"/>
    <w:rsid w:val="00C72047"/>
    <w:rsid w:val="00C75C07"/>
    <w:rsid w:val="00C82A6F"/>
    <w:rsid w:val="00C973DB"/>
    <w:rsid w:val="00CA0B80"/>
    <w:rsid w:val="00CA735A"/>
    <w:rsid w:val="00CB07EB"/>
    <w:rsid w:val="00CB0A14"/>
    <w:rsid w:val="00CB0FE4"/>
    <w:rsid w:val="00CB4EC0"/>
    <w:rsid w:val="00CC2A19"/>
    <w:rsid w:val="00CC311D"/>
    <w:rsid w:val="00CC318D"/>
    <w:rsid w:val="00CC3878"/>
    <w:rsid w:val="00CD41F7"/>
    <w:rsid w:val="00CE28DD"/>
    <w:rsid w:val="00CF4040"/>
    <w:rsid w:val="00D044FC"/>
    <w:rsid w:val="00D050C0"/>
    <w:rsid w:val="00D14E02"/>
    <w:rsid w:val="00D1782B"/>
    <w:rsid w:val="00D23897"/>
    <w:rsid w:val="00D32C96"/>
    <w:rsid w:val="00D33DA6"/>
    <w:rsid w:val="00D47C6F"/>
    <w:rsid w:val="00D62331"/>
    <w:rsid w:val="00D705E2"/>
    <w:rsid w:val="00D73740"/>
    <w:rsid w:val="00D74230"/>
    <w:rsid w:val="00D81275"/>
    <w:rsid w:val="00D93ADE"/>
    <w:rsid w:val="00DA5752"/>
    <w:rsid w:val="00DB6584"/>
    <w:rsid w:val="00DC0289"/>
    <w:rsid w:val="00DD4C87"/>
    <w:rsid w:val="00DD5F2C"/>
    <w:rsid w:val="00DD6370"/>
    <w:rsid w:val="00DD6BEC"/>
    <w:rsid w:val="00DD704C"/>
    <w:rsid w:val="00DF23F5"/>
    <w:rsid w:val="00DF62CA"/>
    <w:rsid w:val="00E0227A"/>
    <w:rsid w:val="00E21A58"/>
    <w:rsid w:val="00E2227F"/>
    <w:rsid w:val="00E32D73"/>
    <w:rsid w:val="00E44236"/>
    <w:rsid w:val="00E521D9"/>
    <w:rsid w:val="00E551C2"/>
    <w:rsid w:val="00E5693B"/>
    <w:rsid w:val="00E61971"/>
    <w:rsid w:val="00E632C7"/>
    <w:rsid w:val="00E67E48"/>
    <w:rsid w:val="00E85C95"/>
    <w:rsid w:val="00E900FA"/>
    <w:rsid w:val="00EA3AC1"/>
    <w:rsid w:val="00EA3D82"/>
    <w:rsid w:val="00EC30DF"/>
    <w:rsid w:val="00EC4ACC"/>
    <w:rsid w:val="00EC604F"/>
    <w:rsid w:val="00EE4446"/>
    <w:rsid w:val="00EE5F1C"/>
    <w:rsid w:val="00EF278B"/>
    <w:rsid w:val="00EF3EB5"/>
    <w:rsid w:val="00EF54AE"/>
    <w:rsid w:val="00F02DBA"/>
    <w:rsid w:val="00F06111"/>
    <w:rsid w:val="00F14EE8"/>
    <w:rsid w:val="00F159BE"/>
    <w:rsid w:val="00F165F9"/>
    <w:rsid w:val="00F23EC3"/>
    <w:rsid w:val="00F27A83"/>
    <w:rsid w:val="00F30C67"/>
    <w:rsid w:val="00F530F1"/>
    <w:rsid w:val="00F5431C"/>
    <w:rsid w:val="00F63AD0"/>
    <w:rsid w:val="00F72FF7"/>
    <w:rsid w:val="00F733DE"/>
    <w:rsid w:val="00F806B2"/>
    <w:rsid w:val="00F84FF4"/>
    <w:rsid w:val="00F874F8"/>
    <w:rsid w:val="00FA2E10"/>
    <w:rsid w:val="00FA414B"/>
    <w:rsid w:val="00FB535D"/>
    <w:rsid w:val="00FC3B14"/>
    <w:rsid w:val="00FC6350"/>
    <w:rsid w:val="00FC65A7"/>
    <w:rsid w:val="00FC66C4"/>
    <w:rsid w:val="00FD0148"/>
    <w:rsid w:val="00FD1BBC"/>
    <w:rsid w:val="00FD3BFD"/>
    <w:rsid w:val="00FD4526"/>
    <w:rsid w:val="00FD5B6D"/>
    <w:rsid w:val="00FE1C24"/>
    <w:rsid w:val="00FE695E"/>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4C6B7C"/>
    <w:rPr>
      <w:vertAlign w:val="superscript"/>
    </w:rPr>
  </w:style>
  <w:style w:type="paragraph" w:styleId="Header">
    <w:name w:val="header"/>
    <w:basedOn w:val="Normal"/>
    <w:link w:val="HeaderChar"/>
    <w:uiPriority w:val="99"/>
    <w:semiHidden/>
    <w:unhideWhenUsed/>
    <w:rsid w:val="004B5F3A"/>
    <w:pPr>
      <w:tabs>
        <w:tab w:val="center" w:pos="4680"/>
        <w:tab w:val="right" w:pos="9360"/>
      </w:tabs>
    </w:pPr>
  </w:style>
  <w:style w:type="character" w:customStyle="1" w:styleId="HeaderChar">
    <w:name w:val="Header Char"/>
    <w:basedOn w:val="DefaultParagraphFont"/>
    <w:link w:val="Header"/>
    <w:uiPriority w:val="99"/>
    <w:semiHidden/>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4C6B7C"/>
    <w:rPr>
      <w:vertAlign w:val="superscript"/>
    </w:rPr>
  </w:style>
  <w:style w:type="paragraph" w:styleId="Header">
    <w:name w:val="header"/>
    <w:basedOn w:val="Normal"/>
    <w:link w:val="HeaderChar"/>
    <w:uiPriority w:val="99"/>
    <w:semiHidden/>
    <w:unhideWhenUsed/>
    <w:rsid w:val="004B5F3A"/>
    <w:pPr>
      <w:tabs>
        <w:tab w:val="center" w:pos="4680"/>
        <w:tab w:val="right" w:pos="9360"/>
      </w:tabs>
    </w:pPr>
  </w:style>
  <w:style w:type="character" w:customStyle="1" w:styleId="HeaderChar">
    <w:name w:val="Header Char"/>
    <w:basedOn w:val="DefaultParagraphFont"/>
    <w:link w:val="Header"/>
    <w:uiPriority w:val="99"/>
    <w:semiHidden/>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17979">
      <w:bodyDiv w:val="1"/>
      <w:marLeft w:val="0"/>
      <w:marRight w:val="0"/>
      <w:marTop w:val="0"/>
      <w:marBottom w:val="0"/>
      <w:divBdr>
        <w:top w:val="none" w:sz="0" w:space="0" w:color="auto"/>
        <w:left w:val="none" w:sz="0" w:space="0" w:color="auto"/>
        <w:bottom w:val="none" w:sz="0" w:space="0" w:color="auto"/>
        <w:right w:val="none" w:sz="0" w:space="0" w:color="auto"/>
      </w:divBdr>
      <w:divsChild>
        <w:div w:id="1082029226">
          <w:marLeft w:val="0"/>
          <w:marRight w:val="0"/>
          <w:marTop w:val="0"/>
          <w:marBottom w:val="0"/>
          <w:divBdr>
            <w:top w:val="none" w:sz="0" w:space="0" w:color="auto"/>
            <w:left w:val="none" w:sz="0" w:space="0" w:color="auto"/>
            <w:bottom w:val="none" w:sz="0" w:space="0" w:color="auto"/>
            <w:right w:val="none" w:sz="0" w:space="0" w:color="auto"/>
          </w:divBdr>
          <w:divsChild>
            <w:div w:id="1965842133">
              <w:marLeft w:val="0"/>
              <w:marRight w:val="0"/>
              <w:marTop w:val="0"/>
              <w:marBottom w:val="0"/>
              <w:divBdr>
                <w:top w:val="none" w:sz="0" w:space="0" w:color="auto"/>
                <w:left w:val="none" w:sz="0" w:space="0" w:color="auto"/>
                <w:bottom w:val="none" w:sz="0" w:space="0" w:color="auto"/>
                <w:right w:val="none" w:sz="0" w:space="0" w:color="auto"/>
              </w:divBdr>
              <w:divsChild>
                <w:div w:id="1107237559">
                  <w:marLeft w:val="0"/>
                  <w:marRight w:val="0"/>
                  <w:marTop w:val="0"/>
                  <w:marBottom w:val="0"/>
                  <w:divBdr>
                    <w:top w:val="none" w:sz="0" w:space="0" w:color="auto"/>
                    <w:left w:val="none" w:sz="0" w:space="0" w:color="auto"/>
                    <w:bottom w:val="none" w:sz="0" w:space="0" w:color="auto"/>
                    <w:right w:val="none" w:sz="0" w:space="0" w:color="auto"/>
                  </w:divBdr>
                  <w:divsChild>
                    <w:div w:id="820999862">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85841">
      <w:bodyDiv w:val="1"/>
      <w:marLeft w:val="0"/>
      <w:marRight w:val="0"/>
      <w:marTop w:val="0"/>
      <w:marBottom w:val="0"/>
      <w:divBdr>
        <w:top w:val="none" w:sz="0" w:space="0" w:color="auto"/>
        <w:left w:val="none" w:sz="0" w:space="0" w:color="auto"/>
        <w:bottom w:val="none" w:sz="0" w:space="0" w:color="auto"/>
        <w:right w:val="none" w:sz="0" w:space="0" w:color="auto"/>
      </w:divBdr>
      <w:divsChild>
        <w:div w:id="1763141772">
          <w:marLeft w:val="0"/>
          <w:marRight w:val="0"/>
          <w:marTop w:val="0"/>
          <w:marBottom w:val="0"/>
          <w:divBdr>
            <w:top w:val="none" w:sz="0" w:space="0" w:color="auto"/>
            <w:left w:val="none" w:sz="0" w:space="0" w:color="auto"/>
            <w:bottom w:val="none" w:sz="0" w:space="0" w:color="auto"/>
            <w:right w:val="none" w:sz="0" w:space="0" w:color="auto"/>
          </w:divBdr>
          <w:divsChild>
            <w:div w:id="931354129">
              <w:marLeft w:val="0"/>
              <w:marRight w:val="0"/>
              <w:marTop w:val="0"/>
              <w:marBottom w:val="0"/>
              <w:divBdr>
                <w:top w:val="none" w:sz="0" w:space="0" w:color="auto"/>
                <w:left w:val="none" w:sz="0" w:space="0" w:color="auto"/>
                <w:bottom w:val="none" w:sz="0" w:space="0" w:color="auto"/>
                <w:right w:val="none" w:sz="0" w:space="0" w:color="auto"/>
              </w:divBdr>
              <w:divsChild>
                <w:div w:id="716006575">
                  <w:marLeft w:val="0"/>
                  <w:marRight w:val="0"/>
                  <w:marTop w:val="0"/>
                  <w:marBottom w:val="0"/>
                  <w:divBdr>
                    <w:top w:val="none" w:sz="0" w:space="0" w:color="auto"/>
                    <w:left w:val="none" w:sz="0" w:space="0" w:color="auto"/>
                    <w:bottom w:val="none" w:sz="0" w:space="0" w:color="auto"/>
                    <w:right w:val="none" w:sz="0" w:space="0" w:color="auto"/>
                  </w:divBdr>
                  <w:divsChild>
                    <w:div w:id="462582493">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D630A-CA2E-4567-9756-367701E1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Miller, Sara</cp:lastModifiedBy>
  <cp:revision>4</cp:revision>
  <cp:lastPrinted>2011-12-01T19:12:00Z</cp:lastPrinted>
  <dcterms:created xsi:type="dcterms:W3CDTF">2011-12-01T18:44:00Z</dcterms:created>
  <dcterms:modified xsi:type="dcterms:W3CDTF">2011-12-01T19:12:00Z</dcterms:modified>
</cp:coreProperties>
</file>