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Default="004B26E2" w:rsidP="004B26E2">
      <w:pPr>
        <w:jc w:val="center"/>
        <w:rPr>
          <w:b/>
        </w:rPr>
      </w:pP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p w:rsidR="004B26E2" w:rsidRDefault="004B26E2" w:rsidP="004B26E2"/>
    <w:p w:rsidR="00BB2371" w:rsidRDefault="00BB2371" w:rsidP="00BB2371">
      <w:pPr>
        <w:jc w:val="both"/>
      </w:pPr>
      <w:proofErr w:type="spellStart"/>
      <w:r>
        <w:t>Lateta</w:t>
      </w:r>
      <w:proofErr w:type="spellEnd"/>
      <w:r>
        <w:t xml:space="preserve"> Darby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BB2371" w:rsidRDefault="00BB2371" w:rsidP="00BB23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BB2371" w:rsidRDefault="00BB2371" w:rsidP="00BB2371">
      <w:pPr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  <w:t>F-2011-2222056</w:t>
      </w:r>
    </w:p>
    <w:p w:rsidR="00BB2371" w:rsidRDefault="00BB2371" w:rsidP="00BB23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BB2371" w:rsidRDefault="00BB2371" w:rsidP="00BB2371">
      <w:pPr>
        <w:jc w:val="both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4B26E2" w:rsidRDefault="004B26E2" w:rsidP="004B26E2">
      <w:pPr>
        <w:spacing w:line="360" w:lineRule="auto"/>
      </w:pPr>
    </w:p>
    <w:p w:rsidR="00061AA0" w:rsidRDefault="00061AA0" w:rsidP="004B26E2">
      <w:pPr>
        <w:spacing w:line="360" w:lineRule="auto"/>
      </w:pPr>
    </w:p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Default="00061AA0" w:rsidP="00E85D5D">
      <w:pPr>
        <w:spacing w:line="360" w:lineRule="auto"/>
        <w:ind w:firstLine="1440"/>
        <w:jc w:val="both"/>
      </w:pPr>
      <w:r w:rsidRPr="00103290">
        <w:t>This is to advise all parties of record that the</w:t>
      </w:r>
      <w:r>
        <w:t xml:space="preserve"> </w:t>
      </w:r>
      <w:r w:rsidR="00BB2371">
        <w:t>Initial</w:t>
      </w:r>
      <w:r w:rsidR="002E581E">
        <w:t xml:space="preserve"> </w:t>
      </w:r>
      <w:r w:rsidRPr="00103290">
        <w:t xml:space="preserve">Decision issued on </w:t>
      </w:r>
      <w:r w:rsidR="00BB2371">
        <w:t>December 5, 2011</w:t>
      </w:r>
      <w:r w:rsidRPr="00103290">
        <w:t xml:space="preserve"> in the above-captioned proceeding contains</w:t>
      </w:r>
      <w:r w:rsidR="00B8648D">
        <w:t xml:space="preserve"> a</w:t>
      </w:r>
      <w:r w:rsidRPr="00103290">
        <w:t xml:space="preserve"> typograph</w:t>
      </w:r>
      <w:r>
        <w:t>ical erro</w:t>
      </w:r>
      <w:r w:rsidR="00BB2371">
        <w:t xml:space="preserve">r on Page </w:t>
      </w:r>
      <w:r w:rsidR="00B8648D">
        <w:t>6</w:t>
      </w:r>
      <w:r w:rsidR="00A253F8">
        <w:t xml:space="preserve">.  </w:t>
      </w:r>
      <w:r w:rsidR="00B8648D">
        <w:t xml:space="preserve">Under Conclusion of Law, No. 3, the cite states </w:t>
      </w:r>
      <w:r w:rsidR="00930FAB">
        <w:t xml:space="preserve">“66Pa.C.S. </w:t>
      </w:r>
      <w:proofErr w:type="gramStart"/>
      <w:r w:rsidR="00930FAB">
        <w:t>§</w:t>
      </w:r>
      <w:r w:rsidR="00930FAB">
        <w:t xml:space="preserve"> </w:t>
      </w:r>
      <w:r w:rsidR="00B8648D">
        <w:t>332</w:t>
      </w:r>
      <w:r w:rsidR="00B8648D" w:rsidRPr="00930FAB">
        <w:rPr>
          <w:u w:val="single"/>
        </w:rPr>
        <w:t>(a)</w:t>
      </w:r>
      <w:r w:rsidR="00B8648D">
        <w:t>.</w:t>
      </w:r>
      <w:r w:rsidR="00930FAB">
        <w:t>”</w:t>
      </w:r>
      <w:proofErr w:type="gramEnd"/>
      <w:r w:rsidR="00B8648D">
        <w:t xml:space="preserve">  The correct cite is 332</w:t>
      </w:r>
      <w:r w:rsidR="00B8648D" w:rsidRPr="00930FAB">
        <w:rPr>
          <w:u w:val="single"/>
        </w:rPr>
        <w:t>(f)</w:t>
      </w:r>
      <w:r w:rsidR="00B8648D">
        <w:t xml:space="preserve">.  </w:t>
      </w:r>
      <w:r w:rsidR="00A253F8">
        <w:t>Please find the corrected page attached</w:t>
      </w:r>
      <w:r w:rsidR="00B8648D">
        <w:t xml:space="preserve"> for your records</w:t>
      </w:r>
      <w:r w:rsidR="00A253F8">
        <w:t>.</w:t>
      </w:r>
      <w:r>
        <w:t xml:space="preserve">  </w:t>
      </w:r>
    </w:p>
    <w:p w:rsidR="00B36797" w:rsidRDefault="00B36797" w:rsidP="00E85D5D">
      <w:pPr>
        <w:spacing w:line="360" w:lineRule="auto"/>
        <w:ind w:firstLine="1440"/>
        <w:jc w:val="both"/>
        <w:rPr>
          <w:b/>
        </w:rPr>
      </w:pPr>
    </w:p>
    <w:p w:rsidR="00B8648D" w:rsidRDefault="00B8648D" w:rsidP="00B8648D">
      <w:pPr>
        <w:pStyle w:val="BodyText2"/>
        <w:ind w:left="720" w:right="720" w:firstLine="720"/>
        <w:rPr>
          <w:szCs w:val="24"/>
        </w:rPr>
      </w:pPr>
      <w:r>
        <w:rPr>
          <w:szCs w:val="24"/>
        </w:rPr>
        <w:t>“3.</w:t>
      </w:r>
      <w:r>
        <w:rPr>
          <w:szCs w:val="24"/>
        </w:rPr>
        <w:tab/>
        <w:t xml:space="preserve">That the Complainant, by failing to be represented at the scheduled hearing, waived the opportunity to participate in </w:t>
      </w:r>
      <w:r w:rsidR="00930FAB">
        <w:rPr>
          <w:szCs w:val="24"/>
        </w:rPr>
        <w:t xml:space="preserve">the hearing.  </w:t>
      </w:r>
      <w:proofErr w:type="gramStart"/>
      <w:r w:rsidR="00930FAB">
        <w:rPr>
          <w:szCs w:val="24"/>
        </w:rPr>
        <w:t>66 Pa.C.S.</w:t>
      </w:r>
      <w:proofErr w:type="gramEnd"/>
      <w:r w:rsidR="00930FAB">
        <w:rPr>
          <w:szCs w:val="24"/>
        </w:rPr>
        <w:t xml:space="preserve"> </w:t>
      </w:r>
      <w:proofErr w:type="gramStart"/>
      <w:r w:rsidR="00930FAB">
        <w:rPr>
          <w:szCs w:val="24"/>
        </w:rPr>
        <w:t>§ 332(a</w:t>
      </w:r>
      <w:r>
        <w:rPr>
          <w:szCs w:val="24"/>
        </w:rPr>
        <w:t>).”</w:t>
      </w:r>
      <w:proofErr w:type="gramEnd"/>
    </w:p>
    <w:p w:rsidR="00B8648D" w:rsidRPr="00B36797" w:rsidRDefault="00B8648D" w:rsidP="00E85D5D">
      <w:pPr>
        <w:spacing w:line="360" w:lineRule="auto"/>
        <w:ind w:firstLine="1440"/>
        <w:jc w:val="both"/>
        <w:rPr>
          <w:b/>
        </w:rPr>
      </w:pPr>
    </w:p>
    <w:p w:rsidR="00215828" w:rsidRDefault="00061AA0" w:rsidP="00215828">
      <w:pPr>
        <w:spacing w:line="360" w:lineRule="auto"/>
        <w:ind w:firstLine="1440"/>
        <w:jc w:val="both"/>
      </w:pPr>
      <w:r w:rsidRPr="00103290">
        <w:t xml:space="preserve">The </w:t>
      </w:r>
      <w:r w:rsidR="00B8648D">
        <w:t>Initial</w:t>
      </w:r>
      <w:r>
        <w:t xml:space="preserve"> </w:t>
      </w:r>
      <w:r w:rsidRPr="00103290">
        <w:t xml:space="preserve">Decision on the PA PUC website will be corrected as indicated above. </w:t>
      </w:r>
      <w:r w:rsidR="00B36797">
        <w:t>T</w:t>
      </w:r>
      <w:r>
        <w:t xml:space="preserve">his correction will not </w:t>
      </w:r>
      <w:r w:rsidR="00B8648D">
        <w:t>a</w:t>
      </w:r>
      <w:r>
        <w:t>ffect the exception period established by the Commission’s Service Letter.</w:t>
      </w:r>
      <w:r w:rsidR="00215828">
        <w:t xml:space="preserve">  </w:t>
      </w:r>
      <w:bookmarkStart w:id="0" w:name="_GoBack"/>
      <w:bookmarkEnd w:id="0"/>
      <w:r w:rsidR="00215828">
        <w:t>Thank you.</w:t>
      </w:r>
    </w:p>
    <w:p w:rsidR="00BB2371" w:rsidRPr="00215828" w:rsidRDefault="00215828" w:rsidP="00215828">
      <w:pPr>
        <w:spacing w:line="360" w:lineRule="auto"/>
        <w:ind w:firstLine="1440"/>
        <w:jc w:val="both"/>
        <w:sectPr w:rsidR="00BB2371" w:rsidRPr="00215828" w:rsidSect="00DC42AE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aperSrc w:first="15"/>
          <w:pgNumType w:start="20"/>
          <w:cols w:space="720"/>
          <w:noEndnote/>
          <w:titlePg/>
          <w:docGrid w:linePitch="326"/>
        </w:sectPr>
      </w:pPr>
      <w:r>
        <w:t xml:space="preserve">  </w:t>
      </w:r>
    </w:p>
    <w:p w:rsidR="00BB2371" w:rsidRDefault="00BB2371" w:rsidP="00BB2371">
      <w:pPr>
        <w:pStyle w:val="BodyText"/>
        <w:widowControl/>
        <w:tabs>
          <w:tab w:val="left" w:pos="720"/>
        </w:tabs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lastRenderedPageBreak/>
        <w:t>Natural Gas, Inc</w:t>
      </w:r>
      <w:r>
        <w:rPr>
          <w:rFonts w:ascii="Times New Roman" w:hAnsi="Times New Roman"/>
          <w:szCs w:val="24"/>
        </w:rPr>
        <w:t xml:space="preserve">., Docket No. F-02266429 (Order entered September 12, 2008) and </w:t>
      </w:r>
      <w:r>
        <w:rPr>
          <w:rFonts w:ascii="Times New Roman" w:hAnsi="Times New Roman"/>
          <w:i/>
          <w:szCs w:val="24"/>
        </w:rPr>
        <w:t>Martin Jefferson v. UGI Utilities, Inc.,</w:t>
      </w:r>
      <w:r>
        <w:rPr>
          <w:rFonts w:ascii="Times New Roman" w:hAnsi="Times New Roman"/>
          <w:szCs w:val="24"/>
        </w:rPr>
        <w:t xml:space="preserve"> Z-00269892 (Order entered December 26, 1995).  Nevertheless, since the Complainant did come to the Philadelphia Regional office for the July 8, 2011 hearing, in accordance with the ruling in </w:t>
      </w:r>
      <w:proofErr w:type="spellStart"/>
      <w:r>
        <w:rPr>
          <w:rFonts w:ascii="Times New Roman" w:hAnsi="Times New Roman"/>
          <w:i/>
          <w:szCs w:val="24"/>
        </w:rPr>
        <w:t>Windell</w:t>
      </w:r>
      <w:proofErr w:type="spellEnd"/>
      <w:r>
        <w:rPr>
          <w:rFonts w:ascii="Times New Roman" w:hAnsi="Times New Roman"/>
          <w:i/>
          <w:szCs w:val="24"/>
        </w:rPr>
        <w:t xml:space="preserve"> C. Wiggins v. PECO Energy Company</w:t>
      </w:r>
      <w:r>
        <w:rPr>
          <w:rFonts w:ascii="Times New Roman" w:hAnsi="Times New Roman"/>
          <w:szCs w:val="24"/>
        </w:rPr>
        <w:t xml:space="preserve"> at Docket No. C-2010-2190335 (Order entered October 27, 2011), the Respondent’s motion to dismiss the formal complaint is granted, in part, and denied, in part.  The complaint will be dismissed without prejudice. </w:t>
      </w:r>
    </w:p>
    <w:p w:rsidR="00BB2371" w:rsidRDefault="00BB2371" w:rsidP="00BB2371">
      <w:pPr>
        <w:pStyle w:val="BodyText"/>
        <w:widowControl/>
        <w:tabs>
          <w:tab w:val="clear" w:pos="-720"/>
          <w:tab w:val="left" w:pos="-1800"/>
        </w:tabs>
        <w:spacing w:line="360" w:lineRule="auto"/>
        <w:jc w:val="left"/>
        <w:rPr>
          <w:rFonts w:ascii="Times New Roman" w:hAnsi="Times New Roman"/>
          <w:szCs w:val="24"/>
        </w:rPr>
      </w:pPr>
    </w:p>
    <w:p w:rsidR="00BB2371" w:rsidRDefault="00BB2371" w:rsidP="00BB2371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CONCLUSIONS OF LAW</w:t>
      </w:r>
    </w:p>
    <w:p w:rsidR="00BB2371" w:rsidRDefault="00BB2371" w:rsidP="00BB2371">
      <w:pPr>
        <w:spacing w:line="360" w:lineRule="auto"/>
      </w:pPr>
    </w:p>
    <w:p w:rsidR="00BB2371" w:rsidRDefault="00BB2371" w:rsidP="00BB2371">
      <w:pPr>
        <w:pStyle w:val="Heading1"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 xml:space="preserve">The Commission has jurisdiction over the parties and subject matter in this proceeding.  </w:t>
      </w:r>
      <w:proofErr w:type="gramStart"/>
      <w:r>
        <w:rPr>
          <w:rFonts w:ascii="Times New Roman" w:hAnsi="Times New Roman"/>
          <w:szCs w:val="24"/>
        </w:rPr>
        <w:t>66 Pa.C.S.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§ 701.</w:t>
      </w:r>
    </w:p>
    <w:p w:rsidR="00BB2371" w:rsidRDefault="00BB2371" w:rsidP="00BB2371">
      <w:pPr>
        <w:pStyle w:val="BodyText"/>
        <w:widowControl/>
        <w:tabs>
          <w:tab w:val="clear" w:pos="-720"/>
          <w:tab w:val="left" w:pos="-1620"/>
        </w:tabs>
        <w:spacing w:line="360" w:lineRule="auto"/>
        <w:rPr>
          <w:rFonts w:ascii="Times New Roman" w:hAnsi="Times New Roman"/>
          <w:szCs w:val="24"/>
        </w:rPr>
      </w:pPr>
    </w:p>
    <w:p w:rsidR="00BB2371" w:rsidRDefault="00BB2371" w:rsidP="00BB2371">
      <w:pPr>
        <w:pStyle w:val="BodyText"/>
        <w:widowControl/>
        <w:tabs>
          <w:tab w:val="clear" w:pos="-720"/>
          <w:tab w:val="left" w:pos="-1620"/>
        </w:tabs>
        <w:spacing w:line="36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2.</w:t>
      </w:r>
      <w:r>
        <w:rPr>
          <w:rFonts w:ascii="Times New Roman" w:hAnsi="Times New Roman"/>
          <w:szCs w:val="24"/>
        </w:rPr>
        <w:tab/>
        <w:t>That the Complainant has the burden of proof in this matter pursuant to 66 Pa.C.S. § 332(a).</w:t>
      </w:r>
    </w:p>
    <w:p w:rsidR="00BB2371" w:rsidRDefault="00BB2371" w:rsidP="00BB2371">
      <w:pPr>
        <w:pStyle w:val="BodyText"/>
        <w:widowControl/>
        <w:tabs>
          <w:tab w:val="clear" w:pos="-720"/>
          <w:tab w:val="left" w:pos="-1620"/>
        </w:tabs>
        <w:spacing w:line="360" w:lineRule="auto"/>
        <w:jc w:val="left"/>
        <w:rPr>
          <w:rFonts w:ascii="Times New Roman" w:hAnsi="Times New Roman"/>
          <w:szCs w:val="24"/>
        </w:rPr>
      </w:pPr>
    </w:p>
    <w:p w:rsidR="00BB2371" w:rsidRDefault="00BB2371" w:rsidP="00BB2371">
      <w:pPr>
        <w:pStyle w:val="BodyText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3.</w:t>
      </w:r>
      <w:r>
        <w:rPr>
          <w:szCs w:val="24"/>
        </w:rPr>
        <w:tab/>
        <w:t xml:space="preserve">That the Complainant, by failing to be represented at the scheduled hearing, waived the opportunity to participate in the hearing.  </w:t>
      </w:r>
      <w:proofErr w:type="gramStart"/>
      <w:r>
        <w:rPr>
          <w:szCs w:val="24"/>
        </w:rPr>
        <w:t>66 Pa.C.S.</w:t>
      </w:r>
      <w:proofErr w:type="gramEnd"/>
      <w:r>
        <w:rPr>
          <w:szCs w:val="24"/>
        </w:rPr>
        <w:t xml:space="preserve"> § 332(f).</w:t>
      </w:r>
    </w:p>
    <w:p w:rsidR="00BB2371" w:rsidRDefault="00BB2371" w:rsidP="00BB2371">
      <w:pPr>
        <w:spacing w:line="360" w:lineRule="auto"/>
      </w:pPr>
    </w:p>
    <w:p w:rsidR="00BB2371" w:rsidRDefault="00BB2371" w:rsidP="00BB2371">
      <w:pPr>
        <w:tabs>
          <w:tab w:val="num" w:pos="0"/>
        </w:tabs>
        <w:spacing w:line="360" w:lineRule="auto"/>
      </w:pPr>
      <w:r>
        <w:tab/>
      </w:r>
      <w:r>
        <w:tab/>
        <w:t>4.</w:t>
      </w:r>
      <w:r>
        <w:tab/>
        <w:t xml:space="preserve">Notice mailed to a party’s last known address and not returned by the post office is presumed to have been received.  </w:t>
      </w:r>
      <w:r>
        <w:rPr>
          <w:i/>
        </w:rPr>
        <w:t>Berkowitz v. Mayflower Securities</w:t>
      </w:r>
      <w:r>
        <w:t xml:space="preserve">, 455 Pa. 531, 317 A. 2d 584 (1974); </w:t>
      </w:r>
      <w:r>
        <w:rPr>
          <w:i/>
        </w:rPr>
        <w:t>Chartiers Industrial and Commercial Development Authority v. Allegheny County</w:t>
      </w:r>
      <w:r>
        <w:rPr>
          <w:u w:val="single"/>
        </w:rPr>
        <w:t xml:space="preserve"> </w:t>
      </w:r>
      <w:r>
        <w:rPr>
          <w:i/>
        </w:rPr>
        <w:t>Board of Property Assessment Appeals and Review</w:t>
      </w:r>
      <w:r>
        <w:t xml:space="preserve">, 645 A.2d 944 (Pa. </w:t>
      </w:r>
      <w:proofErr w:type="spellStart"/>
      <w:r>
        <w:t>Cmwlth</w:t>
      </w:r>
      <w:proofErr w:type="spellEnd"/>
      <w:r>
        <w:t>. 1994).</w:t>
      </w:r>
    </w:p>
    <w:p w:rsidR="00BB2371" w:rsidRDefault="00BB2371" w:rsidP="00BB2371">
      <w:pPr>
        <w:tabs>
          <w:tab w:val="num" w:pos="0"/>
        </w:tabs>
        <w:spacing w:line="360" w:lineRule="auto"/>
      </w:pPr>
    </w:p>
    <w:p w:rsidR="00BB2371" w:rsidRDefault="00BB2371" w:rsidP="00BB2371">
      <w:pPr>
        <w:tabs>
          <w:tab w:val="num" w:pos="0"/>
        </w:tabs>
        <w:spacing w:line="360" w:lineRule="auto"/>
      </w:pPr>
      <w:r>
        <w:tab/>
      </w:r>
      <w:r>
        <w:tab/>
        <w:t>5.</w:t>
      </w:r>
      <w:r>
        <w:tab/>
        <w:t xml:space="preserve">Once notice of a hearing and the opportunity to be heard has been provided, it is the responsibility of the parties to appear and participate in the hearing.  </w:t>
      </w:r>
      <w:proofErr w:type="spellStart"/>
      <w:r>
        <w:rPr>
          <w:i/>
        </w:rPr>
        <w:t>Sentner</w:t>
      </w:r>
      <w:proofErr w:type="spellEnd"/>
      <w:r>
        <w:rPr>
          <w:i/>
        </w:rPr>
        <w:t xml:space="preserve"> v. Bell</w:t>
      </w:r>
      <w:r>
        <w:rPr>
          <w:u w:val="single"/>
        </w:rPr>
        <w:t xml:space="preserve"> </w:t>
      </w:r>
      <w:r>
        <w:rPr>
          <w:i/>
        </w:rPr>
        <w:t>Telephone Co. of Pennsylvania</w:t>
      </w:r>
      <w:r>
        <w:t xml:space="preserve">, Docket No. </w:t>
      </w:r>
      <w:proofErr w:type="gramStart"/>
      <w:r>
        <w:t>F-00161106 (Order entered October 25, 1993).</w:t>
      </w:r>
      <w:proofErr w:type="gramEnd"/>
      <w:r>
        <w:t xml:space="preserve">  </w:t>
      </w:r>
    </w:p>
    <w:p w:rsidR="00BB2371" w:rsidRPr="00103290" w:rsidRDefault="00BB2371" w:rsidP="00E85D5D">
      <w:pPr>
        <w:spacing w:line="360" w:lineRule="auto"/>
        <w:ind w:firstLine="1440"/>
        <w:jc w:val="both"/>
        <w:rPr>
          <w:sz w:val="22"/>
          <w:szCs w:val="22"/>
        </w:rPr>
      </w:pPr>
    </w:p>
    <w:sectPr w:rsidR="00BB2371" w:rsidRPr="00103290" w:rsidSect="00DC42AE">
      <w:footerReference w:type="first" r:id="rId11"/>
      <w:pgSz w:w="12240" w:h="15840" w:code="1"/>
      <w:pgMar w:top="1440" w:right="1440" w:bottom="1440" w:left="1440" w:header="720" w:footer="720" w:gutter="0"/>
      <w:paperSrc w:first="15"/>
      <w:pgNumType w:start="2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8D" w:rsidRDefault="00B8648D">
      <w:r>
        <w:separator/>
      </w:r>
    </w:p>
  </w:endnote>
  <w:endnote w:type="continuationSeparator" w:id="0">
    <w:p w:rsidR="00B8648D" w:rsidRDefault="00B8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8D" w:rsidRDefault="00B8648D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B8648D" w:rsidRDefault="00B864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8D" w:rsidRPr="00B56279" w:rsidRDefault="00B8648D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56279">
      <w:rPr>
        <w:rStyle w:val="PageNumber"/>
        <w:sz w:val="20"/>
        <w:szCs w:val="20"/>
      </w:rPr>
      <w:fldChar w:fldCharType="begin"/>
    </w:r>
    <w:r w:rsidRPr="00B56279">
      <w:rPr>
        <w:rStyle w:val="PageNumber"/>
        <w:sz w:val="20"/>
        <w:szCs w:val="20"/>
      </w:rPr>
      <w:instrText xml:space="preserve">PAGE  </w:instrText>
    </w:r>
    <w:r w:rsidRPr="00B562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21</w:t>
    </w:r>
    <w:r w:rsidRPr="00B56279">
      <w:rPr>
        <w:rStyle w:val="PageNumber"/>
        <w:sz w:val="20"/>
        <w:szCs w:val="20"/>
      </w:rPr>
      <w:fldChar w:fldCharType="end"/>
    </w:r>
  </w:p>
  <w:p w:rsidR="00B8648D" w:rsidRDefault="00B864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8D" w:rsidRPr="00DC42AE" w:rsidRDefault="00B8648D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B8648D" w:rsidRDefault="00B8648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8D" w:rsidRPr="00DC42AE" w:rsidRDefault="00B8648D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B8648D" w:rsidRDefault="00B8648D" w:rsidP="00BB2371">
    <w:pPr>
      <w:pStyle w:val="Footer"/>
      <w:jc w:val="center"/>
    </w:pPr>
    <w:r>
      <w:rPr>
        <w:rStyle w:val="PageNumber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8D" w:rsidRDefault="00B8648D">
      <w:r>
        <w:separator/>
      </w:r>
    </w:p>
  </w:footnote>
  <w:footnote w:type="continuationSeparator" w:id="0">
    <w:p w:rsidR="00B8648D" w:rsidRDefault="00B8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3586B"/>
    <w:rsid w:val="00137061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5828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2A68"/>
    <w:rsid w:val="00544424"/>
    <w:rsid w:val="00550EBD"/>
    <w:rsid w:val="00555080"/>
    <w:rsid w:val="00555A03"/>
    <w:rsid w:val="00556BBF"/>
    <w:rsid w:val="00556F82"/>
    <w:rsid w:val="0055724C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E2C03"/>
    <w:rsid w:val="006E672A"/>
    <w:rsid w:val="006F0D47"/>
    <w:rsid w:val="006F4DF0"/>
    <w:rsid w:val="006F5F77"/>
    <w:rsid w:val="006F5FAB"/>
    <w:rsid w:val="007003E2"/>
    <w:rsid w:val="0070686E"/>
    <w:rsid w:val="00706EF5"/>
    <w:rsid w:val="00710D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0FAB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8648D"/>
    <w:rsid w:val="00B932A3"/>
    <w:rsid w:val="00B9368B"/>
    <w:rsid w:val="00B9635F"/>
    <w:rsid w:val="00BA336D"/>
    <w:rsid w:val="00BA60E2"/>
    <w:rsid w:val="00BB20ED"/>
    <w:rsid w:val="00BB2292"/>
    <w:rsid w:val="00BB2371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B68"/>
    <w:rsid w:val="00D71BA5"/>
    <w:rsid w:val="00D72AE5"/>
    <w:rsid w:val="00D75D0C"/>
    <w:rsid w:val="00D76A1B"/>
    <w:rsid w:val="00D80DC1"/>
    <w:rsid w:val="00D81047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305D"/>
    <w:rsid w:val="00E254A3"/>
    <w:rsid w:val="00E267CD"/>
    <w:rsid w:val="00E310CB"/>
    <w:rsid w:val="00E3530D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5B59"/>
    <w:rsid w:val="00F97D93"/>
    <w:rsid w:val="00FA348B"/>
    <w:rsid w:val="00FA44F4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2371"/>
    <w:pPr>
      <w:keepNext/>
      <w:outlineLvl w:val="0"/>
    </w:pPr>
    <w:rPr>
      <w:rFonts w:ascii="CourierPS (PCL6)" w:hAnsi="CourierPS (PCL6)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B2371"/>
    <w:rPr>
      <w:rFonts w:ascii="CourierPS (PCL6)" w:hAnsi="CourierPS (PCL6)"/>
      <w:spacing w:val="-3"/>
      <w:sz w:val="24"/>
    </w:rPr>
  </w:style>
  <w:style w:type="paragraph" w:styleId="BodyText">
    <w:name w:val="Body Text"/>
    <w:basedOn w:val="Normal"/>
    <w:link w:val="BodyTextChar"/>
    <w:rsid w:val="00BB2371"/>
    <w:pPr>
      <w:widowControl w:val="0"/>
      <w:tabs>
        <w:tab w:val="left" w:pos="-720"/>
      </w:tabs>
      <w:suppressAutoHyphens/>
      <w:jc w:val="both"/>
    </w:pPr>
    <w:rPr>
      <w:rFonts w:ascii="Courier" w:hAnsi="Courier"/>
      <w:snapToGrid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BB2371"/>
    <w:rPr>
      <w:rFonts w:ascii="Courier" w:hAnsi="Courier"/>
      <w:snapToGrid w:val="0"/>
      <w:spacing w:val="-3"/>
      <w:sz w:val="24"/>
    </w:rPr>
  </w:style>
  <w:style w:type="paragraph" w:styleId="BodyText2">
    <w:name w:val="Body Text 2"/>
    <w:basedOn w:val="Normal"/>
    <w:link w:val="BodyText2Char"/>
    <w:rsid w:val="00BB2371"/>
    <w:pPr>
      <w:spacing w:line="360" w:lineRule="auto"/>
    </w:pPr>
    <w:rPr>
      <w:spacing w:val="-3"/>
      <w:szCs w:val="20"/>
    </w:rPr>
  </w:style>
  <w:style w:type="character" w:customStyle="1" w:styleId="BodyText2Char">
    <w:name w:val="Body Text 2 Char"/>
    <w:basedOn w:val="DefaultParagraphFont"/>
    <w:link w:val="BodyText2"/>
    <w:rsid w:val="00BB2371"/>
    <w:rPr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2371"/>
    <w:pPr>
      <w:keepNext/>
      <w:outlineLvl w:val="0"/>
    </w:pPr>
    <w:rPr>
      <w:rFonts w:ascii="CourierPS (PCL6)" w:hAnsi="CourierPS (PCL6)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B2371"/>
    <w:rPr>
      <w:rFonts w:ascii="CourierPS (PCL6)" w:hAnsi="CourierPS (PCL6)"/>
      <w:spacing w:val="-3"/>
      <w:sz w:val="24"/>
    </w:rPr>
  </w:style>
  <w:style w:type="paragraph" w:styleId="BodyText">
    <w:name w:val="Body Text"/>
    <w:basedOn w:val="Normal"/>
    <w:link w:val="BodyTextChar"/>
    <w:rsid w:val="00BB2371"/>
    <w:pPr>
      <w:widowControl w:val="0"/>
      <w:tabs>
        <w:tab w:val="left" w:pos="-720"/>
      </w:tabs>
      <w:suppressAutoHyphens/>
      <w:jc w:val="both"/>
    </w:pPr>
    <w:rPr>
      <w:rFonts w:ascii="Courier" w:hAnsi="Courier"/>
      <w:snapToGrid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BB2371"/>
    <w:rPr>
      <w:rFonts w:ascii="Courier" w:hAnsi="Courier"/>
      <w:snapToGrid w:val="0"/>
      <w:spacing w:val="-3"/>
      <w:sz w:val="24"/>
    </w:rPr>
  </w:style>
  <w:style w:type="paragraph" w:styleId="BodyText2">
    <w:name w:val="Body Text 2"/>
    <w:basedOn w:val="Normal"/>
    <w:link w:val="BodyText2Char"/>
    <w:rsid w:val="00BB2371"/>
    <w:pPr>
      <w:spacing w:line="360" w:lineRule="auto"/>
    </w:pPr>
    <w:rPr>
      <w:spacing w:val="-3"/>
      <w:szCs w:val="20"/>
    </w:rPr>
  </w:style>
  <w:style w:type="character" w:customStyle="1" w:styleId="BodyText2Char">
    <w:name w:val="Body Text 2 Char"/>
    <w:basedOn w:val="DefaultParagraphFont"/>
    <w:link w:val="BodyText2"/>
    <w:rsid w:val="00BB2371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shoffner</cp:lastModifiedBy>
  <cp:revision>4</cp:revision>
  <cp:lastPrinted>2009-03-13T18:40:00Z</cp:lastPrinted>
  <dcterms:created xsi:type="dcterms:W3CDTF">2011-12-07T15:46:00Z</dcterms:created>
  <dcterms:modified xsi:type="dcterms:W3CDTF">2011-12-07T15:54:00Z</dcterms:modified>
</cp:coreProperties>
</file>