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7C" w:rsidRDefault="007B4A31" w:rsidP="007B4A31">
      <w:pPr>
        <w:jc w:val="center"/>
        <w:rPr>
          <w:b/>
        </w:rPr>
      </w:pPr>
      <w:r>
        <w:rPr>
          <w:b/>
        </w:rPr>
        <w:t>BEFORE THE</w:t>
      </w:r>
    </w:p>
    <w:p w:rsidR="007B4A31" w:rsidRDefault="007B4A31" w:rsidP="007B4A31">
      <w:pPr>
        <w:jc w:val="center"/>
      </w:pPr>
      <w:r>
        <w:rPr>
          <w:b/>
        </w:rPr>
        <w:t>PENNSYLVANIA PUBLIC UTILITY COMMISSION</w:t>
      </w:r>
    </w:p>
    <w:p w:rsidR="007B4A31" w:rsidRDefault="007B4A31" w:rsidP="007B4A31"/>
    <w:p w:rsidR="003C6CA6" w:rsidRDefault="003C6CA6" w:rsidP="007B4A31"/>
    <w:p w:rsidR="00287629" w:rsidRDefault="00287629" w:rsidP="007B4A31"/>
    <w:p w:rsidR="007B4A31" w:rsidRDefault="00EE74E6" w:rsidP="007B4A31">
      <w:r>
        <w:t>Donald L. Hale</w:t>
      </w:r>
      <w:r>
        <w:tab/>
      </w:r>
      <w:r>
        <w:tab/>
      </w:r>
      <w:r>
        <w:tab/>
      </w:r>
      <w:r>
        <w:tab/>
      </w:r>
      <w:r>
        <w:tab/>
        <w:t>:</w:t>
      </w:r>
    </w:p>
    <w:p w:rsidR="00EE74E6" w:rsidRDefault="00EE74E6" w:rsidP="007B4A31">
      <w:r>
        <w:tab/>
      </w:r>
      <w:r>
        <w:tab/>
      </w:r>
      <w:r>
        <w:tab/>
      </w:r>
      <w:r>
        <w:tab/>
      </w:r>
      <w:r>
        <w:tab/>
      </w:r>
      <w:r>
        <w:tab/>
      </w:r>
      <w:r>
        <w:tab/>
        <w:t>:</w:t>
      </w:r>
    </w:p>
    <w:p w:rsidR="00EE74E6" w:rsidRDefault="00EE74E6" w:rsidP="007B4A31">
      <w:r>
        <w:tab/>
        <w:t>v.</w:t>
      </w:r>
      <w:r>
        <w:tab/>
      </w:r>
      <w:r>
        <w:tab/>
      </w:r>
      <w:r>
        <w:tab/>
      </w:r>
      <w:r>
        <w:tab/>
      </w:r>
      <w:r>
        <w:tab/>
      </w:r>
      <w:r>
        <w:tab/>
        <w:t>:</w:t>
      </w:r>
      <w:r>
        <w:tab/>
      </w:r>
      <w:r>
        <w:tab/>
      </w:r>
      <w:r w:rsidR="00287629">
        <w:tab/>
      </w:r>
      <w:r>
        <w:t>C-2010-2206955</w:t>
      </w:r>
    </w:p>
    <w:p w:rsidR="00EE74E6" w:rsidRDefault="00EE74E6" w:rsidP="007B4A31">
      <w:r>
        <w:tab/>
      </w:r>
      <w:r>
        <w:tab/>
      </w:r>
      <w:r>
        <w:tab/>
      </w:r>
      <w:r>
        <w:tab/>
      </w:r>
      <w:r>
        <w:tab/>
      </w:r>
      <w:r>
        <w:tab/>
      </w:r>
      <w:r>
        <w:tab/>
        <w:t>:</w:t>
      </w:r>
    </w:p>
    <w:p w:rsidR="00EE74E6" w:rsidRDefault="00EE74E6" w:rsidP="007B4A31">
      <w:r>
        <w:t>UGI Penn Natural Gas, Inc.</w:t>
      </w:r>
      <w:r>
        <w:tab/>
      </w:r>
      <w:r>
        <w:tab/>
      </w:r>
      <w:r>
        <w:tab/>
      </w:r>
      <w:r>
        <w:tab/>
        <w:t>:</w:t>
      </w:r>
    </w:p>
    <w:p w:rsidR="003C6CA6" w:rsidRDefault="003C6CA6" w:rsidP="007B4A31"/>
    <w:p w:rsidR="00287629" w:rsidRDefault="00287629" w:rsidP="007B4A31"/>
    <w:p w:rsidR="003C6CA6" w:rsidRDefault="003C6CA6" w:rsidP="007B4A31"/>
    <w:p w:rsidR="00EE74E6" w:rsidRDefault="00EE74E6" w:rsidP="00EE74E6">
      <w:pPr>
        <w:jc w:val="center"/>
      </w:pPr>
      <w:r>
        <w:rPr>
          <w:b/>
          <w:u w:val="single"/>
        </w:rPr>
        <w:t>INITIAL DECISION</w:t>
      </w:r>
    </w:p>
    <w:p w:rsidR="00633A73" w:rsidRDefault="00633A73" w:rsidP="00EE74E6">
      <w:pPr>
        <w:jc w:val="center"/>
      </w:pPr>
    </w:p>
    <w:p w:rsidR="00633A73" w:rsidRDefault="00633A73" w:rsidP="00EE74E6">
      <w:pPr>
        <w:jc w:val="center"/>
      </w:pPr>
    </w:p>
    <w:p w:rsidR="00633A73" w:rsidRDefault="00633A73" w:rsidP="00EE74E6">
      <w:pPr>
        <w:jc w:val="center"/>
      </w:pPr>
      <w:r>
        <w:t>Before</w:t>
      </w:r>
    </w:p>
    <w:p w:rsidR="00633A73" w:rsidRDefault="00633A73" w:rsidP="00EE74E6">
      <w:pPr>
        <w:jc w:val="center"/>
      </w:pPr>
      <w:r>
        <w:t>John H. Corbett, Jr.</w:t>
      </w:r>
    </w:p>
    <w:p w:rsidR="00633A73" w:rsidRDefault="00633A73" w:rsidP="00EE74E6">
      <w:pPr>
        <w:jc w:val="center"/>
      </w:pPr>
      <w:r>
        <w:t>Administrative Law Judge</w:t>
      </w:r>
    </w:p>
    <w:p w:rsidR="00633A73" w:rsidRDefault="00633A73" w:rsidP="00EE74E6">
      <w:pPr>
        <w:jc w:val="center"/>
      </w:pPr>
    </w:p>
    <w:p w:rsidR="00633A73" w:rsidRDefault="00633A73" w:rsidP="00EE74E6">
      <w:pPr>
        <w:jc w:val="center"/>
      </w:pPr>
    </w:p>
    <w:p w:rsidR="00633A73" w:rsidRDefault="00633A73" w:rsidP="00EE74E6">
      <w:pPr>
        <w:jc w:val="center"/>
      </w:pPr>
      <w:r>
        <w:rPr>
          <w:u w:val="single"/>
        </w:rPr>
        <w:t>HISTORY OF THE PROCEEDING</w:t>
      </w:r>
    </w:p>
    <w:p w:rsidR="00633A73" w:rsidRDefault="00633A73" w:rsidP="00633A73"/>
    <w:p w:rsidR="00633A73" w:rsidRDefault="00633A73" w:rsidP="00633A73"/>
    <w:p w:rsidR="00633A73" w:rsidRDefault="00633A73" w:rsidP="00633A73">
      <w:pPr>
        <w:spacing w:line="360" w:lineRule="auto"/>
      </w:pPr>
      <w:r>
        <w:tab/>
      </w:r>
      <w:r>
        <w:tab/>
      </w:r>
      <w:r w:rsidR="00770175">
        <w:t xml:space="preserve">On October 27, 2010, Donald L. Hale (“Complainant”) filed a complaint with the Pennsylvania Public Utility Commission (“Commission”) </w:t>
      </w:r>
      <w:r w:rsidR="003C2969">
        <w:t>disputing certain bills he received</w:t>
      </w:r>
      <w:r w:rsidR="003D1B0E">
        <w:t xml:space="preserve"> for natural gas service </w:t>
      </w:r>
      <w:r w:rsidR="00306AEC">
        <w:t xml:space="preserve">that </w:t>
      </w:r>
      <w:r w:rsidR="003D1B0E">
        <w:t>UGI Penn Natural Gas, Inc.</w:t>
      </w:r>
      <w:r w:rsidR="004C6DA4">
        <w:t xml:space="preserve"> (“Respondent” or “UGI PNG”)</w:t>
      </w:r>
      <w:r w:rsidR="00306AEC">
        <w:t xml:space="preserve"> pr</w:t>
      </w:r>
      <w:r w:rsidR="00846E3D">
        <w:t>ovides</w:t>
      </w:r>
      <w:r w:rsidR="00306AEC">
        <w:t xml:space="preserve"> to</w:t>
      </w:r>
      <w:r w:rsidR="00306AEC" w:rsidRPr="00306AEC">
        <w:t xml:space="preserve"> </w:t>
      </w:r>
      <w:r w:rsidR="00306AEC">
        <w:t>property that he leases to tenants</w:t>
      </w:r>
      <w:r w:rsidR="004C6DA4">
        <w:t>.</w:t>
      </w:r>
      <w:r w:rsidR="004F642E">
        <w:t xml:space="preserve">  More specifically, he asserts UGI PNG wrongfully placed the bills in his name after finding </w:t>
      </w:r>
      <w:r w:rsidR="00E513AD">
        <w:t>a foreign load</w:t>
      </w:r>
      <w:r w:rsidR="00306AEC">
        <w:t xml:space="preserve"> existed at this property</w:t>
      </w:r>
      <w:r w:rsidR="002A6DA3">
        <w:t xml:space="preserve">.  He further </w:t>
      </w:r>
      <w:r w:rsidR="003C6CA6">
        <w:t xml:space="preserve">alleges </w:t>
      </w:r>
      <w:r w:rsidR="002A6DA3">
        <w:t xml:space="preserve">he corrected </w:t>
      </w:r>
      <w:r w:rsidR="003C6CA6">
        <w:t xml:space="preserve">the problem </w:t>
      </w:r>
      <w:r w:rsidR="00582ADF">
        <w:t>in 2006.  UGI PNG answered the complaint on November 18, 2010</w:t>
      </w:r>
      <w:r w:rsidR="006D2E83">
        <w:t xml:space="preserve"> acknowledging that a predecessor gas utility had determined</w:t>
      </w:r>
      <w:r w:rsidR="00796456">
        <w:t xml:space="preserve"> that a foreign load situation </w:t>
      </w:r>
      <w:r w:rsidR="00B14F7C">
        <w:t xml:space="preserve">had been corrected </w:t>
      </w:r>
      <w:r w:rsidR="0048582D">
        <w:t xml:space="preserve">at this property </w:t>
      </w:r>
      <w:r w:rsidR="00796456">
        <w:t>in 2006, but UGI PNG conducted its own investigation after receiving a</w:t>
      </w:r>
      <w:r w:rsidR="00832B4A">
        <w:t>nother</w:t>
      </w:r>
      <w:r w:rsidR="00796456">
        <w:t xml:space="preserve"> tenant’s complaint and </w:t>
      </w:r>
      <w:r w:rsidR="000C10D2">
        <w:t>f</w:t>
      </w:r>
      <w:r w:rsidR="00E06E04">
        <w:t>ound</w:t>
      </w:r>
      <w:r w:rsidR="000C10D2">
        <w:t xml:space="preserve"> a foreign load on April 21, 2010.  Accordingly, it placed </w:t>
      </w:r>
      <w:r w:rsidR="00C024AF">
        <w:t>the account balance in Complainant’s name.</w:t>
      </w:r>
    </w:p>
    <w:p w:rsidR="00C024AF" w:rsidRDefault="00C024AF" w:rsidP="00633A73">
      <w:pPr>
        <w:spacing w:line="360" w:lineRule="auto"/>
      </w:pPr>
    </w:p>
    <w:p w:rsidR="00E06E04" w:rsidRDefault="00C024AF" w:rsidP="00633A73">
      <w:pPr>
        <w:spacing w:line="360" w:lineRule="auto"/>
      </w:pPr>
      <w:r>
        <w:tab/>
      </w:r>
      <w:r>
        <w:tab/>
      </w:r>
      <w:r w:rsidR="00685C2E">
        <w:t xml:space="preserve">I received this case assignment on September 6, 2011.  A standard Prehearing Order was issued on </w:t>
      </w:r>
      <w:r w:rsidR="00E06E04">
        <w:t>September 8, 2011.</w:t>
      </w:r>
      <w:r w:rsidR="003C6CA6">
        <w:t xml:space="preserve">  </w:t>
      </w:r>
      <w:r w:rsidR="00D351C1">
        <w:t xml:space="preserve">A telephonic hearing was held on October 20, 2011.  Complainant appeared </w:t>
      </w:r>
      <w:r w:rsidR="00D351C1">
        <w:rPr>
          <w:i/>
        </w:rPr>
        <w:t>pro se</w:t>
      </w:r>
      <w:r w:rsidR="00D351C1">
        <w:t>.  Jeffery H. Sunday, Esq. represented</w:t>
      </w:r>
      <w:r w:rsidR="001E4A0F">
        <w:t xml:space="preserve"> Respondent, which offered three exhibits for the record.  </w:t>
      </w:r>
      <w:r w:rsidR="0054180C">
        <w:t>The hearing generated 39</w:t>
      </w:r>
      <w:r w:rsidR="001E4A0F">
        <w:t xml:space="preserve"> pages of notes of testimony.  No briefs were filed.  </w:t>
      </w:r>
      <w:r w:rsidR="000B1FCF">
        <w:t>The record closed on November 21, 2011.</w:t>
      </w:r>
    </w:p>
    <w:p w:rsidR="000B1FCF" w:rsidRDefault="000B1FCF" w:rsidP="000B1FCF">
      <w:pPr>
        <w:spacing w:line="360" w:lineRule="auto"/>
        <w:jc w:val="center"/>
      </w:pPr>
      <w:r>
        <w:rPr>
          <w:u w:val="single"/>
        </w:rPr>
        <w:lastRenderedPageBreak/>
        <w:t>FINDINGS OF FACT</w:t>
      </w:r>
    </w:p>
    <w:p w:rsidR="000B1FCF" w:rsidRDefault="000B1FCF" w:rsidP="000B1FCF">
      <w:pPr>
        <w:spacing w:line="360" w:lineRule="auto"/>
      </w:pPr>
    </w:p>
    <w:p w:rsidR="000B1FCF" w:rsidRDefault="003C6CA6" w:rsidP="00D34D43">
      <w:pPr>
        <w:pStyle w:val="ListParagraph"/>
        <w:numPr>
          <w:ilvl w:val="0"/>
          <w:numId w:val="1"/>
        </w:numPr>
        <w:spacing w:line="360" w:lineRule="auto"/>
        <w:ind w:left="0" w:firstLine="1440"/>
      </w:pPr>
      <w:r>
        <w:t>Complainant, Donald Hale, resides at 12 Grouse Drive, Brentwood, New York 11717</w:t>
      </w:r>
      <w:r w:rsidR="00742FBF">
        <w:t xml:space="preserve"> (N.T. 8-9).</w:t>
      </w:r>
    </w:p>
    <w:p w:rsidR="00742FBF" w:rsidRDefault="00742FBF" w:rsidP="00742FBF">
      <w:pPr>
        <w:pStyle w:val="ListParagraph"/>
        <w:spacing w:line="360" w:lineRule="auto"/>
        <w:ind w:left="1440"/>
      </w:pPr>
    </w:p>
    <w:p w:rsidR="00742FBF" w:rsidRDefault="00742FBF" w:rsidP="00D34D43">
      <w:pPr>
        <w:pStyle w:val="ListParagraph"/>
        <w:numPr>
          <w:ilvl w:val="0"/>
          <w:numId w:val="1"/>
        </w:numPr>
        <w:spacing w:line="360" w:lineRule="auto"/>
        <w:ind w:left="0" w:firstLine="1440"/>
      </w:pPr>
      <w:r>
        <w:t xml:space="preserve">Complainant and his wife, Pauline Hale, </w:t>
      </w:r>
      <w:r w:rsidR="004064A6">
        <w:t xml:space="preserve">have </w:t>
      </w:r>
      <w:r>
        <w:t>own</w:t>
      </w:r>
      <w:r w:rsidR="004064A6">
        <w:t>ed</w:t>
      </w:r>
      <w:r>
        <w:t xml:space="preserve"> property at 1739</w:t>
      </w:r>
      <w:r w:rsidR="004064A6">
        <w:t> </w:t>
      </w:r>
      <w:r>
        <w:t xml:space="preserve">Sanderson Avenue, Scranton, Pennsylvania 18509 </w:t>
      </w:r>
      <w:r w:rsidR="004064A6">
        <w:t xml:space="preserve">for the last five years </w:t>
      </w:r>
      <w:r>
        <w:t>(N.T. 9).</w:t>
      </w:r>
    </w:p>
    <w:p w:rsidR="0070140A" w:rsidRDefault="0070140A" w:rsidP="0070140A">
      <w:pPr>
        <w:pStyle w:val="ListParagraph"/>
      </w:pPr>
    </w:p>
    <w:p w:rsidR="0070140A" w:rsidRDefault="004064A6" w:rsidP="00D34D43">
      <w:pPr>
        <w:pStyle w:val="ListParagraph"/>
        <w:numPr>
          <w:ilvl w:val="0"/>
          <w:numId w:val="1"/>
        </w:numPr>
        <w:spacing w:line="360" w:lineRule="auto"/>
        <w:ind w:left="0" w:firstLine="1440"/>
      </w:pPr>
      <w:r>
        <w:t xml:space="preserve">1739 Sanderson Avenue consists of two apartment units, </w:t>
      </w:r>
      <w:r>
        <w:rPr>
          <w:i/>
        </w:rPr>
        <w:t>i.e.</w:t>
      </w:r>
      <w:r>
        <w:t>, a first floor and a second floor apartment (N.T. 10).</w:t>
      </w:r>
    </w:p>
    <w:p w:rsidR="004064A6" w:rsidRDefault="004064A6" w:rsidP="004064A6">
      <w:pPr>
        <w:pStyle w:val="ListParagraph"/>
      </w:pPr>
    </w:p>
    <w:p w:rsidR="004064A6" w:rsidRDefault="004064A6" w:rsidP="00D34D43">
      <w:pPr>
        <w:pStyle w:val="ListParagraph"/>
        <w:numPr>
          <w:ilvl w:val="0"/>
          <w:numId w:val="1"/>
        </w:numPr>
        <w:spacing w:line="360" w:lineRule="auto"/>
        <w:ind w:left="0" w:firstLine="1440"/>
      </w:pPr>
      <w:r>
        <w:t>The first floor apartment consists of a living room, dining room, kitchen and bedroom; the second floor apartment has a kitchen and two bedrooms (N.T. 10-11).</w:t>
      </w:r>
    </w:p>
    <w:p w:rsidR="004064A6" w:rsidRDefault="004064A6" w:rsidP="004064A6">
      <w:pPr>
        <w:pStyle w:val="ListParagraph"/>
      </w:pPr>
    </w:p>
    <w:p w:rsidR="004064A6" w:rsidRDefault="004064A6" w:rsidP="00D34D43">
      <w:pPr>
        <w:pStyle w:val="ListParagraph"/>
        <w:numPr>
          <w:ilvl w:val="0"/>
          <w:numId w:val="1"/>
        </w:numPr>
        <w:spacing w:line="360" w:lineRule="auto"/>
        <w:ind w:left="0" w:firstLine="1440"/>
      </w:pPr>
      <w:r>
        <w:t xml:space="preserve">Complainant’s wife has lived in the </w:t>
      </w:r>
      <w:r w:rsidR="004D517B">
        <w:t>first floor apartment for the past year</w:t>
      </w:r>
      <w:r w:rsidR="00CD2857">
        <w:t>; another tenant occupies the second floor unit</w:t>
      </w:r>
      <w:r w:rsidR="004D517B">
        <w:t xml:space="preserve"> (N.T. 10-11).</w:t>
      </w:r>
    </w:p>
    <w:p w:rsidR="00742FBF" w:rsidRDefault="00742FBF" w:rsidP="00742FBF">
      <w:pPr>
        <w:pStyle w:val="ListParagraph"/>
      </w:pPr>
    </w:p>
    <w:p w:rsidR="00742FBF" w:rsidRDefault="00742FBF" w:rsidP="00D34D43">
      <w:pPr>
        <w:pStyle w:val="ListParagraph"/>
        <w:numPr>
          <w:ilvl w:val="0"/>
          <w:numId w:val="1"/>
        </w:numPr>
        <w:spacing w:line="360" w:lineRule="auto"/>
        <w:ind w:left="0" w:firstLine="1440"/>
      </w:pPr>
      <w:r>
        <w:t xml:space="preserve">Respondent, </w:t>
      </w:r>
      <w:r w:rsidR="0070140A">
        <w:t xml:space="preserve">UGI Penn Natural Gas, Inc., provides natural gas service </w:t>
      </w:r>
      <w:r w:rsidR="004D517B">
        <w:t>to 1739 Sanderson Avenue through two meters, which are located outside the building (N.T. 11).</w:t>
      </w:r>
    </w:p>
    <w:p w:rsidR="004D517B" w:rsidRDefault="004D517B" w:rsidP="004D517B">
      <w:pPr>
        <w:pStyle w:val="ListParagraph"/>
      </w:pPr>
    </w:p>
    <w:p w:rsidR="004D517B" w:rsidRDefault="00CD2857" w:rsidP="00D34D43">
      <w:pPr>
        <w:pStyle w:val="ListParagraph"/>
        <w:numPr>
          <w:ilvl w:val="0"/>
          <w:numId w:val="1"/>
        </w:numPr>
        <w:spacing w:line="360" w:lineRule="auto"/>
        <w:ind w:left="0" w:firstLine="1440"/>
      </w:pPr>
      <w:r>
        <w:t>On January 27, 2006,</w:t>
      </w:r>
      <w:r w:rsidR="000B3628">
        <w:t xml:space="preserve"> Respondent’s predecessor, PNG Energy, a Division of Southern Union Company, found after an investigation that a foreign load situation had been corrected at 1739 Sanderson Avenue (N.T. 12).</w:t>
      </w:r>
    </w:p>
    <w:p w:rsidR="000B3628" w:rsidRDefault="000B3628" w:rsidP="000B3628">
      <w:pPr>
        <w:pStyle w:val="ListParagraph"/>
      </w:pPr>
    </w:p>
    <w:p w:rsidR="000B3628" w:rsidRDefault="000B3628" w:rsidP="00D34D43">
      <w:pPr>
        <w:pStyle w:val="ListParagraph"/>
        <w:numPr>
          <w:ilvl w:val="0"/>
          <w:numId w:val="1"/>
        </w:numPr>
        <w:spacing w:line="360" w:lineRule="auto"/>
        <w:ind w:left="0" w:firstLine="1440"/>
      </w:pPr>
      <w:r>
        <w:t>On April 19, 2010, the first</w:t>
      </w:r>
      <w:r w:rsidR="00287629">
        <w:t xml:space="preserve"> floor</w:t>
      </w:r>
      <w:r>
        <w:t xml:space="preserve"> tenant at 1739 Sanderson Avenue, complained to Respondent about a foreign load problem on her gas meter (N.T. 12-13; UGI PNG Exh. </w:t>
      </w:r>
      <w:r w:rsidR="0001437D">
        <w:t>II</w:t>
      </w:r>
      <w:r>
        <w:t>).</w:t>
      </w:r>
    </w:p>
    <w:p w:rsidR="004B1F24" w:rsidRDefault="004B1F24" w:rsidP="004B1F24">
      <w:pPr>
        <w:pStyle w:val="ListParagraph"/>
      </w:pPr>
    </w:p>
    <w:p w:rsidR="004B1F24" w:rsidRDefault="004B1F24" w:rsidP="00D34D43">
      <w:pPr>
        <w:pStyle w:val="ListParagraph"/>
        <w:numPr>
          <w:ilvl w:val="0"/>
          <w:numId w:val="1"/>
        </w:numPr>
        <w:spacing w:line="360" w:lineRule="auto"/>
        <w:ind w:left="0" w:firstLine="1440"/>
      </w:pPr>
      <w:r>
        <w:t>In response to the tenant’s complaint, Respondent dispatched one of its service technicians to 1739 Sanderson Avenue on April 21, 2010 to trace the gas lines in the house to determine if a foreign load existed (N.T. 30; UGI PNG Exhs. II &amp; III).</w:t>
      </w:r>
    </w:p>
    <w:p w:rsidR="0001437D" w:rsidRDefault="0001437D" w:rsidP="0001437D">
      <w:pPr>
        <w:pStyle w:val="ListParagraph"/>
      </w:pPr>
    </w:p>
    <w:p w:rsidR="0001437D" w:rsidRDefault="0001437D" w:rsidP="00D34D43">
      <w:pPr>
        <w:pStyle w:val="ListParagraph"/>
        <w:numPr>
          <w:ilvl w:val="0"/>
          <w:numId w:val="1"/>
        </w:numPr>
        <w:spacing w:line="360" w:lineRule="auto"/>
        <w:ind w:left="0" w:firstLine="1440"/>
      </w:pPr>
      <w:r>
        <w:t>On April 21, 2010, Respondent’s technician found that a gas-fired water heater on the first floor was also furnishing hot water to the second floor apartment, causing a foreign load situation (N.T. 12-13</w:t>
      </w:r>
      <w:r w:rsidR="00BF12E9">
        <w:t>, 30-32</w:t>
      </w:r>
      <w:r>
        <w:t>; UGI PNG Exhs. II &amp; III).</w:t>
      </w:r>
    </w:p>
    <w:p w:rsidR="00287629" w:rsidRDefault="00287629" w:rsidP="00287629">
      <w:pPr>
        <w:pStyle w:val="ListParagraph"/>
        <w:spacing w:line="360" w:lineRule="auto"/>
        <w:ind w:left="1440"/>
      </w:pPr>
    </w:p>
    <w:p w:rsidR="0001437D" w:rsidRDefault="00EC5A3A" w:rsidP="00D34D43">
      <w:pPr>
        <w:pStyle w:val="ListParagraph"/>
        <w:numPr>
          <w:ilvl w:val="0"/>
          <w:numId w:val="1"/>
        </w:numPr>
        <w:spacing w:line="360" w:lineRule="auto"/>
        <w:ind w:left="0" w:firstLine="1440"/>
      </w:pPr>
      <w:r>
        <w:t xml:space="preserve">Upon finding that a foreign load situation existed at 1739 Sanderson Avenue, </w:t>
      </w:r>
      <w:r w:rsidR="00900298">
        <w:t xml:space="preserve">Respondent placed the entire account balance of </w:t>
      </w:r>
      <w:r w:rsidR="0073389E">
        <w:t>$1,591.98</w:t>
      </w:r>
      <w:r w:rsidR="00900298">
        <w:t xml:space="preserve"> for the first floor apartment in Complainant’s name </w:t>
      </w:r>
      <w:r w:rsidR="00BF12E9">
        <w:t xml:space="preserve">as of </w:t>
      </w:r>
      <w:r w:rsidR="00C34A93">
        <w:t xml:space="preserve">April 21, 2010 </w:t>
      </w:r>
      <w:r w:rsidR="00900298">
        <w:t>(N.T. 13</w:t>
      </w:r>
      <w:r w:rsidR="0073389E">
        <w:t>, 25</w:t>
      </w:r>
      <w:r w:rsidR="00900298">
        <w:t>; UGI PNG Exhs. I &amp; II).</w:t>
      </w:r>
    </w:p>
    <w:p w:rsidR="00900298" w:rsidRDefault="00900298" w:rsidP="00900298">
      <w:pPr>
        <w:pStyle w:val="ListParagraph"/>
      </w:pPr>
    </w:p>
    <w:p w:rsidR="00900298" w:rsidRDefault="00EC5A3A" w:rsidP="00D34D43">
      <w:pPr>
        <w:pStyle w:val="ListParagraph"/>
        <w:numPr>
          <w:ilvl w:val="0"/>
          <w:numId w:val="1"/>
        </w:numPr>
        <w:spacing w:line="360" w:lineRule="auto"/>
        <w:ind w:left="0" w:firstLine="1440"/>
      </w:pPr>
      <w:r>
        <w:t xml:space="preserve">Complainant does not deny that a foreign load situation now exists at 1739 Sanderson Avenue, but he insists that he corrected the problem </w:t>
      </w:r>
      <w:r w:rsidR="00BF12E9">
        <w:t xml:space="preserve">by </w:t>
      </w:r>
      <w:r>
        <w:t>install</w:t>
      </w:r>
      <w:r w:rsidR="00BF12E9">
        <w:t>ing</w:t>
      </w:r>
      <w:r>
        <w:t xml:space="preserve"> a second water heater for the second floor apartment in 2006 that the previous gas company approved (N.T. 14</w:t>
      </w:r>
      <w:r w:rsidR="00BF12E9">
        <w:noBreakHyphen/>
      </w:r>
      <w:r w:rsidR="00FA45C2">
        <w:t>18</w:t>
      </w:r>
      <w:r>
        <w:t>).</w:t>
      </w:r>
    </w:p>
    <w:p w:rsidR="00FA45C2" w:rsidRDefault="00FA45C2" w:rsidP="00FA45C2">
      <w:pPr>
        <w:pStyle w:val="ListParagraph"/>
      </w:pPr>
    </w:p>
    <w:p w:rsidR="00FA45C2" w:rsidRDefault="00FA45C2" w:rsidP="00D34D43">
      <w:pPr>
        <w:pStyle w:val="ListParagraph"/>
        <w:numPr>
          <w:ilvl w:val="0"/>
          <w:numId w:val="1"/>
        </w:numPr>
        <w:spacing w:line="360" w:lineRule="auto"/>
        <w:ind w:left="0" w:firstLine="1440"/>
      </w:pPr>
      <w:r>
        <w:t>Complainant further insists that nothing has changed at 1739 Sanderson Avenue between 2006 when he installed a second water heater and the present to warrant</w:t>
      </w:r>
      <w:r w:rsidR="009D1316">
        <w:t xml:space="preserve"> Respondent placing the gas bill in his name (N.T. 21-22).</w:t>
      </w:r>
    </w:p>
    <w:p w:rsidR="009D1316" w:rsidRDefault="009D1316" w:rsidP="009D1316">
      <w:pPr>
        <w:pStyle w:val="ListParagraph"/>
      </w:pPr>
    </w:p>
    <w:p w:rsidR="009D1316" w:rsidRDefault="0073389E" w:rsidP="00D34D43">
      <w:pPr>
        <w:pStyle w:val="ListParagraph"/>
        <w:numPr>
          <w:ilvl w:val="0"/>
          <w:numId w:val="1"/>
        </w:numPr>
        <w:spacing w:line="360" w:lineRule="auto"/>
        <w:ind w:left="0" w:firstLine="1440"/>
      </w:pPr>
      <w:r>
        <w:t>As of the date of the hearing, Complainant owes Respondent $2,241.79 on this account (N.T. 23-25</w:t>
      </w:r>
      <w:r w:rsidR="0039257D">
        <w:t>, 27-28</w:t>
      </w:r>
      <w:r>
        <w:t>; UGI PNG Exh. I, as amended at the hearing).</w:t>
      </w:r>
    </w:p>
    <w:p w:rsidR="0046531E" w:rsidRDefault="0046531E" w:rsidP="0046531E">
      <w:pPr>
        <w:pStyle w:val="ListParagraph"/>
      </w:pPr>
    </w:p>
    <w:p w:rsidR="0046531E" w:rsidRDefault="0046531E" w:rsidP="0046531E">
      <w:pPr>
        <w:spacing w:line="360" w:lineRule="auto"/>
        <w:jc w:val="center"/>
      </w:pPr>
      <w:r>
        <w:rPr>
          <w:u w:val="single"/>
        </w:rPr>
        <w:t>DISCUSSION</w:t>
      </w:r>
    </w:p>
    <w:p w:rsidR="0046531E" w:rsidRDefault="0046531E" w:rsidP="0046531E">
      <w:pPr>
        <w:spacing w:line="360" w:lineRule="auto"/>
      </w:pPr>
    </w:p>
    <w:p w:rsidR="0046531E" w:rsidRDefault="00F03E4B" w:rsidP="0046531E">
      <w:pPr>
        <w:spacing w:line="360" w:lineRule="auto"/>
      </w:pPr>
      <w:r>
        <w:tab/>
      </w:r>
      <w:r>
        <w:tab/>
      </w:r>
      <w:r w:rsidR="00947903" w:rsidRPr="00947903">
        <w:t>Section 701 of the Public Utility Code, 66 Pa.</w:t>
      </w:r>
      <w:r w:rsidR="00947903">
        <w:t xml:space="preserve"> </w:t>
      </w:r>
      <w:r w:rsidR="00947903" w:rsidRPr="00947903">
        <w:t>C.S. §701, provides that “…any person…may complain in writing, setting forth any act or thing done or omitted to be done by any public utility in violation, or claimed violation, of any law which the commission has jurisdiction to administer, or of any regulation or order of the commission.”</w:t>
      </w:r>
      <w:r w:rsidR="00947903">
        <w:t xml:space="preserve">  Here, </w:t>
      </w:r>
      <w:r>
        <w:t xml:space="preserve">Complainant challenges Respondent’s action of holding him responsible for the balance of an account for natural gas </w:t>
      </w:r>
      <w:r w:rsidR="001010DC">
        <w:t xml:space="preserve">service </w:t>
      </w:r>
      <w:r>
        <w:t>for the first floor tenant at 1739 Sanderson Avenue after finding that a foreign load situation existed there.  He insists that he corrected this problem in 2006 with the approval of the previous gas company and he wishes to be relieved</w:t>
      </w:r>
      <w:r w:rsidR="001010DC">
        <w:t xml:space="preserve"> of this responsibility.  As the party seeking </w:t>
      </w:r>
      <w:r w:rsidR="00947903">
        <w:t xml:space="preserve">affirmative </w:t>
      </w:r>
      <w:r w:rsidR="001010DC">
        <w:t>relief from this Commission, Complainant bears the burden of proof.  66 Pa. C.S. §332(a).</w:t>
      </w:r>
    </w:p>
    <w:p w:rsidR="001010DC" w:rsidRDefault="001010DC" w:rsidP="0046531E">
      <w:pPr>
        <w:spacing w:line="360" w:lineRule="auto"/>
      </w:pPr>
    </w:p>
    <w:p w:rsidR="00D42114" w:rsidRPr="000D1809" w:rsidRDefault="00D42114" w:rsidP="00D42114">
      <w:pPr>
        <w:spacing w:line="360" w:lineRule="auto"/>
      </w:pPr>
      <w:r>
        <w:tab/>
      </w:r>
      <w:r>
        <w:tab/>
      </w:r>
      <w:r w:rsidRPr="000D1809">
        <w:t xml:space="preserve">The term “burden of proof” means a duty to establish a fact by a preponderance of the evidence.  </w:t>
      </w:r>
      <w:proofErr w:type="gramStart"/>
      <w:r w:rsidRPr="000D1809">
        <w:rPr>
          <w:u w:val="single"/>
        </w:rPr>
        <w:t>Se-Ling Hosiery v. Mar</w:t>
      </w:r>
      <w:r>
        <w:rPr>
          <w:u w:val="single"/>
        </w:rPr>
        <w:t>g</w:t>
      </w:r>
      <w:r w:rsidRPr="000D1809">
        <w:rPr>
          <w:u w:val="single"/>
        </w:rPr>
        <w:t>ulies</w:t>
      </w:r>
      <w:r w:rsidRPr="000D1809">
        <w:t>, 364 Pa. 45, 70 A.2d 854 (195</w:t>
      </w:r>
      <w:r w:rsidR="00287629">
        <w:t>0</w:t>
      </w:r>
      <w:r w:rsidRPr="000D1809">
        <w:t xml:space="preserve">); and </w:t>
      </w:r>
      <w:r w:rsidRPr="000D1809">
        <w:rPr>
          <w:u w:val="single"/>
        </w:rPr>
        <w:t>Feinstein v. Philadelphia Suburban Water Company</w:t>
      </w:r>
      <w:r w:rsidRPr="000D1809">
        <w:t>, 50 Pa. P.U.C. 300 (1976).</w:t>
      </w:r>
      <w:proofErr w:type="gramEnd"/>
      <w:r w:rsidRPr="000D1809">
        <w:t xml:space="preserve">  “Preponderance of the </w:t>
      </w:r>
      <w:r w:rsidRPr="000D1809">
        <w:lastRenderedPageBreak/>
        <w:t xml:space="preserve">evidence” means one party must present evidence that is more convincing, by even the smallest amount, than the evidence presented by the other party.  </w:t>
      </w:r>
      <w:smartTag w:uri="urn:schemas-microsoft-com:office:smarttags" w:element="place">
        <w:smartTag w:uri="urn:schemas-microsoft-com:office:smarttags" w:element="State">
          <w:r w:rsidRPr="000D1809">
            <w:rPr>
              <w:i/>
            </w:rPr>
            <w:t>Id</w:t>
          </w:r>
          <w:r w:rsidRPr="000D1809">
            <w:t>.</w:t>
          </w:r>
        </w:smartTag>
      </w:smartTag>
      <w:r w:rsidRPr="000D1809">
        <w:t xml:space="preserve">  Accordingly, one must review the record in this case to determine wheth</w:t>
      </w:r>
      <w:r>
        <w:t>er Complainant has satisfied his</w:t>
      </w:r>
      <w:r w:rsidRPr="000D1809">
        <w:t xml:space="preserve">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Pr="000D1809">
        <w:rPr>
          <w:u w:val="single"/>
        </w:rPr>
        <w:t>Morissey v. Pa. Dept. of Highways</w:t>
      </w:r>
      <w:r w:rsidRPr="000D1809">
        <w:t xml:space="preserve">, 424 Pa. 87, 225 A.2d 895 (1967); and </w:t>
      </w:r>
      <w:r w:rsidRPr="000D1809">
        <w:rPr>
          <w:u w:val="single"/>
        </w:rPr>
        <w:t>Burleson v. Pa. P.U.C.</w:t>
      </w:r>
      <w:r w:rsidRPr="000D1809">
        <w:t>, 443 A.2d 1373 (Pa. Cmwlth. 1982).</w:t>
      </w:r>
    </w:p>
    <w:p w:rsidR="00D42114" w:rsidRPr="000D1809" w:rsidRDefault="00D42114" w:rsidP="00D42114">
      <w:pPr>
        <w:spacing w:line="360" w:lineRule="auto"/>
      </w:pPr>
    </w:p>
    <w:p w:rsidR="00D42114" w:rsidRPr="000D1809" w:rsidRDefault="00D42114" w:rsidP="00D42114">
      <w:pPr>
        <w:spacing w:line="360" w:lineRule="auto"/>
      </w:pPr>
      <w:r w:rsidRPr="000D1809">
        <w:tab/>
      </w:r>
      <w:r w:rsidRPr="000D1809">
        <w:tab/>
        <w:t xml:space="preserve">Furthermore, one must exercise care to ensure substantial evidence in the record supports the decision of the Commission.  </w:t>
      </w:r>
      <w:r w:rsidRPr="000D1809">
        <w:rPr>
          <w:i/>
        </w:rPr>
        <w:t>See</w:t>
      </w:r>
      <w:r w:rsidRPr="000D1809">
        <w:t xml:space="preserve">, </w:t>
      </w:r>
      <w:r w:rsidRPr="000D1809">
        <w:rPr>
          <w:i/>
        </w:rPr>
        <w:t>e.g.</w:t>
      </w:r>
      <w:r w:rsidRPr="000D1809">
        <w:t xml:space="preserve">, Section 704 of the Administrative Agency Law, 2 Pa. C.S. §704; and </w:t>
      </w:r>
      <w:r w:rsidRPr="000D1809">
        <w:rPr>
          <w:u w:val="single"/>
        </w:rPr>
        <w:t>Yellow Cab Company v. Pa. P.U.C.</w:t>
      </w:r>
      <w:r w:rsidRPr="000D1809">
        <w:t xml:space="preserve">, 524 A.2d 1069 (Pa. Cmwlth. 1987).  “Substantial evidence” means such relevant evidence that a reasonable mind may accept as adequate to support a conclusion.  </w:t>
      </w:r>
      <w:smartTag w:uri="urn:schemas-microsoft-com:office:smarttags" w:element="City">
        <w:r w:rsidRPr="000D1809">
          <w:rPr>
            <w:u w:val="single"/>
          </w:rPr>
          <w:t>Philadelphia</w:t>
        </w:r>
      </w:smartTag>
      <w:r w:rsidRPr="000D1809">
        <w:rPr>
          <w:u w:val="single"/>
        </w:rPr>
        <w:t xml:space="preserve"> Gas Works v. </w:t>
      </w:r>
      <w:smartTag w:uri="urn:schemas-microsoft-com:office:smarttags" w:element="State">
        <w:r w:rsidRPr="000D1809">
          <w:rPr>
            <w:u w:val="single"/>
          </w:rPr>
          <w:t>Pa.</w:t>
        </w:r>
      </w:smartTag>
      <w:r w:rsidRPr="000D1809">
        <w:rPr>
          <w:u w:val="single"/>
        </w:rPr>
        <w:t xml:space="preserve"> P.U.C.</w:t>
      </w:r>
      <w:r w:rsidRPr="000D1809">
        <w:t>, 898 A.2d 671 (</w:t>
      </w:r>
      <w:smartTag w:uri="urn:schemas-microsoft-com:office:smarttags" w:element="place">
        <w:smartTag w:uri="urn:schemas-microsoft-com:office:smarttags" w:element="State">
          <w:r w:rsidRPr="000D1809">
            <w:t>Pa.</w:t>
          </w:r>
        </w:smartTag>
      </w:smartTag>
      <w:r w:rsidRPr="000D1809">
        <w:t xml:space="preserve"> Cmwlth. 2006).  The pertinent inquiry is whether substantial evidence exists to support the Commission’s findings.  </w:t>
      </w:r>
      <w:r w:rsidRPr="000D1809">
        <w:rPr>
          <w:u w:val="single"/>
        </w:rPr>
        <w:t>Elliot Co. v. Workers’ Comp. Appeal Bd. (Shipley)</w:t>
      </w:r>
      <w:r w:rsidRPr="000D1809">
        <w:t xml:space="preserve">, 785 A.2d 480 (Pa. Cmwlth. 2002).  More is required than a mere trace of evidence or a suspicion of the existence of a fact sought to be established.  </w:t>
      </w:r>
      <w:r w:rsidRPr="000D1809">
        <w:rPr>
          <w:u w:val="single"/>
        </w:rPr>
        <w:t>Norfolk &amp; Western Ry. Co. v. Pa. P.U.C.</w:t>
      </w:r>
      <w:r w:rsidRPr="000D1809">
        <w:t xml:space="preserve">, 489 Pa. 109, 413 A.2d 1037 (1980); </w:t>
      </w:r>
      <w:r w:rsidRPr="000D1809">
        <w:rPr>
          <w:u w:val="single"/>
        </w:rPr>
        <w:t>Erie Resistor Corp. v. Unemployment Comp. Bd. of Review</w:t>
      </w:r>
      <w:r w:rsidRPr="000D1809">
        <w:t xml:space="preserve">, 194 Pa. Superior Ct. 278, 166 A.2d 96 (1961); and </w:t>
      </w:r>
      <w:r w:rsidRPr="000D1809">
        <w:rPr>
          <w:u w:val="single"/>
        </w:rPr>
        <w:t>Murphy v. Pa. Dept. of Public Welfare, White Haven Center</w:t>
      </w:r>
      <w:r>
        <w:t>, 480 </w:t>
      </w:r>
      <w:r w:rsidRPr="000D1809">
        <w:t xml:space="preserve">A.2d 382 (Pa. Cmwlth. 1984).  In addition, a complainant, to establish a sufficient case against a utility and satisfy the burden of proof, must show the utility is responsible or accountable for the problem described in the complaint.  </w:t>
      </w:r>
      <w:r w:rsidRPr="000D1809">
        <w:rPr>
          <w:u w:val="single"/>
        </w:rPr>
        <w:t>Feinstein</w:t>
      </w:r>
      <w:r w:rsidRPr="000D1809">
        <w:t xml:space="preserve">, </w:t>
      </w:r>
      <w:r w:rsidRPr="000D1809">
        <w:rPr>
          <w:i/>
        </w:rPr>
        <w:t>supra</w:t>
      </w:r>
      <w:r w:rsidRPr="000D1809">
        <w:t>.</w:t>
      </w:r>
    </w:p>
    <w:p w:rsidR="001010DC" w:rsidRDefault="001010DC" w:rsidP="0046531E">
      <w:pPr>
        <w:spacing w:line="360" w:lineRule="auto"/>
      </w:pPr>
    </w:p>
    <w:p w:rsidR="00561F0E" w:rsidRPr="00561F0E" w:rsidRDefault="004A2067" w:rsidP="00561F0E">
      <w:pPr>
        <w:spacing w:line="360" w:lineRule="auto"/>
      </w:pPr>
      <w:r>
        <w:tab/>
      </w:r>
      <w:r>
        <w:tab/>
      </w:r>
      <w:r w:rsidR="00947903">
        <w:t>T</w:t>
      </w:r>
      <w:r>
        <w:t>he present case</w:t>
      </w:r>
      <w:r w:rsidR="00947903">
        <w:t xml:space="preserve"> raises but a single issue, </w:t>
      </w:r>
      <w:r w:rsidR="00947903">
        <w:rPr>
          <w:i/>
        </w:rPr>
        <w:t>i.e.</w:t>
      </w:r>
      <w:r w:rsidR="00947903">
        <w:t>, whether Respondent utility acted properly in placing the balance of the account for natural gas service for the first floor tenant at 1739 Sanderson Avenue</w:t>
      </w:r>
      <w:r w:rsidR="00561F0E">
        <w:t xml:space="preserve"> in Complainant’s name.  In doing so, Respondent followed Section </w:t>
      </w:r>
      <w:r w:rsidR="00561F0E" w:rsidRPr="00561F0E">
        <w:t>1529.1(b) of the Public Utility Code, 66 Pa.</w:t>
      </w:r>
      <w:r w:rsidR="00073300">
        <w:t xml:space="preserve"> </w:t>
      </w:r>
      <w:r w:rsidR="00561F0E" w:rsidRPr="00561F0E">
        <w:t xml:space="preserve">C.S. §1529.1(b), </w:t>
      </w:r>
      <w:r w:rsidR="00561F0E">
        <w:t xml:space="preserve">which </w:t>
      </w:r>
      <w:r w:rsidR="00561F0E" w:rsidRPr="00561F0E">
        <w:t xml:space="preserve">provides in pertinent part that, “if the mobile home or residential building contains one or more dwelling units not individually metered, an affected public utility shall </w:t>
      </w:r>
      <w:r w:rsidR="00561F0E" w:rsidRPr="00561F0E">
        <w:rPr>
          <w:u w:val="single"/>
        </w:rPr>
        <w:t>forthwith</w:t>
      </w:r>
      <w:r w:rsidR="00561F0E" w:rsidRPr="00561F0E">
        <w:t xml:space="preserve"> list the account for the premises in question in the name of the owner, and the owner shall thereafter be responsible for the payment for the utility services rendered thereunto.”  (Emphasis</w:t>
      </w:r>
      <w:r w:rsidR="00073300">
        <w:t xml:space="preserve"> added</w:t>
      </w:r>
      <w:r w:rsidR="00561F0E" w:rsidRPr="00561F0E">
        <w:t xml:space="preserve">.)  </w:t>
      </w:r>
      <w:r w:rsidR="00561F0E" w:rsidRPr="00073300">
        <w:rPr>
          <w:i/>
        </w:rPr>
        <w:t>See also</w:t>
      </w:r>
      <w:r w:rsidR="00561F0E" w:rsidRPr="00561F0E">
        <w:t xml:space="preserve">, </w:t>
      </w:r>
      <w:r w:rsidR="00561F0E" w:rsidRPr="00561F0E">
        <w:rPr>
          <w:u w:val="single"/>
        </w:rPr>
        <w:t xml:space="preserve">Del Vecchio v. PPL </w:t>
      </w:r>
      <w:r w:rsidR="00561F0E" w:rsidRPr="00561F0E">
        <w:rPr>
          <w:u w:val="single"/>
        </w:rPr>
        <w:lastRenderedPageBreak/>
        <w:t>Electric Utilities Corp</w:t>
      </w:r>
      <w:r w:rsidR="00561F0E" w:rsidRPr="00561F0E">
        <w:t xml:space="preserve">., </w:t>
      </w:r>
      <w:r w:rsidR="00073300">
        <w:t xml:space="preserve">Docket No. </w:t>
      </w:r>
      <w:r w:rsidR="00561F0E" w:rsidRPr="00561F0E">
        <w:t>Z-01464793 (</w:t>
      </w:r>
      <w:r w:rsidR="00073300">
        <w:t xml:space="preserve">Order entered </w:t>
      </w:r>
      <w:r w:rsidR="00561F0E" w:rsidRPr="00561F0E">
        <w:t xml:space="preserve">September 13, 2005); </w:t>
      </w:r>
      <w:r w:rsidR="00561F0E" w:rsidRPr="00561F0E">
        <w:rPr>
          <w:u w:val="single"/>
        </w:rPr>
        <w:t>Afshari v. PPL</w:t>
      </w:r>
      <w:r w:rsidR="00561F0E" w:rsidRPr="00F275A1">
        <w:rPr>
          <w:u w:val="single"/>
        </w:rPr>
        <w:t xml:space="preserve"> </w:t>
      </w:r>
      <w:r w:rsidR="00561F0E" w:rsidRPr="00561F0E">
        <w:rPr>
          <w:u w:val="single"/>
        </w:rPr>
        <w:t>Electric Utilities Corporation</w:t>
      </w:r>
      <w:r w:rsidR="00561F0E" w:rsidRPr="00561F0E">
        <w:t xml:space="preserve">, </w:t>
      </w:r>
      <w:r w:rsidR="00073300">
        <w:t xml:space="preserve">Docket No. </w:t>
      </w:r>
      <w:r w:rsidR="00561F0E" w:rsidRPr="00561F0E">
        <w:t>C-20055547 (</w:t>
      </w:r>
      <w:r w:rsidR="00073300">
        <w:t xml:space="preserve">Order entered </w:t>
      </w:r>
      <w:r w:rsidR="00561F0E" w:rsidRPr="00561F0E">
        <w:t xml:space="preserve">August 15, 2007).  In </w:t>
      </w:r>
      <w:r w:rsidR="00561F0E" w:rsidRPr="00561F0E">
        <w:rPr>
          <w:u w:val="single"/>
        </w:rPr>
        <w:t>Del Vecchio</w:t>
      </w:r>
      <w:r w:rsidR="00561F0E" w:rsidRPr="00561F0E">
        <w:t xml:space="preserve">, the Commission found </w:t>
      </w:r>
      <w:r w:rsidR="00073300">
        <w:t xml:space="preserve">the utility </w:t>
      </w:r>
      <w:r w:rsidR="00561F0E" w:rsidRPr="00561F0E">
        <w:t>violat</w:t>
      </w:r>
      <w:r w:rsidR="00073300">
        <w:t>ed</w:t>
      </w:r>
      <w:r w:rsidR="00561F0E" w:rsidRPr="00561F0E">
        <w:t xml:space="preserve"> 66 Pa.</w:t>
      </w:r>
      <w:r w:rsidR="00073300">
        <w:t xml:space="preserve"> </w:t>
      </w:r>
      <w:r w:rsidR="00561F0E" w:rsidRPr="00561F0E">
        <w:t>C.S. §1529.1</w:t>
      </w:r>
      <w:r w:rsidR="00073300">
        <w:t>,</w:t>
      </w:r>
      <w:r w:rsidR="00561F0E" w:rsidRPr="00561F0E">
        <w:t xml:space="preserve"> because it failed to transfer complainant’s electric account to the landlord when it found foreign load on complainant’s meter.</w:t>
      </w:r>
    </w:p>
    <w:p w:rsidR="004A2067" w:rsidRDefault="004A2067" w:rsidP="0046531E">
      <w:pPr>
        <w:spacing w:line="360" w:lineRule="auto"/>
      </w:pPr>
    </w:p>
    <w:p w:rsidR="00F917AE" w:rsidRDefault="00F917AE" w:rsidP="0046531E">
      <w:pPr>
        <w:spacing w:line="360" w:lineRule="auto"/>
      </w:pPr>
      <w:r>
        <w:tab/>
      </w:r>
      <w:r>
        <w:tab/>
        <w:t xml:space="preserve">Hence, </w:t>
      </w:r>
      <w:r w:rsidRPr="00F917AE">
        <w:t>a</w:t>
      </w:r>
      <w:r w:rsidR="004349A8">
        <w:t xml:space="preserve"> plain reading of 66 Pa. C.S. §</w:t>
      </w:r>
      <w:r w:rsidRPr="00F917AE">
        <w:t xml:space="preserve">1529.1 holds </w:t>
      </w:r>
      <w:r>
        <w:t xml:space="preserve">a </w:t>
      </w:r>
      <w:r w:rsidRPr="00F917AE">
        <w:t xml:space="preserve">property owner financially responsible for a tenant’s entire account, once foreign load is verified on the tenant’s </w:t>
      </w:r>
      <w:r w:rsidR="0096087B">
        <w:t xml:space="preserve">utility </w:t>
      </w:r>
      <w:r w:rsidRPr="00F917AE">
        <w:t>service.</w:t>
      </w:r>
      <w:r w:rsidR="00B52B10">
        <w:t xml:space="preserve"> </w:t>
      </w:r>
      <w:r w:rsidR="00B52B10" w:rsidRPr="00F275A1">
        <w:t xml:space="preserve"> </w:t>
      </w:r>
      <w:r w:rsidR="00B52B10" w:rsidRPr="00B52B10">
        <w:rPr>
          <w:u w:val="single"/>
        </w:rPr>
        <w:t>Santos v. Metropolitan Edison</w:t>
      </w:r>
      <w:r w:rsidR="00B52B10" w:rsidRPr="00B52B10">
        <w:t>, Docket No. C-00967757 (Order entered August 7, 1997)</w:t>
      </w:r>
      <w:r w:rsidR="00B52B10">
        <w:t xml:space="preserve">.  </w:t>
      </w:r>
      <w:r w:rsidR="00B52B10" w:rsidRPr="00B52B10">
        <w:t xml:space="preserve">Upon finding foreign load, the utility </w:t>
      </w:r>
      <w:r w:rsidR="00B52B10">
        <w:t xml:space="preserve">must </w:t>
      </w:r>
      <w:r w:rsidR="00B52B10" w:rsidRPr="00B52B10">
        <w:t>list the a</w:t>
      </w:r>
      <w:r w:rsidR="00B52B10">
        <w:t>ccount, including any arrearage</w:t>
      </w:r>
      <w:r w:rsidR="00B52B10" w:rsidRPr="00B52B10">
        <w:t xml:space="preserve">, in the name of the landlord.  The landlord </w:t>
      </w:r>
      <w:r w:rsidR="00B52B10">
        <w:t xml:space="preserve">bears </w:t>
      </w:r>
      <w:r w:rsidR="00B52B10" w:rsidRPr="00B52B10">
        <w:t xml:space="preserve">the responsibility </w:t>
      </w:r>
      <w:r w:rsidR="00B52B10">
        <w:t xml:space="preserve">of </w:t>
      </w:r>
      <w:r w:rsidR="00B52B10" w:rsidRPr="00B52B10">
        <w:t>pay</w:t>
      </w:r>
      <w:r w:rsidR="00B52B10">
        <w:t>ing</w:t>
      </w:r>
      <w:r w:rsidR="00B52B10" w:rsidRPr="00B52B10">
        <w:t xml:space="preserve"> the utility bills until the foreign load </w:t>
      </w:r>
      <w:r w:rsidR="00B52B10">
        <w:t xml:space="preserve">is </w:t>
      </w:r>
      <w:r w:rsidR="00B52B10" w:rsidRPr="00B52B10">
        <w:t xml:space="preserve">corrected.  Once the foreign load </w:t>
      </w:r>
      <w:r w:rsidR="00B52B10">
        <w:t xml:space="preserve">is </w:t>
      </w:r>
      <w:r w:rsidR="00B52B10" w:rsidRPr="00B52B10">
        <w:t>corrected by the landlord and verified by the utility, the utility place</w:t>
      </w:r>
      <w:r w:rsidR="00B52B10">
        <w:t>s</w:t>
      </w:r>
      <w:r w:rsidR="00B52B10" w:rsidRPr="00B52B10">
        <w:t xml:space="preserve"> the account back in the name of the tenant.  However, the arrearage, if any, remain</w:t>
      </w:r>
      <w:r w:rsidR="00B52B10">
        <w:t>s</w:t>
      </w:r>
      <w:r w:rsidR="00B52B10" w:rsidRPr="00B52B10">
        <w:t xml:space="preserve"> with the landlord.  </w:t>
      </w:r>
      <w:r w:rsidR="0096087B" w:rsidRPr="0096087B">
        <w:rPr>
          <w:u w:val="single"/>
        </w:rPr>
        <w:t>Ace Check Cashing Inc. v. Philadelphia Gas Works</w:t>
      </w:r>
      <w:r w:rsidR="0096087B" w:rsidRPr="0096087B">
        <w:t>,</w:t>
      </w:r>
      <w:r w:rsidR="0096087B">
        <w:t xml:space="preserve"> Docket No. C-2008-2056428, (Order entered May 21, 2010).  </w:t>
      </w:r>
      <w:r w:rsidR="00B52B10" w:rsidRPr="00B52B10">
        <w:t xml:space="preserve">There </w:t>
      </w:r>
      <w:r w:rsidR="0096087B">
        <w:t xml:space="preserve">is </w:t>
      </w:r>
      <w:r w:rsidR="00B52B10" w:rsidRPr="00B52B10">
        <w:t xml:space="preserve">no </w:t>
      </w:r>
      <w:r w:rsidR="00B52B10" w:rsidRPr="00B52B10">
        <w:rPr>
          <w:i/>
        </w:rPr>
        <w:t>de minimus</w:t>
      </w:r>
      <w:r w:rsidR="00B52B10" w:rsidRPr="00B52B10">
        <w:t xml:space="preserve"> exception</w:t>
      </w:r>
      <w:r w:rsidR="0096087B">
        <w:t>;</w:t>
      </w:r>
      <w:r w:rsidR="00B52B10" w:rsidRPr="00B52B10">
        <w:t xml:space="preserve"> any dispute </w:t>
      </w:r>
      <w:r w:rsidR="0096087B">
        <w:t xml:space="preserve">between the landlord and tenant </w:t>
      </w:r>
      <w:r w:rsidR="00B52B10" w:rsidRPr="00B52B10">
        <w:t xml:space="preserve">regarding the financial responsibilities of the parties </w:t>
      </w:r>
      <w:r w:rsidR="0096087B">
        <w:t xml:space="preserve">is </w:t>
      </w:r>
      <w:r w:rsidR="00B52B10" w:rsidRPr="00B52B10">
        <w:t xml:space="preserve">a matter to be resolved in the Court of Common Pleas and </w:t>
      </w:r>
      <w:r w:rsidR="0096087B">
        <w:t xml:space="preserve">is </w:t>
      </w:r>
      <w:r w:rsidR="00B52B10" w:rsidRPr="00B52B10">
        <w:t>outside this Commission’s jurisdiction.</w:t>
      </w:r>
      <w:r w:rsidR="0096087B">
        <w:t xml:space="preserve">  </w:t>
      </w:r>
      <w:r w:rsidR="0096087B">
        <w:rPr>
          <w:i/>
        </w:rPr>
        <w:t>Id</w:t>
      </w:r>
      <w:r w:rsidR="0096087B">
        <w:t>.</w:t>
      </w:r>
    </w:p>
    <w:p w:rsidR="00D44799" w:rsidRDefault="00D44799" w:rsidP="0046531E">
      <w:pPr>
        <w:spacing w:line="360" w:lineRule="auto"/>
      </w:pPr>
    </w:p>
    <w:p w:rsidR="00D44799" w:rsidRDefault="00D44799" w:rsidP="0046531E">
      <w:pPr>
        <w:spacing w:line="360" w:lineRule="auto"/>
      </w:pPr>
      <w:r>
        <w:tab/>
      </w:r>
      <w:r>
        <w:tab/>
        <w:t>Complainant here</w:t>
      </w:r>
      <w:r w:rsidR="00CC1966">
        <w:t xml:space="preserve"> does not deny that foreign load existed on the first floor tenant’s meter on April 21, 2010</w:t>
      </w:r>
      <w:r w:rsidR="00F72AEA">
        <w:t xml:space="preserve"> (N.T. 14-18).  Indeed, Respondent’s technician found on that date that a gas-fired water heater on the first floor was also furnishing hot water to the second floor apartment (N.T. 12-13, 30-32; UGI PNG Exhs. II &amp; III).</w:t>
      </w:r>
      <w:r w:rsidR="00CC1966">
        <w:t xml:space="preserve"> </w:t>
      </w:r>
      <w:r w:rsidR="00F72AEA">
        <w:t xml:space="preserve"> B</w:t>
      </w:r>
      <w:r w:rsidR="00CC1966">
        <w:t>ut</w:t>
      </w:r>
      <w:r w:rsidR="00F72AEA">
        <w:t>,</w:t>
      </w:r>
      <w:r w:rsidR="00CC1966">
        <w:t xml:space="preserve"> </w:t>
      </w:r>
      <w:r w:rsidR="00F72AEA">
        <w:t xml:space="preserve">Complainant </w:t>
      </w:r>
      <w:r w:rsidR="00CC1966">
        <w:t>insists he corrected the problem by installing a second water heater for the second floor apartment in 2006 that the previous gas company approved (N.T. 14</w:t>
      </w:r>
      <w:r w:rsidR="00CC1966">
        <w:noBreakHyphen/>
        <w:t>18).</w:t>
      </w:r>
      <w:r w:rsidR="00D16FA1">
        <w:t xml:space="preserve">  He further insists that nothing has changed at 1739 Sanderson Avenue between 2006 when he installed a second water heater and the present to warrant Respondent placing the gas bill in his name (N.T. 21-22).</w:t>
      </w:r>
    </w:p>
    <w:p w:rsidR="00F72AEA" w:rsidRDefault="00F72AEA" w:rsidP="0046531E">
      <w:pPr>
        <w:spacing w:line="360" w:lineRule="auto"/>
      </w:pPr>
    </w:p>
    <w:p w:rsidR="00287629" w:rsidRDefault="00F72AEA" w:rsidP="0046531E">
      <w:pPr>
        <w:spacing w:line="360" w:lineRule="auto"/>
      </w:pPr>
      <w:r>
        <w:tab/>
      </w:r>
      <w:r>
        <w:tab/>
        <w:t xml:space="preserve">Whatever dispute Complainant may have with the previous gas company </w:t>
      </w:r>
      <w:r w:rsidR="00D16FA1">
        <w:t xml:space="preserve">finding that a foreign load situation had been corrected in 2006 is irrelevant to the present case.  </w:t>
      </w:r>
      <w:r w:rsidR="00D35115">
        <w:t xml:space="preserve">Respondent is not responsible for the actions of another corporate entity.  </w:t>
      </w:r>
      <w:r w:rsidR="00D16FA1">
        <w:t xml:space="preserve">The relevant inquiry </w:t>
      </w:r>
      <w:r w:rsidR="00D35115">
        <w:t xml:space="preserve">in </w:t>
      </w:r>
    </w:p>
    <w:p w:rsidR="00287629" w:rsidRDefault="00287629">
      <w:r>
        <w:br w:type="page"/>
      </w:r>
    </w:p>
    <w:p w:rsidR="00F72AEA" w:rsidRDefault="00D35115" w:rsidP="0046531E">
      <w:pPr>
        <w:spacing w:line="360" w:lineRule="auto"/>
      </w:pPr>
      <w:proofErr w:type="gramStart"/>
      <w:r>
        <w:lastRenderedPageBreak/>
        <w:t>this</w:t>
      </w:r>
      <w:proofErr w:type="gramEnd"/>
      <w:r>
        <w:t xml:space="preserve"> case </w:t>
      </w:r>
      <w:r w:rsidR="00D16FA1">
        <w:t>is whether foreign load existed on the first floor gas meter at this property on April 21, 2010.</w:t>
      </w:r>
      <w:r w:rsidR="00893CE7">
        <w:t xml:space="preserve">  </w:t>
      </w:r>
      <w:r>
        <w:t xml:space="preserve">Substantial evidence supports </w:t>
      </w:r>
      <w:r w:rsidR="00893CE7">
        <w:t>Respondent</w:t>
      </w:r>
      <w:r>
        <w:t>’s</w:t>
      </w:r>
      <w:r w:rsidR="00893CE7">
        <w:t xml:space="preserve"> f</w:t>
      </w:r>
      <w:r>
        <w:t>inding</w:t>
      </w:r>
      <w:r w:rsidR="00893CE7">
        <w:t xml:space="preserve"> that foreign load existed</w:t>
      </w:r>
      <w:r>
        <w:t xml:space="preserve"> on that date</w:t>
      </w:r>
      <w:r w:rsidR="00893CE7">
        <w:t>.  Complainant does not deny that it existed</w:t>
      </w:r>
      <w:r>
        <w:t xml:space="preserve"> nor does he present any evidence to the contrary</w:t>
      </w:r>
      <w:r w:rsidR="00893CE7">
        <w:t xml:space="preserve">.  </w:t>
      </w:r>
      <w:r w:rsidR="00EC7EEB">
        <w:t>Accordingly, t</w:t>
      </w:r>
      <w:r w:rsidR="00893CE7">
        <w:t xml:space="preserve">he law </w:t>
      </w:r>
      <w:r w:rsidR="009A40FB">
        <w:t>is clear</w:t>
      </w:r>
      <w:r w:rsidR="00EC7EEB">
        <w:t xml:space="preserve"> and</w:t>
      </w:r>
      <w:r w:rsidR="008E091B">
        <w:t xml:space="preserve"> the conclusion is inescapable that Respondent acted properly in placing the first floor tenant’s account in Complaina</w:t>
      </w:r>
      <w:r w:rsidR="00EC7EEB">
        <w:t>nt’s name pursuant to 66 Pa. C.S. §</w:t>
      </w:r>
      <w:r w:rsidR="00EC7EEB" w:rsidRPr="00F917AE">
        <w:t>1529.1</w:t>
      </w:r>
      <w:r w:rsidR="00EC7EEB">
        <w:t>.</w:t>
      </w:r>
    </w:p>
    <w:p w:rsidR="00EC7EEB" w:rsidRDefault="00EC7EEB" w:rsidP="0046531E">
      <w:pPr>
        <w:spacing w:line="360" w:lineRule="auto"/>
      </w:pPr>
      <w:r>
        <w:t>Therefore, the complaint must be denied.</w:t>
      </w:r>
    </w:p>
    <w:p w:rsidR="00EC7EEB" w:rsidRDefault="00EC7EEB" w:rsidP="0046531E">
      <w:pPr>
        <w:spacing w:line="360" w:lineRule="auto"/>
      </w:pPr>
    </w:p>
    <w:p w:rsidR="00EC7EEB" w:rsidRDefault="00EC7EEB" w:rsidP="00EC7EEB">
      <w:pPr>
        <w:spacing w:line="360" w:lineRule="auto"/>
        <w:jc w:val="center"/>
      </w:pPr>
      <w:r>
        <w:rPr>
          <w:u w:val="single"/>
        </w:rPr>
        <w:t>CONCLUSIONS OF LAW</w:t>
      </w:r>
    </w:p>
    <w:p w:rsidR="00EC7EEB" w:rsidRDefault="00EC7EEB" w:rsidP="00EC7EEB">
      <w:pPr>
        <w:spacing w:line="360" w:lineRule="auto"/>
      </w:pPr>
    </w:p>
    <w:p w:rsidR="00EC7EEB" w:rsidRDefault="009341CC" w:rsidP="00EC7EEB">
      <w:pPr>
        <w:pStyle w:val="ListParagraph"/>
        <w:numPr>
          <w:ilvl w:val="0"/>
          <w:numId w:val="2"/>
        </w:numPr>
        <w:spacing w:line="360" w:lineRule="auto"/>
        <w:ind w:left="0" w:firstLine="1440"/>
      </w:pPr>
      <w:r w:rsidRPr="009341CC">
        <w:t>The Commission has jurisdiction over the subject matter and the parties to this proceeding.  66 Pa. C.S. §701.</w:t>
      </w:r>
    </w:p>
    <w:p w:rsidR="009341CC" w:rsidRDefault="009341CC" w:rsidP="009341CC">
      <w:pPr>
        <w:pStyle w:val="ListParagraph"/>
        <w:spacing w:line="360" w:lineRule="auto"/>
        <w:ind w:left="1440"/>
      </w:pPr>
    </w:p>
    <w:p w:rsidR="009341CC" w:rsidRDefault="009341CC" w:rsidP="00EC7EEB">
      <w:pPr>
        <w:pStyle w:val="ListParagraph"/>
        <w:numPr>
          <w:ilvl w:val="0"/>
          <w:numId w:val="2"/>
        </w:numPr>
        <w:spacing w:line="360" w:lineRule="auto"/>
        <w:ind w:left="0" w:firstLine="1440"/>
      </w:pPr>
      <w:r>
        <w:t>A</w:t>
      </w:r>
      <w:r w:rsidRPr="009341CC">
        <w:t xml:space="preserve"> </w:t>
      </w:r>
      <w:r w:rsidRPr="00F917AE">
        <w:t xml:space="preserve">property owner </w:t>
      </w:r>
      <w:r>
        <w:t xml:space="preserve">is </w:t>
      </w:r>
      <w:r w:rsidRPr="00F917AE">
        <w:t xml:space="preserve">financially responsible for a tenant’s entire account, once foreign load is verified on the tenant’s </w:t>
      </w:r>
      <w:r>
        <w:t xml:space="preserve">utility </w:t>
      </w:r>
      <w:r w:rsidRPr="00F917AE">
        <w:t>service.</w:t>
      </w:r>
      <w:r w:rsidR="00C53EBD">
        <w:t xml:space="preserve">  </w:t>
      </w:r>
      <w:r w:rsidR="00C53EBD" w:rsidRPr="0096087B">
        <w:rPr>
          <w:u w:val="single"/>
        </w:rPr>
        <w:t>Ace Check Cashing Inc. v. Philadelphia Gas Works</w:t>
      </w:r>
      <w:r w:rsidR="00C53EBD" w:rsidRPr="0096087B">
        <w:t>,</w:t>
      </w:r>
      <w:r w:rsidR="00C53EBD">
        <w:t xml:space="preserve"> Docket No. C-2008-2056428, (Order entered May 21, 2010); 66 Pa. C.S. §</w:t>
      </w:r>
      <w:r w:rsidR="00C53EBD" w:rsidRPr="00F917AE">
        <w:t>1529.1</w:t>
      </w:r>
      <w:r w:rsidR="00C53EBD">
        <w:t>.</w:t>
      </w:r>
    </w:p>
    <w:p w:rsidR="00C53EBD" w:rsidRDefault="00C53EBD" w:rsidP="00C53EBD">
      <w:pPr>
        <w:pStyle w:val="ListParagraph"/>
      </w:pPr>
    </w:p>
    <w:p w:rsidR="00C53EBD" w:rsidRDefault="00C53EBD" w:rsidP="00EC7EEB">
      <w:pPr>
        <w:pStyle w:val="ListParagraph"/>
        <w:numPr>
          <w:ilvl w:val="0"/>
          <w:numId w:val="2"/>
        </w:numPr>
        <w:spacing w:line="360" w:lineRule="auto"/>
        <w:ind w:left="0" w:firstLine="1440"/>
      </w:pPr>
      <w:r w:rsidRPr="00C53EBD">
        <w:t xml:space="preserve">Complainant has failed to meet </w:t>
      </w:r>
      <w:r>
        <w:t xml:space="preserve">his </w:t>
      </w:r>
      <w:r w:rsidRPr="00C53EBD">
        <w:t xml:space="preserve">burden of proving that he is entitled to </w:t>
      </w:r>
      <w:r>
        <w:t xml:space="preserve">the </w:t>
      </w:r>
      <w:r w:rsidRPr="00C53EBD">
        <w:t>relief</w:t>
      </w:r>
      <w:r>
        <w:t xml:space="preserve"> he seeks from this Commission</w:t>
      </w:r>
      <w:r w:rsidRPr="00C53EBD">
        <w:t>.  66 </w:t>
      </w:r>
      <w:smartTag w:uri="urn:schemas-microsoft-com:office:smarttags" w:element="place">
        <w:smartTag w:uri="urn:schemas-microsoft-com:office:smarttags" w:element="State">
          <w:r w:rsidRPr="00C53EBD">
            <w:t>Pa.</w:t>
          </w:r>
        </w:smartTag>
      </w:smartTag>
      <w:r w:rsidRPr="00C53EBD">
        <w:t xml:space="preserve"> C.S. §332(a).</w:t>
      </w:r>
    </w:p>
    <w:p w:rsidR="00C53EBD" w:rsidRDefault="00C53EBD" w:rsidP="00C53EBD">
      <w:pPr>
        <w:pStyle w:val="ListParagraph"/>
      </w:pPr>
    </w:p>
    <w:p w:rsidR="00C53EBD" w:rsidRDefault="00C53EBD" w:rsidP="00C53EBD">
      <w:pPr>
        <w:spacing w:line="360" w:lineRule="auto"/>
        <w:jc w:val="center"/>
      </w:pPr>
      <w:r>
        <w:rPr>
          <w:u w:val="single"/>
        </w:rPr>
        <w:t>ORDER</w:t>
      </w:r>
    </w:p>
    <w:p w:rsidR="00C53EBD" w:rsidRDefault="00C53EBD" w:rsidP="00C53EBD">
      <w:pPr>
        <w:spacing w:line="360" w:lineRule="auto"/>
      </w:pPr>
    </w:p>
    <w:p w:rsidR="00C53EBD" w:rsidRDefault="00C53EBD" w:rsidP="00C53EBD">
      <w:pPr>
        <w:spacing w:line="360" w:lineRule="auto"/>
      </w:pPr>
      <w:r>
        <w:tab/>
      </w:r>
      <w:r>
        <w:tab/>
        <w:t>THEREFORE,</w:t>
      </w:r>
    </w:p>
    <w:p w:rsidR="00C53EBD" w:rsidRDefault="00C53EBD" w:rsidP="00C53EBD">
      <w:pPr>
        <w:spacing w:line="360" w:lineRule="auto"/>
      </w:pPr>
    </w:p>
    <w:p w:rsidR="00C53EBD" w:rsidRDefault="00C53EBD" w:rsidP="00C53EBD">
      <w:pPr>
        <w:spacing w:line="360" w:lineRule="auto"/>
      </w:pPr>
      <w:r>
        <w:tab/>
      </w:r>
      <w:r>
        <w:tab/>
        <w:t>IT IS ORDERED:</w:t>
      </w:r>
    </w:p>
    <w:p w:rsidR="00C53EBD" w:rsidRDefault="00C53EBD" w:rsidP="00C53EBD">
      <w:pPr>
        <w:spacing w:line="360" w:lineRule="auto"/>
      </w:pPr>
    </w:p>
    <w:p w:rsidR="00C53EBD" w:rsidRDefault="00C53EBD" w:rsidP="00C53EBD">
      <w:pPr>
        <w:spacing w:line="360" w:lineRule="auto"/>
      </w:pPr>
      <w:r>
        <w:tab/>
      </w:r>
      <w:r>
        <w:tab/>
        <w:t>That the complaint of Donald L. Hale against UGI Penn Natural Gas, Inc. at Docket No. C-2010-2206955 is hereby denied.</w:t>
      </w:r>
    </w:p>
    <w:p w:rsidR="00C53EBD" w:rsidRDefault="00C53EBD" w:rsidP="00C53EBD">
      <w:pPr>
        <w:spacing w:line="360" w:lineRule="auto"/>
      </w:pPr>
      <w:bookmarkStart w:id="0" w:name="_GoBack"/>
      <w:bookmarkEnd w:id="0"/>
    </w:p>
    <w:p w:rsidR="008B7171" w:rsidRDefault="008B7171" w:rsidP="00C53EBD"/>
    <w:p w:rsidR="00C53EBD" w:rsidRDefault="00C53EBD" w:rsidP="00C53EBD">
      <w:r>
        <w:t xml:space="preserve">Date: </w:t>
      </w:r>
      <w:r>
        <w:rPr>
          <w:u w:val="single"/>
        </w:rPr>
        <w:t>December 1, 2011</w:t>
      </w:r>
      <w:r>
        <w:tab/>
      </w:r>
      <w:r>
        <w:tab/>
      </w:r>
      <w:r>
        <w:tab/>
      </w:r>
      <w:r>
        <w:tab/>
      </w:r>
      <w:r>
        <w:rPr>
          <w:u w:val="single"/>
        </w:rPr>
        <w:tab/>
      </w:r>
      <w:r>
        <w:rPr>
          <w:u w:val="single"/>
        </w:rPr>
        <w:tab/>
      </w:r>
      <w:r>
        <w:rPr>
          <w:u w:val="single"/>
        </w:rPr>
        <w:tab/>
      </w:r>
      <w:r>
        <w:rPr>
          <w:u w:val="single"/>
        </w:rPr>
        <w:tab/>
      </w:r>
      <w:r>
        <w:rPr>
          <w:u w:val="single"/>
        </w:rPr>
        <w:tab/>
      </w:r>
      <w:r>
        <w:rPr>
          <w:u w:val="single"/>
        </w:rPr>
        <w:tab/>
      </w:r>
    </w:p>
    <w:p w:rsidR="00C53EBD" w:rsidRDefault="00C53EBD" w:rsidP="00C53EBD">
      <w:r>
        <w:tab/>
      </w:r>
      <w:r>
        <w:tab/>
      </w:r>
      <w:r>
        <w:tab/>
      </w:r>
      <w:r>
        <w:tab/>
      </w:r>
      <w:r>
        <w:tab/>
      </w:r>
      <w:r>
        <w:tab/>
      </w:r>
      <w:r>
        <w:tab/>
        <w:t>John H. Corbett, Jr.</w:t>
      </w:r>
    </w:p>
    <w:p w:rsidR="00C53EBD" w:rsidRPr="00C53EBD" w:rsidRDefault="00C53EBD" w:rsidP="00C53EBD">
      <w:pPr>
        <w:spacing w:line="360" w:lineRule="auto"/>
      </w:pPr>
      <w:r>
        <w:tab/>
      </w:r>
      <w:r>
        <w:tab/>
      </w:r>
      <w:r>
        <w:tab/>
      </w:r>
      <w:r>
        <w:tab/>
      </w:r>
      <w:r>
        <w:tab/>
      </w:r>
      <w:r>
        <w:tab/>
      </w:r>
      <w:r>
        <w:tab/>
        <w:t>Administrative Law Judge</w:t>
      </w:r>
    </w:p>
    <w:sectPr w:rsidR="00C53EBD" w:rsidRPr="00C53EBD" w:rsidSect="00287629">
      <w:footerReference w:type="default" r:id="rId8"/>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715" w:rsidRDefault="003F0715" w:rsidP="00D34D43">
      <w:r>
        <w:separator/>
      </w:r>
    </w:p>
  </w:endnote>
  <w:endnote w:type="continuationSeparator" w:id="0">
    <w:p w:rsidR="003F0715" w:rsidRDefault="003F0715" w:rsidP="00D3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32204"/>
      <w:docPartObj>
        <w:docPartGallery w:val="Page Numbers (Bottom of Page)"/>
        <w:docPartUnique/>
      </w:docPartObj>
    </w:sdtPr>
    <w:sdtEndPr>
      <w:rPr>
        <w:sz w:val="20"/>
        <w:szCs w:val="20"/>
      </w:rPr>
    </w:sdtEndPr>
    <w:sdtContent>
      <w:p w:rsidR="00D16FA1" w:rsidRPr="00287629" w:rsidRDefault="003F0715">
        <w:pPr>
          <w:pStyle w:val="Footer"/>
          <w:jc w:val="center"/>
          <w:rPr>
            <w:sz w:val="20"/>
            <w:szCs w:val="20"/>
          </w:rPr>
        </w:pPr>
        <w:r w:rsidRPr="00287629">
          <w:rPr>
            <w:sz w:val="20"/>
            <w:szCs w:val="20"/>
          </w:rPr>
          <w:fldChar w:fldCharType="begin"/>
        </w:r>
        <w:r w:rsidRPr="00287629">
          <w:rPr>
            <w:sz w:val="20"/>
            <w:szCs w:val="20"/>
          </w:rPr>
          <w:instrText xml:space="preserve"> PAGE   \* MERGEFORMAT </w:instrText>
        </w:r>
        <w:r w:rsidRPr="00287629">
          <w:rPr>
            <w:sz w:val="20"/>
            <w:szCs w:val="20"/>
          </w:rPr>
          <w:fldChar w:fldCharType="separate"/>
        </w:r>
        <w:r w:rsidR="00287629">
          <w:rPr>
            <w:noProof/>
            <w:sz w:val="20"/>
            <w:szCs w:val="20"/>
          </w:rPr>
          <w:t>6</w:t>
        </w:r>
        <w:r w:rsidRPr="0028762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715" w:rsidRDefault="003F0715" w:rsidP="00D34D43">
      <w:r>
        <w:separator/>
      </w:r>
    </w:p>
  </w:footnote>
  <w:footnote w:type="continuationSeparator" w:id="0">
    <w:p w:rsidR="003F0715" w:rsidRDefault="003F0715" w:rsidP="00D34D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77805"/>
    <w:multiLevelType w:val="hybridMultilevel"/>
    <w:tmpl w:val="41D28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442597"/>
    <w:multiLevelType w:val="hybridMultilevel"/>
    <w:tmpl w:val="A154A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B4A31"/>
    <w:rsid w:val="00002E71"/>
    <w:rsid w:val="0000610B"/>
    <w:rsid w:val="0001437D"/>
    <w:rsid w:val="0001444C"/>
    <w:rsid w:val="000158F5"/>
    <w:rsid w:val="00015C87"/>
    <w:rsid w:val="000200B5"/>
    <w:rsid w:val="00022031"/>
    <w:rsid w:val="00022664"/>
    <w:rsid w:val="00024AA5"/>
    <w:rsid w:val="00027171"/>
    <w:rsid w:val="00027E4C"/>
    <w:rsid w:val="0003505B"/>
    <w:rsid w:val="00035D88"/>
    <w:rsid w:val="000404B5"/>
    <w:rsid w:val="00041450"/>
    <w:rsid w:val="00041943"/>
    <w:rsid w:val="00042860"/>
    <w:rsid w:val="00044944"/>
    <w:rsid w:val="0004591A"/>
    <w:rsid w:val="00047F6E"/>
    <w:rsid w:val="0005471E"/>
    <w:rsid w:val="00056339"/>
    <w:rsid w:val="00063896"/>
    <w:rsid w:val="0006554F"/>
    <w:rsid w:val="00067C8F"/>
    <w:rsid w:val="00070D98"/>
    <w:rsid w:val="000716B7"/>
    <w:rsid w:val="00073300"/>
    <w:rsid w:val="000767FF"/>
    <w:rsid w:val="0008135A"/>
    <w:rsid w:val="0008257A"/>
    <w:rsid w:val="00085610"/>
    <w:rsid w:val="00087CC5"/>
    <w:rsid w:val="0009005C"/>
    <w:rsid w:val="000921BC"/>
    <w:rsid w:val="00095B50"/>
    <w:rsid w:val="00096F74"/>
    <w:rsid w:val="000A0A7F"/>
    <w:rsid w:val="000A510C"/>
    <w:rsid w:val="000A7EFE"/>
    <w:rsid w:val="000B1FCF"/>
    <w:rsid w:val="000B3598"/>
    <w:rsid w:val="000B3628"/>
    <w:rsid w:val="000B53F0"/>
    <w:rsid w:val="000B629F"/>
    <w:rsid w:val="000B6D95"/>
    <w:rsid w:val="000C10D2"/>
    <w:rsid w:val="000C1A6B"/>
    <w:rsid w:val="000C269C"/>
    <w:rsid w:val="000C5510"/>
    <w:rsid w:val="000C71B2"/>
    <w:rsid w:val="000C76C7"/>
    <w:rsid w:val="000D0A51"/>
    <w:rsid w:val="000D1336"/>
    <w:rsid w:val="000D715A"/>
    <w:rsid w:val="000D7906"/>
    <w:rsid w:val="000E0C64"/>
    <w:rsid w:val="000E1700"/>
    <w:rsid w:val="000E4E82"/>
    <w:rsid w:val="000E6C36"/>
    <w:rsid w:val="000F0CB0"/>
    <w:rsid w:val="000F1E2C"/>
    <w:rsid w:val="000F22AD"/>
    <w:rsid w:val="000F331D"/>
    <w:rsid w:val="000F6BCB"/>
    <w:rsid w:val="001010DC"/>
    <w:rsid w:val="0010180F"/>
    <w:rsid w:val="00105690"/>
    <w:rsid w:val="001059C3"/>
    <w:rsid w:val="001079C3"/>
    <w:rsid w:val="0011082D"/>
    <w:rsid w:val="00114A5C"/>
    <w:rsid w:val="00114D69"/>
    <w:rsid w:val="001163B8"/>
    <w:rsid w:val="00117158"/>
    <w:rsid w:val="0012337D"/>
    <w:rsid w:val="00126555"/>
    <w:rsid w:val="0013358A"/>
    <w:rsid w:val="001336B2"/>
    <w:rsid w:val="0013746C"/>
    <w:rsid w:val="00140ED5"/>
    <w:rsid w:val="001422C9"/>
    <w:rsid w:val="0014695E"/>
    <w:rsid w:val="00147A1C"/>
    <w:rsid w:val="00150F38"/>
    <w:rsid w:val="00151828"/>
    <w:rsid w:val="00152DD8"/>
    <w:rsid w:val="001534FA"/>
    <w:rsid w:val="00153BB2"/>
    <w:rsid w:val="001551FE"/>
    <w:rsid w:val="00157F7C"/>
    <w:rsid w:val="00163667"/>
    <w:rsid w:val="00171BA7"/>
    <w:rsid w:val="00177B41"/>
    <w:rsid w:val="00177C22"/>
    <w:rsid w:val="0018502A"/>
    <w:rsid w:val="00186713"/>
    <w:rsid w:val="00190B52"/>
    <w:rsid w:val="00192F81"/>
    <w:rsid w:val="00194EDA"/>
    <w:rsid w:val="00197214"/>
    <w:rsid w:val="00197FE7"/>
    <w:rsid w:val="001A517C"/>
    <w:rsid w:val="001A6616"/>
    <w:rsid w:val="001B1283"/>
    <w:rsid w:val="001B37F9"/>
    <w:rsid w:val="001B389A"/>
    <w:rsid w:val="001B6147"/>
    <w:rsid w:val="001B669F"/>
    <w:rsid w:val="001B6767"/>
    <w:rsid w:val="001B7B44"/>
    <w:rsid w:val="001C16F1"/>
    <w:rsid w:val="001C1DA4"/>
    <w:rsid w:val="001D0B3C"/>
    <w:rsid w:val="001D4EAA"/>
    <w:rsid w:val="001E13F6"/>
    <w:rsid w:val="001E4606"/>
    <w:rsid w:val="001E480F"/>
    <w:rsid w:val="001E49BB"/>
    <w:rsid w:val="001E4A0F"/>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54AC4"/>
    <w:rsid w:val="0025505D"/>
    <w:rsid w:val="0025568C"/>
    <w:rsid w:val="0025624A"/>
    <w:rsid w:val="00256602"/>
    <w:rsid w:val="002569D2"/>
    <w:rsid w:val="00256F15"/>
    <w:rsid w:val="00264827"/>
    <w:rsid w:val="002659C1"/>
    <w:rsid w:val="00265F08"/>
    <w:rsid w:val="00266EEA"/>
    <w:rsid w:val="002705F3"/>
    <w:rsid w:val="002715D6"/>
    <w:rsid w:val="00273113"/>
    <w:rsid w:val="00273CD5"/>
    <w:rsid w:val="00274AEB"/>
    <w:rsid w:val="0028196A"/>
    <w:rsid w:val="00282E72"/>
    <w:rsid w:val="00286013"/>
    <w:rsid w:val="00286E18"/>
    <w:rsid w:val="00287629"/>
    <w:rsid w:val="00292413"/>
    <w:rsid w:val="00292C52"/>
    <w:rsid w:val="0029312D"/>
    <w:rsid w:val="00297007"/>
    <w:rsid w:val="002A08AE"/>
    <w:rsid w:val="002A0C6D"/>
    <w:rsid w:val="002A5634"/>
    <w:rsid w:val="002A6DA3"/>
    <w:rsid w:val="002B080D"/>
    <w:rsid w:val="002B43C8"/>
    <w:rsid w:val="002B693E"/>
    <w:rsid w:val="002C0A83"/>
    <w:rsid w:val="002C5195"/>
    <w:rsid w:val="002C6736"/>
    <w:rsid w:val="002D15FF"/>
    <w:rsid w:val="002D2161"/>
    <w:rsid w:val="002D3212"/>
    <w:rsid w:val="002D46AD"/>
    <w:rsid w:val="002D50E8"/>
    <w:rsid w:val="002E414F"/>
    <w:rsid w:val="002E62AE"/>
    <w:rsid w:val="002E7B4F"/>
    <w:rsid w:val="002E7CBD"/>
    <w:rsid w:val="002F0988"/>
    <w:rsid w:val="002F0CDC"/>
    <w:rsid w:val="002F58C1"/>
    <w:rsid w:val="003009B5"/>
    <w:rsid w:val="00303C1E"/>
    <w:rsid w:val="003065A6"/>
    <w:rsid w:val="00306AEC"/>
    <w:rsid w:val="003105EB"/>
    <w:rsid w:val="00313224"/>
    <w:rsid w:val="00314634"/>
    <w:rsid w:val="0031504C"/>
    <w:rsid w:val="00320C3C"/>
    <w:rsid w:val="0032184B"/>
    <w:rsid w:val="00322AAB"/>
    <w:rsid w:val="00323CE9"/>
    <w:rsid w:val="0032536B"/>
    <w:rsid w:val="0032582D"/>
    <w:rsid w:val="003367D1"/>
    <w:rsid w:val="003413E4"/>
    <w:rsid w:val="003414D4"/>
    <w:rsid w:val="00343DF7"/>
    <w:rsid w:val="00344BBD"/>
    <w:rsid w:val="00347D4D"/>
    <w:rsid w:val="00354367"/>
    <w:rsid w:val="003560A1"/>
    <w:rsid w:val="003567DC"/>
    <w:rsid w:val="0036055F"/>
    <w:rsid w:val="00360ABE"/>
    <w:rsid w:val="00363FC4"/>
    <w:rsid w:val="00364892"/>
    <w:rsid w:val="00372BCE"/>
    <w:rsid w:val="00374FC3"/>
    <w:rsid w:val="00375FC7"/>
    <w:rsid w:val="00376FD2"/>
    <w:rsid w:val="00377219"/>
    <w:rsid w:val="00383E9E"/>
    <w:rsid w:val="00386EC2"/>
    <w:rsid w:val="003914A1"/>
    <w:rsid w:val="003915CD"/>
    <w:rsid w:val="0039257D"/>
    <w:rsid w:val="003928FD"/>
    <w:rsid w:val="00393A51"/>
    <w:rsid w:val="003A51FD"/>
    <w:rsid w:val="003A5775"/>
    <w:rsid w:val="003A645A"/>
    <w:rsid w:val="003A7731"/>
    <w:rsid w:val="003B0F7E"/>
    <w:rsid w:val="003B5554"/>
    <w:rsid w:val="003C0F08"/>
    <w:rsid w:val="003C2969"/>
    <w:rsid w:val="003C49C9"/>
    <w:rsid w:val="003C4FBC"/>
    <w:rsid w:val="003C6CA6"/>
    <w:rsid w:val="003D00C1"/>
    <w:rsid w:val="003D15D0"/>
    <w:rsid w:val="003D1B0E"/>
    <w:rsid w:val="003D38F7"/>
    <w:rsid w:val="003D42D0"/>
    <w:rsid w:val="003D5AB0"/>
    <w:rsid w:val="003D6669"/>
    <w:rsid w:val="003D6830"/>
    <w:rsid w:val="003E5628"/>
    <w:rsid w:val="003E5D1E"/>
    <w:rsid w:val="003F0715"/>
    <w:rsid w:val="003F100E"/>
    <w:rsid w:val="003F347A"/>
    <w:rsid w:val="003F4054"/>
    <w:rsid w:val="003F69AF"/>
    <w:rsid w:val="003F69C5"/>
    <w:rsid w:val="00402E39"/>
    <w:rsid w:val="0040464B"/>
    <w:rsid w:val="00405757"/>
    <w:rsid w:val="004064A6"/>
    <w:rsid w:val="00407E2D"/>
    <w:rsid w:val="00415484"/>
    <w:rsid w:val="0041758B"/>
    <w:rsid w:val="00417A48"/>
    <w:rsid w:val="00417FB9"/>
    <w:rsid w:val="004255AD"/>
    <w:rsid w:val="00425F5E"/>
    <w:rsid w:val="00427446"/>
    <w:rsid w:val="00427731"/>
    <w:rsid w:val="00431ED9"/>
    <w:rsid w:val="0043213F"/>
    <w:rsid w:val="004345F2"/>
    <w:rsid w:val="004349A8"/>
    <w:rsid w:val="00441E8C"/>
    <w:rsid w:val="00443FC3"/>
    <w:rsid w:val="00444F84"/>
    <w:rsid w:val="00447594"/>
    <w:rsid w:val="00447DAD"/>
    <w:rsid w:val="00451BB3"/>
    <w:rsid w:val="00456B68"/>
    <w:rsid w:val="004606F8"/>
    <w:rsid w:val="004610DD"/>
    <w:rsid w:val="0046531E"/>
    <w:rsid w:val="00465CA9"/>
    <w:rsid w:val="00466EEB"/>
    <w:rsid w:val="004763CF"/>
    <w:rsid w:val="00476406"/>
    <w:rsid w:val="004801CF"/>
    <w:rsid w:val="00482497"/>
    <w:rsid w:val="0048582D"/>
    <w:rsid w:val="00492902"/>
    <w:rsid w:val="00493B06"/>
    <w:rsid w:val="004A0D2F"/>
    <w:rsid w:val="004A2067"/>
    <w:rsid w:val="004A3A17"/>
    <w:rsid w:val="004A4379"/>
    <w:rsid w:val="004A4472"/>
    <w:rsid w:val="004A5F2D"/>
    <w:rsid w:val="004A5F6F"/>
    <w:rsid w:val="004B07B7"/>
    <w:rsid w:val="004B1125"/>
    <w:rsid w:val="004B1E4E"/>
    <w:rsid w:val="004B1F24"/>
    <w:rsid w:val="004B35C3"/>
    <w:rsid w:val="004B4793"/>
    <w:rsid w:val="004B58A0"/>
    <w:rsid w:val="004C0903"/>
    <w:rsid w:val="004C1ADF"/>
    <w:rsid w:val="004C231D"/>
    <w:rsid w:val="004C3351"/>
    <w:rsid w:val="004C6ACC"/>
    <w:rsid w:val="004C6DA4"/>
    <w:rsid w:val="004D0F86"/>
    <w:rsid w:val="004D17EE"/>
    <w:rsid w:val="004D1AF6"/>
    <w:rsid w:val="004D26B3"/>
    <w:rsid w:val="004D3CF4"/>
    <w:rsid w:val="004D517B"/>
    <w:rsid w:val="004D5571"/>
    <w:rsid w:val="004D6A84"/>
    <w:rsid w:val="004E1384"/>
    <w:rsid w:val="004E1A31"/>
    <w:rsid w:val="004E1AA7"/>
    <w:rsid w:val="004E2DEE"/>
    <w:rsid w:val="004E3130"/>
    <w:rsid w:val="004E3916"/>
    <w:rsid w:val="004E48B8"/>
    <w:rsid w:val="004E56E5"/>
    <w:rsid w:val="004F3674"/>
    <w:rsid w:val="004F52CA"/>
    <w:rsid w:val="004F642E"/>
    <w:rsid w:val="00500E04"/>
    <w:rsid w:val="00501290"/>
    <w:rsid w:val="005013AB"/>
    <w:rsid w:val="00503B65"/>
    <w:rsid w:val="005055FD"/>
    <w:rsid w:val="005071E6"/>
    <w:rsid w:val="00510BCD"/>
    <w:rsid w:val="00513A0D"/>
    <w:rsid w:val="00513E78"/>
    <w:rsid w:val="00520B4D"/>
    <w:rsid w:val="00522F41"/>
    <w:rsid w:val="005235D3"/>
    <w:rsid w:val="005245B1"/>
    <w:rsid w:val="00526125"/>
    <w:rsid w:val="0052693F"/>
    <w:rsid w:val="005319D7"/>
    <w:rsid w:val="0054180C"/>
    <w:rsid w:val="00544B49"/>
    <w:rsid w:val="005463A9"/>
    <w:rsid w:val="00546F57"/>
    <w:rsid w:val="005474D6"/>
    <w:rsid w:val="0055234E"/>
    <w:rsid w:val="00553A47"/>
    <w:rsid w:val="00561F0E"/>
    <w:rsid w:val="00562BF1"/>
    <w:rsid w:val="0056301D"/>
    <w:rsid w:val="0057174D"/>
    <w:rsid w:val="005756A2"/>
    <w:rsid w:val="005756F9"/>
    <w:rsid w:val="00575B38"/>
    <w:rsid w:val="00576844"/>
    <w:rsid w:val="005773BD"/>
    <w:rsid w:val="00580C5C"/>
    <w:rsid w:val="0058134C"/>
    <w:rsid w:val="00581E78"/>
    <w:rsid w:val="00582ADF"/>
    <w:rsid w:val="0058593F"/>
    <w:rsid w:val="00590615"/>
    <w:rsid w:val="005945F6"/>
    <w:rsid w:val="00595C07"/>
    <w:rsid w:val="005963C4"/>
    <w:rsid w:val="005A127F"/>
    <w:rsid w:val="005A560D"/>
    <w:rsid w:val="005B0099"/>
    <w:rsid w:val="005B04D0"/>
    <w:rsid w:val="005B4EAA"/>
    <w:rsid w:val="005B7AAB"/>
    <w:rsid w:val="005C5138"/>
    <w:rsid w:val="005C5ED9"/>
    <w:rsid w:val="005C6FAE"/>
    <w:rsid w:val="005D141F"/>
    <w:rsid w:val="005D45C9"/>
    <w:rsid w:val="005D5EE7"/>
    <w:rsid w:val="005E3C0F"/>
    <w:rsid w:val="005E45BD"/>
    <w:rsid w:val="005E6C7E"/>
    <w:rsid w:val="005F4331"/>
    <w:rsid w:val="005F4AA1"/>
    <w:rsid w:val="0060255E"/>
    <w:rsid w:val="00603FCF"/>
    <w:rsid w:val="00605A5C"/>
    <w:rsid w:val="00611B45"/>
    <w:rsid w:val="00613DA8"/>
    <w:rsid w:val="00614058"/>
    <w:rsid w:val="00614B07"/>
    <w:rsid w:val="006168E8"/>
    <w:rsid w:val="00616EF1"/>
    <w:rsid w:val="0062040F"/>
    <w:rsid w:val="00622936"/>
    <w:rsid w:val="0062391C"/>
    <w:rsid w:val="00631809"/>
    <w:rsid w:val="00631CED"/>
    <w:rsid w:val="00633A73"/>
    <w:rsid w:val="00634C72"/>
    <w:rsid w:val="006352C1"/>
    <w:rsid w:val="00635E6D"/>
    <w:rsid w:val="00636172"/>
    <w:rsid w:val="0064016B"/>
    <w:rsid w:val="006503D8"/>
    <w:rsid w:val="00651BF9"/>
    <w:rsid w:val="0065509C"/>
    <w:rsid w:val="00655A67"/>
    <w:rsid w:val="0065674E"/>
    <w:rsid w:val="00657F07"/>
    <w:rsid w:val="00661B4E"/>
    <w:rsid w:val="00662C19"/>
    <w:rsid w:val="006646A6"/>
    <w:rsid w:val="0067080A"/>
    <w:rsid w:val="00670B1B"/>
    <w:rsid w:val="006729FF"/>
    <w:rsid w:val="006734EC"/>
    <w:rsid w:val="00675F41"/>
    <w:rsid w:val="00676400"/>
    <w:rsid w:val="00677E47"/>
    <w:rsid w:val="0068098C"/>
    <w:rsid w:val="00685C2E"/>
    <w:rsid w:val="00686666"/>
    <w:rsid w:val="00692D9A"/>
    <w:rsid w:val="00694B4C"/>
    <w:rsid w:val="006A1BB3"/>
    <w:rsid w:val="006A3C03"/>
    <w:rsid w:val="006A4740"/>
    <w:rsid w:val="006A6097"/>
    <w:rsid w:val="006A64F2"/>
    <w:rsid w:val="006B3C1B"/>
    <w:rsid w:val="006B3EFB"/>
    <w:rsid w:val="006B690F"/>
    <w:rsid w:val="006C245B"/>
    <w:rsid w:val="006C3402"/>
    <w:rsid w:val="006C3AD5"/>
    <w:rsid w:val="006C5DA4"/>
    <w:rsid w:val="006C6F08"/>
    <w:rsid w:val="006C7836"/>
    <w:rsid w:val="006D2E83"/>
    <w:rsid w:val="006D370E"/>
    <w:rsid w:val="006D3B1F"/>
    <w:rsid w:val="006D491B"/>
    <w:rsid w:val="006D4B7E"/>
    <w:rsid w:val="006D4E8D"/>
    <w:rsid w:val="006D51A2"/>
    <w:rsid w:val="006E1DF2"/>
    <w:rsid w:val="006E57E8"/>
    <w:rsid w:val="006F08AE"/>
    <w:rsid w:val="006F2ACE"/>
    <w:rsid w:val="007000FB"/>
    <w:rsid w:val="007008E0"/>
    <w:rsid w:val="0070140A"/>
    <w:rsid w:val="00705235"/>
    <w:rsid w:val="007107AD"/>
    <w:rsid w:val="00722C8F"/>
    <w:rsid w:val="00724A27"/>
    <w:rsid w:val="0073389E"/>
    <w:rsid w:val="007342EA"/>
    <w:rsid w:val="00735001"/>
    <w:rsid w:val="007354F0"/>
    <w:rsid w:val="00742C25"/>
    <w:rsid w:val="00742FBF"/>
    <w:rsid w:val="00743300"/>
    <w:rsid w:val="00745364"/>
    <w:rsid w:val="00747A6F"/>
    <w:rsid w:val="007520AB"/>
    <w:rsid w:val="00752308"/>
    <w:rsid w:val="00752AD4"/>
    <w:rsid w:val="00752B0E"/>
    <w:rsid w:val="0075617D"/>
    <w:rsid w:val="00756B4F"/>
    <w:rsid w:val="007575D6"/>
    <w:rsid w:val="00763043"/>
    <w:rsid w:val="00766C21"/>
    <w:rsid w:val="0077010C"/>
    <w:rsid w:val="00770175"/>
    <w:rsid w:val="00770452"/>
    <w:rsid w:val="00781BAD"/>
    <w:rsid w:val="007854CF"/>
    <w:rsid w:val="00787B82"/>
    <w:rsid w:val="007900D4"/>
    <w:rsid w:val="00796456"/>
    <w:rsid w:val="00796F08"/>
    <w:rsid w:val="007A0FA3"/>
    <w:rsid w:val="007A1A4C"/>
    <w:rsid w:val="007A4181"/>
    <w:rsid w:val="007A46A0"/>
    <w:rsid w:val="007A7CF3"/>
    <w:rsid w:val="007A7EA7"/>
    <w:rsid w:val="007B21DD"/>
    <w:rsid w:val="007B430A"/>
    <w:rsid w:val="007B4A31"/>
    <w:rsid w:val="007B5630"/>
    <w:rsid w:val="007C0BAC"/>
    <w:rsid w:val="007C679F"/>
    <w:rsid w:val="007D2137"/>
    <w:rsid w:val="007D6606"/>
    <w:rsid w:val="007D67D1"/>
    <w:rsid w:val="007D682B"/>
    <w:rsid w:val="007E2A88"/>
    <w:rsid w:val="007E5C59"/>
    <w:rsid w:val="007E6CAF"/>
    <w:rsid w:val="007E73C3"/>
    <w:rsid w:val="007F378A"/>
    <w:rsid w:val="008022F7"/>
    <w:rsid w:val="008046A7"/>
    <w:rsid w:val="00805E1E"/>
    <w:rsid w:val="0080763A"/>
    <w:rsid w:val="008101A5"/>
    <w:rsid w:val="0082072C"/>
    <w:rsid w:val="008211B6"/>
    <w:rsid w:val="008215F2"/>
    <w:rsid w:val="0082561C"/>
    <w:rsid w:val="00831A19"/>
    <w:rsid w:val="00831EDA"/>
    <w:rsid w:val="00832B4A"/>
    <w:rsid w:val="008363BD"/>
    <w:rsid w:val="00836A1D"/>
    <w:rsid w:val="00837349"/>
    <w:rsid w:val="008433EA"/>
    <w:rsid w:val="00844572"/>
    <w:rsid w:val="008461EA"/>
    <w:rsid w:val="00846E3D"/>
    <w:rsid w:val="00847619"/>
    <w:rsid w:val="008527AF"/>
    <w:rsid w:val="00853982"/>
    <w:rsid w:val="00854310"/>
    <w:rsid w:val="0085796E"/>
    <w:rsid w:val="00860CE9"/>
    <w:rsid w:val="00870493"/>
    <w:rsid w:val="008733F2"/>
    <w:rsid w:val="008739F3"/>
    <w:rsid w:val="00875888"/>
    <w:rsid w:val="00877335"/>
    <w:rsid w:val="00881A7C"/>
    <w:rsid w:val="00884320"/>
    <w:rsid w:val="00885412"/>
    <w:rsid w:val="0089092B"/>
    <w:rsid w:val="00890FD6"/>
    <w:rsid w:val="0089104A"/>
    <w:rsid w:val="00891D27"/>
    <w:rsid w:val="00893CE7"/>
    <w:rsid w:val="00895B38"/>
    <w:rsid w:val="008979D0"/>
    <w:rsid w:val="008A3128"/>
    <w:rsid w:val="008A53F1"/>
    <w:rsid w:val="008B629C"/>
    <w:rsid w:val="008B6C4F"/>
    <w:rsid w:val="008B7171"/>
    <w:rsid w:val="008C0A8C"/>
    <w:rsid w:val="008C1CCC"/>
    <w:rsid w:val="008C4B08"/>
    <w:rsid w:val="008C4DAE"/>
    <w:rsid w:val="008C6C90"/>
    <w:rsid w:val="008C6CD3"/>
    <w:rsid w:val="008D25CC"/>
    <w:rsid w:val="008D3E8B"/>
    <w:rsid w:val="008D409A"/>
    <w:rsid w:val="008D70A6"/>
    <w:rsid w:val="008E091B"/>
    <w:rsid w:val="008E121E"/>
    <w:rsid w:val="008E31F7"/>
    <w:rsid w:val="008F6929"/>
    <w:rsid w:val="00900298"/>
    <w:rsid w:val="00904091"/>
    <w:rsid w:val="009044B7"/>
    <w:rsid w:val="00905E53"/>
    <w:rsid w:val="00906E26"/>
    <w:rsid w:val="00912360"/>
    <w:rsid w:val="00914472"/>
    <w:rsid w:val="00917AE9"/>
    <w:rsid w:val="0092041D"/>
    <w:rsid w:val="00921DA9"/>
    <w:rsid w:val="00922734"/>
    <w:rsid w:val="00923457"/>
    <w:rsid w:val="009262AC"/>
    <w:rsid w:val="009341CC"/>
    <w:rsid w:val="0093663B"/>
    <w:rsid w:val="0094137F"/>
    <w:rsid w:val="00941BFF"/>
    <w:rsid w:val="00941E0A"/>
    <w:rsid w:val="00942B3C"/>
    <w:rsid w:val="00945A38"/>
    <w:rsid w:val="00947903"/>
    <w:rsid w:val="00950A70"/>
    <w:rsid w:val="00951681"/>
    <w:rsid w:val="00951BC4"/>
    <w:rsid w:val="009603C9"/>
    <w:rsid w:val="0096087B"/>
    <w:rsid w:val="00960B87"/>
    <w:rsid w:val="00962AAD"/>
    <w:rsid w:val="009635AB"/>
    <w:rsid w:val="00964ECF"/>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BBF"/>
    <w:rsid w:val="009A3D45"/>
    <w:rsid w:val="009A40FB"/>
    <w:rsid w:val="009A68DE"/>
    <w:rsid w:val="009A797D"/>
    <w:rsid w:val="009A7D1A"/>
    <w:rsid w:val="009B3268"/>
    <w:rsid w:val="009B5FBB"/>
    <w:rsid w:val="009B64C4"/>
    <w:rsid w:val="009D0659"/>
    <w:rsid w:val="009D119A"/>
    <w:rsid w:val="009D1316"/>
    <w:rsid w:val="009E047A"/>
    <w:rsid w:val="009E0743"/>
    <w:rsid w:val="009E0762"/>
    <w:rsid w:val="009E0D5F"/>
    <w:rsid w:val="009E16BB"/>
    <w:rsid w:val="009E3575"/>
    <w:rsid w:val="009E3DB9"/>
    <w:rsid w:val="009E558C"/>
    <w:rsid w:val="009E5C0B"/>
    <w:rsid w:val="009E6878"/>
    <w:rsid w:val="009F07ED"/>
    <w:rsid w:val="009F17FE"/>
    <w:rsid w:val="009F34A1"/>
    <w:rsid w:val="009F4221"/>
    <w:rsid w:val="009F4617"/>
    <w:rsid w:val="009F47A7"/>
    <w:rsid w:val="009F5718"/>
    <w:rsid w:val="009F61DA"/>
    <w:rsid w:val="009F707B"/>
    <w:rsid w:val="009F7990"/>
    <w:rsid w:val="009F7A6D"/>
    <w:rsid w:val="00A009D4"/>
    <w:rsid w:val="00A0320E"/>
    <w:rsid w:val="00A12944"/>
    <w:rsid w:val="00A14EFC"/>
    <w:rsid w:val="00A1691E"/>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372D"/>
    <w:rsid w:val="00A6600B"/>
    <w:rsid w:val="00A66018"/>
    <w:rsid w:val="00A66558"/>
    <w:rsid w:val="00A7014D"/>
    <w:rsid w:val="00A71047"/>
    <w:rsid w:val="00A72D1A"/>
    <w:rsid w:val="00A751B8"/>
    <w:rsid w:val="00A835FF"/>
    <w:rsid w:val="00A83846"/>
    <w:rsid w:val="00A83E30"/>
    <w:rsid w:val="00A85EA9"/>
    <w:rsid w:val="00A916E8"/>
    <w:rsid w:val="00A92349"/>
    <w:rsid w:val="00A944BC"/>
    <w:rsid w:val="00AA1CCA"/>
    <w:rsid w:val="00AB0007"/>
    <w:rsid w:val="00AB07B5"/>
    <w:rsid w:val="00AB0B25"/>
    <w:rsid w:val="00AB6557"/>
    <w:rsid w:val="00AC0550"/>
    <w:rsid w:val="00AC3607"/>
    <w:rsid w:val="00AC54FF"/>
    <w:rsid w:val="00AC7B96"/>
    <w:rsid w:val="00AD066A"/>
    <w:rsid w:val="00AD069F"/>
    <w:rsid w:val="00AD6C0F"/>
    <w:rsid w:val="00AE3450"/>
    <w:rsid w:val="00AE5055"/>
    <w:rsid w:val="00AE5BB7"/>
    <w:rsid w:val="00AE699D"/>
    <w:rsid w:val="00AF0886"/>
    <w:rsid w:val="00AF1477"/>
    <w:rsid w:val="00AF33FC"/>
    <w:rsid w:val="00AF4C7A"/>
    <w:rsid w:val="00AF5D5B"/>
    <w:rsid w:val="00AF6B9A"/>
    <w:rsid w:val="00B00AA3"/>
    <w:rsid w:val="00B026D9"/>
    <w:rsid w:val="00B05442"/>
    <w:rsid w:val="00B072ED"/>
    <w:rsid w:val="00B10BF4"/>
    <w:rsid w:val="00B1170E"/>
    <w:rsid w:val="00B11A62"/>
    <w:rsid w:val="00B14A97"/>
    <w:rsid w:val="00B14F7C"/>
    <w:rsid w:val="00B15030"/>
    <w:rsid w:val="00B150FA"/>
    <w:rsid w:val="00B20D8C"/>
    <w:rsid w:val="00B20EE3"/>
    <w:rsid w:val="00B21B7C"/>
    <w:rsid w:val="00B22AC5"/>
    <w:rsid w:val="00B24C6D"/>
    <w:rsid w:val="00B273CB"/>
    <w:rsid w:val="00B323F0"/>
    <w:rsid w:val="00B34146"/>
    <w:rsid w:val="00B3465A"/>
    <w:rsid w:val="00B35A50"/>
    <w:rsid w:val="00B37E41"/>
    <w:rsid w:val="00B43E1A"/>
    <w:rsid w:val="00B47709"/>
    <w:rsid w:val="00B50794"/>
    <w:rsid w:val="00B51738"/>
    <w:rsid w:val="00B51E90"/>
    <w:rsid w:val="00B52B10"/>
    <w:rsid w:val="00B57380"/>
    <w:rsid w:val="00B67C1A"/>
    <w:rsid w:val="00B7271C"/>
    <w:rsid w:val="00B763C7"/>
    <w:rsid w:val="00B763FA"/>
    <w:rsid w:val="00B774A8"/>
    <w:rsid w:val="00B816DD"/>
    <w:rsid w:val="00B81A18"/>
    <w:rsid w:val="00B81D8F"/>
    <w:rsid w:val="00B82AC2"/>
    <w:rsid w:val="00B83C4A"/>
    <w:rsid w:val="00B91A4A"/>
    <w:rsid w:val="00B97B9F"/>
    <w:rsid w:val="00BA3333"/>
    <w:rsid w:val="00BA36B3"/>
    <w:rsid w:val="00BA5B1F"/>
    <w:rsid w:val="00BA66B1"/>
    <w:rsid w:val="00BA6EBC"/>
    <w:rsid w:val="00BB1230"/>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12E9"/>
    <w:rsid w:val="00BF2F4A"/>
    <w:rsid w:val="00BF3093"/>
    <w:rsid w:val="00BF3C89"/>
    <w:rsid w:val="00C024AF"/>
    <w:rsid w:val="00C04531"/>
    <w:rsid w:val="00C04558"/>
    <w:rsid w:val="00C04EA1"/>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4A93"/>
    <w:rsid w:val="00C374CC"/>
    <w:rsid w:val="00C379FE"/>
    <w:rsid w:val="00C37CD0"/>
    <w:rsid w:val="00C43CFE"/>
    <w:rsid w:val="00C46557"/>
    <w:rsid w:val="00C46DC6"/>
    <w:rsid w:val="00C4789A"/>
    <w:rsid w:val="00C5077F"/>
    <w:rsid w:val="00C5093C"/>
    <w:rsid w:val="00C52731"/>
    <w:rsid w:val="00C53EBD"/>
    <w:rsid w:val="00C55401"/>
    <w:rsid w:val="00C60CCE"/>
    <w:rsid w:val="00C669E5"/>
    <w:rsid w:val="00C679CE"/>
    <w:rsid w:val="00C704C9"/>
    <w:rsid w:val="00C71914"/>
    <w:rsid w:val="00C7784C"/>
    <w:rsid w:val="00C80F04"/>
    <w:rsid w:val="00C81090"/>
    <w:rsid w:val="00C81C16"/>
    <w:rsid w:val="00C821AB"/>
    <w:rsid w:val="00C86564"/>
    <w:rsid w:val="00C90531"/>
    <w:rsid w:val="00C93740"/>
    <w:rsid w:val="00CA06B1"/>
    <w:rsid w:val="00CA6B55"/>
    <w:rsid w:val="00CB75FF"/>
    <w:rsid w:val="00CB7B6B"/>
    <w:rsid w:val="00CC0060"/>
    <w:rsid w:val="00CC0BE8"/>
    <w:rsid w:val="00CC147D"/>
    <w:rsid w:val="00CC1966"/>
    <w:rsid w:val="00CC3E11"/>
    <w:rsid w:val="00CC6237"/>
    <w:rsid w:val="00CC6700"/>
    <w:rsid w:val="00CC6D89"/>
    <w:rsid w:val="00CC6F63"/>
    <w:rsid w:val="00CD20F8"/>
    <w:rsid w:val="00CD2857"/>
    <w:rsid w:val="00CD3316"/>
    <w:rsid w:val="00CD34E9"/>
    <w:rsid w:val="00CD3706"/>
    <w:rsid w:val="00CE116F"/>
    <w:rsid w:val="00CE1403"/>
    <w:rsid w:val="00CE2FD5"/>
    <w:rsid w:val="00CF1A8C"/>
    <w:rsid w:val="00CF35E9"/>
    <w:rsid w:val="00CF43F2"/>
    <w:rsid w:val="00CF4B8D"/>
    <w:rsid w:val="00CF543F"/>
    <w:rsid w:val="00D02312"/>
    <w:rsid w:val="00D0622E"/>
    <w:rsid w:val="00D0637B"/>
    <w:rsid w:val="00D06CF4"/>
    <w:rsid w:val="00D1088E"/>
    <w:rsid w:val="00D12BD9"/>
    <w:rsid w:val="00D162BC"/>
    <w:rsid w:val="00D167BB"/>
    <w:rsid w:val="00D16D6E"/>
    <w:rsid w:val="00D16FA1"/>
    <w:rsid w:val="00D205BA"/>
    <w:rsid w:val="00D22216"/>
    <w:rsid w:val="00D25F59"/>
    <w:rsid w:val="00D266C2"/>
    <w:rsid w:val="00D3255C"/>
    <w:rsid w:val="00D3420E"/>
    <w:rsid w:val="00D3478E"/>
    <w:rsid w:val="00D34D43"/>
    <w:rsid w:val="00D35115"/>
    <w:rsid w:val="00D351C1"/>
    <w:rsid w:val="00D356CF"/>
    <w:rsid w:val="00D4206A"/>
    <w:rsid w:val="00D42114"/>
    <w:rsid w:val="00D44799"/>
    <w:rsid w:val="00D4620B"/>
    <w:rsid w:val="00D50C61"/>
    <w:rsid w:val="00D5467C"/>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56F0"/>
    <w:rsid w:val="00DA5F0B"/>
    <w:rsid w:val="00DA7A60"/>
    <w:rsid w:val="00DB4818"/>
    <w:rsid w:val="00DB5F13"/>
    <w:rsid w:val="00DC5B32"/>
    <w:rsid w:val="00DD173D"/>
    <w:rsid w:val="00DD40C0"/>
    <w:rsid w:val="00DE2FEA"/>
    <w:rsid w:val="00DE4AC1"/>
    <w:rsid w:val="00DE5630"/>
    <w:rsid w:val="00DE5FF0"/>
    <w:rsid w:val="00DF0EC6"/>
    <w:rsid w:val="00DF26E7"/>
    <w:rsid w:val="00DF4B57"/>
    <w:rsid w:val="00DF54D3"/>
    <w:rsid w:val="00DF6DBF"/>
    <w:rsid w:val="00E02E3B"/>
    <w:rsid w:val="00E049A4"/>
    <w:rsid w:val="00E04D8F"/>
    <w:rsid w:val="00E06E04"/>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3AD"/>
    <w:rsid w:val="00E51C4C"/>
    <w:rsid w:val="00E52101"/>
    <w:rsid w:val="00E52779"/>
    <w:rsid w:val="00E53C53"/>
    <w:rsid w:val="00E553D5"/>
    <w:rsid w:val="00E56ADF"/>
    <w:rsid w:val="00E626F1"/>
    <w:rsid w:val="00E641A6"/>
    <w:rsid w:val="00E65624"/>
    <w:rsid w:val="00E6714F"/>
    <w:rsid w:val="00E705D3"/>
    <w:rsid w:val="00E7317F"/>
    <w:rsid w:val="00E73276"/>
    <w:rsid w:val="00E737FA"/>
    <w:rsid w:val="00E76ACE"/>
    <w:rsid w:val="00E84012"/>
    <w:rsid w:val="00E861DA"/>
    <w:rsid w:val="00E86364"/>
    <w:rsid w:val="00E904E5"/>
    <w:rsid w:val="00E959E8"/>
    <w:rsid w:val="00E96A0E"/>
    <w:rsid w:val="00EA174A"/>
    <w:rsid w:val="00EA4441"/>
    <w:rsid w:val="00EA460D"/>
    <w:rsid w:val="00EA7897"/>
    <w:rsid w:val="00EB154E"/>
    <w:rsid w:val="00EB1B66"/>
    <w:rsid w:val="00EB208A"/>
    <w:rsid w:val="00EB2FB3"/>
    <w:rsid w:val="00EB4B99"/>
    <w:rsid w:val="00EB7E3D"/>
    <w:rsid w:val="00EC11E4"/>
    <w:rsid w:val="00EC1AE7"/>
    <w:rsid w:val="00EC439F"/>
    <w:rsid w:val="00EC5A3A"/>
    <w:rsid w:val="00EC7EEB"/>
    <w:rsid w:val="00EC7FD4"/>
    <w:rsid w:val="00ED1EC3"/>
    <w:rsid w:val="00ED2F45"/>
    <w:rsid w:val="00ED4012"/>
    <w:rsid w:val="00ED55A2"/>
    <w:rsid w:val="00EE010A"/>
    <w:rsid w:val="00EE0A49"/>
    <w:rsid w:val="00EE74E6"/>
    <w:rsid w:val="00EF0A65"/>
    <w:rsid w:val="00EF12CB"/>
    <w:rsid w:val="00EF331C"/>
    <w:rsid w:val="00EF3332"/>
    <w:rsid w:val="00EF41AC"/>
    <w:rsid w:val="00EF4F0C"/>
    <w:rsid w:val="00F0033E"/>
    <w:rsid w:val="00F02A7A"/>
    <w:rsid w:val="00F03624"/>
    <w:rsid w:val="00F03E4B"/>
    <w:rsid w:val="00F06057"/>
    <w:rsid w:val="00F136DC"/>
    <w:rsid w:val="00F26B72"/>
    <w:rsid w:val="00F275A1"/>
    <w:rsid w:val="00F3014C"/>
    <w:rsid w:val="00F353CE"/>
    <w:rsid w:val="00F3651B"/>
    <w:rsid w:val="00F37163"/>
    <w:rsid w:val="00F435F1"/>
    <w:rsid w:val="00F45F9D"/>
    <w:rsid w:val="00F47958"/>
    <w:rsid w:val="00F51224"/>
    <w:rsid w:val="00F56248"/>
    <w:rsid w:val="00F61397"/>
    <w:rsid w:val="00F61F43"/>
    <w:rsid w:val="00F65411"/>
    <w:rsid w:val="00F66425"/>
    <w:rsid w:val="00F66C87"/>
    <w:rsid w:val="00F710FC"/>
    <w:rsid w:val="00F7161F"/>
    <w:rsid w:val="00F72AEA"/>
    <w:rsid w:val="00F73E58"/>
    <w:rsid w:val="00F7406E"/>
    <w:rsid w:val="00F74249"/>
    <w:rsid w:val="00F75473"/>
    <w:rsid w:val="00F838BA"/>
    <w:rsid w:val="00F839BB"/>
    <w:rsid w:val="00F84751"/>
    <w:rsid w:val="00F85075"/>
    <w:rsid w:val="00F85AD4"/>
    <w:rsid w:val="00F917AE"/>
    <w:rsid w:val="00F93E48"/>
    <w:rsid w:val="00F95D50"/>
    <w:rsid w:val="00F96AA9"/>
    <w:rsid w:val="00FA2073"/>
    <w:rsid w:val="00FA2A0D"/>
    <w:rsid w:val="00FA45C2"/>
    <w:rsid w:val="00FA521B"/>
    <w:rsid w:val="00FA7E0A"/>
    <w:rsid w:val="00FB0B72"/>
    <w:rsid w:val="00FB0CB0"/>
    <w:rsid w:val="00FB1797"/>
    <w:rsid w:val="00FC256C"/>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FCF"/>
    <w:pPr>
      <w:ind w:left="720"/>
      <w:contextualSpacing/>
    </w:pPr>
  </w:style>
  <w:style w:type="paragraph" w:styleId="Header">
    <w:name w:val="header"/>
    <w:basedOn w:val="Normal"/>
    <w:link w:val="HeaderChar"/>
    <w:rsid w:val="00D34D43"/>
    <w:pPr>
      <w:tabs>
        <w:tab w:val="center" w:pos="4680"/>
        <w:tab w:val="right" w:pos="9360"/>
      </w:tabs>
    </w:pPr>
  </w:style>
  <w:style w:type="character" w:customStyle="1" w:styleId="HeaderChar">
    <w:name w:val="Header Char"/>
    <w:basedOn w:val="DefaultParagraphFont"/>
    <w:link w:val="Header"/>
    <w:rsid w:val="00D34D43"/>
    <w:rPr>
      <w:sz w:val="24"/>
      <w:szCs w:val="24"/>
    </w:rPr>
  </w:style>
  <w:style w:type="paragraph" w:styleId="Footer">
    <w:name w:val="footer"/>
    <w:basedOn w:val="Normal"/>
    <w:link w:val="FooterChar"/>
    <w:uiPriority w:val="99"/>
    <w:rsid w:val="00D34D43"/>
    <w:pPr>
      <w:tabs>
        <w:tab w:val="center" w:pos="4680"/>
        <w:tab w:val="right" w:pos="9360"/>
      </w:tabs>
    </w:pPr>
  </w:style>
  <w:style w:type="character" w:customStyle="1" w:styleId="FooterChar">
    <w:name w:val="Footer Char"/>
    <w:basedOn w:val="DefaultParagraphFont"/>
    <w:link w:val="Footer"/>
    <w:uiPriority w:val="99"/>
    <w:rsid w:val="00D34D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6</cp:revision>
  <cp:lastPrinted>2011-12-08T16:46:00Z</cp:lastPrinted>
  <dcterms:created xsi:type="dcterms:W3CDTF">2011-12-01T16:44:00Z</dcterms:created>
  <dcterms:modified xsi:type="dcterms:W3CDTF">2011-12-08T16:46:00Z</dcterms:modified>
</cp:coreProperties>
</file>