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A6" w:rsidRPr="00C4699C" w:rsidRDefault="00B27DA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B27DA6" w:rsidRPr="00C4699C" w:rsidRDefault="00B27DA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B27DA6" w:rsidRDefault="00B27DA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27DA6" w:rsidRPr="00C4699C" w:rsidRDefault="00B27DA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27DA6" w:rsidRPr="00C4699C" w:rsidRDefault="00B27DA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27DA6" w:rsidRPr="00C4699C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50B69">
        <w:rPr>
          <w:rFonts w:ascii="Times New Roman" w:hAnsi="Times New Roman"/>
          <w:caps/>
          <w:noProof/>
          <w:szCs w:val="24"/>
        </w:rPr>
        <w:t>David Facenda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27DA6" w:rsidRPr="00C4699C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27DA6" w:rsidRPr="00C4699C" w:rsidRDefault="00B27DA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A50B69">
        <w:rPr>
          <w:rFonts w:ascii="Times New Roman" w:hAnsi="Times New Roman"/>
          <w:noProof/>
          <w:szCs w:val="24"/>
        </w:rPr>
        <w:t>C-2011-2273471</w:t>
      </w:r>
    </w:p>
    <w:p w:rsidR="00B27DA6" w:rsidRPr="00C4699C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27DA6" w:rsidRPr="00C4699C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50B69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27DA6" w:rsidRPr="00C4699C" w:rsidRDefault="00B27DA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27DA6" w:rsidRDefault="00B27DA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27DA6" w:rsidRPr="00C4699C" w:rsidRDefault="00B27DA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27DA6" w:rsidRPr="00C4699C" w:rsidRDefault="00B27DA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B27DA6" w:rsidRPr="00C4699C" w:rsidRDefault="00B27DA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B27DA6" w:rsidRDefault="00B27DA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27DA6" w:rsidRPr="00C4699C" w:rsidRDefault="00B27DA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12, 2011</w:t>
      </w:r>
      <w:r w:rsidRPr="00C4699C">
        <w:rPr>
          <w:rFonts w:ascii="Times New Roman" w:hAnsi="Times New Roman"/>
          <w:szCs w:val="24"/>
        </w:rPr>
        <w:t xml:space="preserve">, </w:t>
      </w:r>
      <w:r w:rsidRPr="00A50B69">
        <w:rPr>
          <w:rFonts w:ascii="Times New Roman" w:hAnsi="Times New Roman"/>
          <w:noProof/>
          <w:szCs w:val="24"/>
        </w:rPr>
        <w:t>David Facenda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A50B69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7,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5,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B27DA6" w:rsidRPr="00C4699C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27DA6" w:rsidRDefault="00B27DA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B27DA6" w:rsidRPr="00C4699C" w:rsidRDefault="00B27DA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Pr="00C4699C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B27DA6" w:rsidRPr="00C4699C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B27DA6" w:rsidRPr="00C4699C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B27DA6" w:rsidRPr="00C4699C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B27DA6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B27DA6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27DA6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27DA6" w:rsidRPr="00C4699C" w:rsidRDefault="00B27DA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27DA6" w:rsidRPr="00C4699C" w:rsidRDefault="00B27DA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Pr="00C4699C" w:rsidRDefault="00B27DA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27DA6" w:rsidRPr="00C4699C" w:rsidRDefault="00B27DA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8,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B27DA6" w:rsidRPr="00C4699C" w:rsidRDefault="00B27DA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B27DA6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27DA6" w:rsidSect="00B27DA6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B27DA6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27DA6" w:rsidSect="00B27DA6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27DA6" w:rsidRPr="00057980" w:rsidRDefault="00B27DA6" w:rsidP="00B27DA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A50B6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A50B6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2273471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A50B6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David</w:t>
      </w:r>
      <w:proofErr w:type="gramEnd"/>
      <w:r w:rsidRPr="00A50B6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Facenda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A50B6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bookmarkEnd w:id="0"/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David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Facenda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1435 South Beulah Street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19147-5725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50B69">
        <w:rPr>
          <w:rFonts w:ascii="Microsoft Sans Serif" w:hAnsi="Microsoft Sans Serif" w:cs="Microsoft Sans Serif"/>
          <w:b/>
          <w:caps/>
          <w:noProof/>
          <w:szCs w:val="24"/>
        </w:rPr>
        <w:t>(215) 755-6564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  <w:r w:rsidRPr="00A50B6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50B69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B27DA6" w:rsidRDefault="00B27DA6" w:rsidP="00B27DA6">
      <w:pPr>
        <w:rPr>
          <w:rFonts w:ascii="Microsoft Sans Serif" w:hAnsi="Microsoft Sans Serif" w:cs="Microsoft Sans Serif"/>
          <w:b/>
          <w:caps/>
          <w:szCs w:val="24"/>
        </w:rPr>
        <w:sectPr w:rsidR="00B27DA6" w:rsidSect="003700E2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A50B69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B27DA6" w:rsidRPr="00057980" w:rsidRDefault="00B27DA6" w:rsidP="00B27DA6">
      <w:pPr>
        <w:rPr>
          <w:rFonts w:ascii="Microsoft Sans Serif" w:hAnsi="Microsoft Sans Serif" w:cs="Microsoft Sans Serif"/>
          <w:caps/>
          <w:szCs w:val="24"/>
        </w:rPr>
      </w:pPr>
    </w:p>
    <w:p w:rsidR="00B27DA6" w:rsidRPr="00C4699C" w:rsidRDefault="00B27DA6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B27DA6" w:rsidRPr="00C4699C" w:rsidSect="003700E2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76" w:rsidRDefault="00DE5D76">
      <w:r>
        <w:separator/>
      </w:r>
    </w:p>
  </w:endnote>
  <w:endnote w:type="continuationSeparator" w:id="0">
    <w:p w:rsidR="00DE5D76" w:rsidRDefault="00DE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A6" w:rsidRDefault="00B27D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7DA6" w:rsidRDefault="00B27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A6" w:rsidRPr="00C967F5" w:rsidRDefault="00B27DA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27DA6" w:rsidRDefault="00B27DA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B27DA6" w:rsidRPr="00C967F5" w:rsidRDefault="00B27DA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4C2EB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76" w:rsidRDefault="00DE5D76">
      <w:r>
        <w:separator/>
      </w:r>
    </w:p>
  </w:footnote>
  <w:footnote w:type="continuationSeparator" w:id="0">
    <w:p w:rsidR="00DE5D76" w:rsidRDefault="00DE5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C2EB6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27DA6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E5D76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FB14-5846-4049-B6B2-04D686B4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2180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2011-12-07T21:19:00Z</cp:lastPrinted>
  <dcterms:created xsi:type="dcterms:W3CDTF">2011-12-07T21:13:00Z</dcterms:created>
  <dcterms:modified xsi:type="dcterms:W3CDTF">2011-12-07T21:20:00Z</dcterms:modified>
</cp:coreProperties>
</file>