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BC699E" w:rsidP="000832C4">
      <w:pPr>
        <w:jc w:val="center"/>
        <w:rPr>
          <w:sz w:val="24"/>
          <w:szCs w:val="24"/>
        </w:rPr>
      </w:pPr>
      <w:r>
        <w:rPr>
          <w:sz w:val="24"/>
          <w:szCs w:val="24"/>
        </w:rPr>
        <w:lastRenderedPageBreak/>
        <w:t>December 9, 2011</w:t>
      </w:r>
    </w:p>
    <w:p w:rsidR="00F2123C" w:rsidRPr="000832C4" w:rsidRDefault="00474543" w:rsidP="00474543">
      <w:pPr>
        <w:jc w:val="right"/>
        <w:rPr>
          <w:sz w:val="24"/>
          <w:szCs w:val="24"/>
        </w:rPr>
      </w:pPr>
      <w:r>
        <w:rPr>
          <w:sz w:val="24"/>
          <w:szCs w:val="24"/>
        </w:rPr>
        <w:t>Docket No. M-2009-2123950</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8A4C7A" w:rsidRDefault="00474543" w:rsidP="00B45673">
      <w:pPr>
        <w:rPr>
          <w:sz w:val="21"/>
          <w:szCs w:val="21"/>
        </w:rPr>
      </w:pPr>
      <w:r>
        <w:rPr>
          <w:sz w:val="21"/>
          <w:szCs w:val="21"/>
        </w:rPr>
        <w:t xml:space="preserve">CHARLES V FULLEM </w:t>
      </w:r>
      <w:r w:rsidR="00774FC7">
        <w:rPr>
          <w:sz w:val="21"/>
          <w:szCs w:val="21"/>
        </w:rPr>
        <w:t xml:space="preserve"> </w:t>
      </w:r>
    </w:p>
    <w:p w:rsidR="00474543" w:rsidRDefault="00474543" w:rsidP="00B45673">
      <w:pPr>
        <w:rPr>
          <w:sz w:val="21"/>
          <w:szCs w:val="21"/>
        </w:rPr>
      </w:pPr>
      <w:r>
        <w:rPr>
          <w:sz w:val="21"/>
          <w:szCs w:val="21"/>
        </w:rPr>
        <w:t>DIRECTOR OF RATES &amp; REGULATORY AFFAIRS-PA</w:t>
      </w:r>
    </w:p>
    <w:p w:rsidR="00B45AC9" w:rsidRPr="00AB60E6" w:rsidRDefault="00474543" w:rsidP="00B45673">
      <w:pPr>
        <w:rPr>
          <w:sz w:val="21"/>
          <w:szCs w:val="21"/>
        </w:rPr>
      </w:pPr>
      <w:r>
        <w:rPr>
          <w:sz w:val="21"/>
          <w:szCs w:val="21"/>
        </w:rPr>
        <w:t>PENNSYLVANIA PO</w:t>
      </w:r>
      <w:r w:rsidR="00982A1E">
        <w:rPr>
          <w:sz w:val="21"/>
          <w:szCs w:val="21"/>
        </w:rPr>
        <w:t>WE</w:t>
      </w:r>
      <w:r>
        <w:rPr>
          <w:sz w:val="21"/>
          <w:szCs w:val="21"/>
        </w:rPr>
        <w:t>R COMPANY</w:t>
      </w:r>
      <w:r w:rsidR="00774FC7">
        <w:rPr>
          <w:sz w:val="21"/>
          <w:szCs w:val="21"/>
        </w:rPr>
        <w:t xml:space="preserve"> </w:t>
      </w:r>
      <w:r w:rsidR="008A4C7A">
        <w:rPr>
          <w:sz w:val="21"/>
          <w:szCs w:val="21"/>
        </w:rPr>
        <w:t xml:space="preserve"> </w:t>
      </w:r>
      <w:r w:rsidR="0043103D">
        <w:rPr>
          <w:sz w:val="21"/>
          <w:szCs w:val="21"/>
        </w:rPr>
        <w:t xml:space="preserve"> </w:t>
      </w:r>
    </w:p>
    <w:p w:rsidR="00474543" w:rsidRDefault="00474543" w:rsidP="00B45673">
      <w:pPr>
        <w:rPr>
          <w:sz w:val="21"/>
          <w:szCs w:val="21"/>
        </w:rPr>
      </w:pPr>
      <w:r>
        <w:rPr>
          <w:sz w:val="21"/>
          <w:szCs w:val="21"/>
        </w:rPr>
        <w:t xml:space="preserve">2800 POTTSVILLE PIKE </w:t>
      </w:r>
    </w:p>
    <w:p w:rsidR="00B45673" w:rsidRPr="00AB60E6" w:rsidRDefault="00474543" w:rsidP="00B45673">
      <w:pPr>
        <w:rPr>
          <w:sz w:val="21"/>
          <w:szCs w:val="21"/>
        </w:rPr>
      </w:pPr>
      <w:r>
        <w:rPr>
          <w:sz w:val="21"/>
          <w:szCs w:val="21"/>
        </w:rPr>
        <w:t>P O BOX 16001</w:t>
      </w:r>
      <w:r w:rsidR="00774FC7">
        <w:rPr>
          <w:sz w:val="21"/>
          <w:szCs w:val="21"/>
        </w:rPr>
        <w:t xml:space="preserve"> </w:t>
      </w:r>
      <w:r w:rsidR="00926F9A">
        <w:rPr>
          <w:sz w:val="21"/>
          <w:szCs w:val="21"/>
        </w:rPr>
        <w:t xml:space="preserve"> </w:t>
      </w:r>
      <w:r w:rsidR="0043103D">
        <w:rPr>
          <w:sz w:val="21"/>
          <w:szCs w:val="21"/>
        </w:rPr>
        <w:t xml:space="preserve"> </w:t>
      </w:r>
    </w:p>
    <w:p w:rsidR="00DF3361" w:rsidRPr="00AB60E6" w:rsidRDefault="00474543" w:rsidP="00B45673">
      <w:pPr>
        <w:rPr>
          <w:sz w:val="21"/>
          <w:szCs w:val="21"/>
        </w:rPr>
      </w:pPr>
      <w:r>
        <w:rPr>
          <w:sz w:val="21"/>
          <w:szCs w:val="21"/>
        </w:rPr>
        <w:t xml:space="preserve">READING </w:t>
      </w:r>
      <w:r w:rsidR="00774FC7">
        <w:rPr>
          <w:sz w:val="21"/>
          <w:szCs w:val="21"/>
        </w:rPr>
        <w:t xml:space="preserve">PA  </w:t>
      </w:r>
      <w:r>
        <w:rPr>
          <w:sz w:val="21"/>
          <w:szCs w:val="21"/>
        </w:rPr>
        <w:t>19612-</w:t>
      </w:r>
      <w:r w:rsidR="00774FC7">
        <w:rPr>
          <w:sz w:val="21"/>
          <w:szCs w:val="21"/>
        </w:rPr>
        <w:t>6</w:t>
      </w:r>
      <w:r>
        <w:rPr>
          <w:sz w:val="21"/>
          <w:szCs w:val="21"/>
        </w:rPr>
        <w:t>0</w:t>
      </w:r>
      <w:r w:rsidR="00774FC7">
        <w:rPr>
          <w:sz w:val="21"/>
          <w:szCs w:val="21"/>
        </w:rPr>
        <w:t xml:space="preserve">01 </w:t>
      </w:r>
      <w:r w:rsidR="0043103D">
        <w:rPr>
          <w:sz w:val="21"/>
          <w:szCs w:val="21"/>
        </w:rPr>
        <w:t xml:space="preserve"> </w:t>
      </w:r>
    </w:p>
    <w:p w:rsidR="00B45673" w:rsidRDefault="00B45673" w:rsidP="00B45673">
      <w:pPr>
        <w:rPr>
          <w:sz w:val="21"/>
          <w:szCs w:val="21"/>
        </w:rPr>
      </w:pPr>
    </w:p>
    <w:p w:rsidR="00474543" w:rsidRDefault="00B45673" w:rsidP="00D16063">
      <w:pPr>
        <w:ind w:left="1080" w:hanging="360"/>
        <w:rPr>
          <w:sz w:val="21"/>
          <w:szCs w:val="21"/>
        </w:rPr>
      </w:pPr>
      <w:r w:rsidRPr="00AB60E6">
        <w:rPr>
          <w:sz w:val="21"/>
          <w:szCs w:val="21"/>
        </w:rPr>
        <w:t xml:space="preserve">Re: </w:t>
      </w:r>
      <w:r w:rsidR="00774FC7">
        <w:rPr>
          <w:sz w:val="21"/>
          <w:szCs w:val="21"/>
        </w:rPr>
        <w:t xml:space="preserve">Joint </w:t>
      </w:r>
      <w:r w:rsidR="00474543">
        <w:rPr>
          <w:sz w:val="21"/>
          <w:szCs w:val="21"/>
        </w:rPr>
        <w:t xml:space="preserve">Petition of Metropolitan Edison Company, Pennsylvania Electric Company, and Pennsylvania Power Company for Approval of Smart Meter Technology Procurement and Installment Plan </w:t>
      </w:r>
    </w:p>
    <w:p w:rsidR="00474543" w:rsidRDefault="00474543" w:rsidP="00D16063">
      <w:pPr>
        <w:ind w:left="1080" w:hanging="360"/>
        <w:rPr>
          <w:sz w:val="21"/>
          <w:szCs w:val="21"/>
        </w:rPr>
      </w:pPr>
      <w:r>
        <w:rPr>
          <w:sz w:val="21"/>
          <w:szCs w:val="21"/>
        </w:rPr>
        <w:tab/>
      </w:r>
    </w:p>
    <w:p w:rsidR="00474543" w:rsidRDefault="00474543" w:rsidP="00D16063">
      <w:pPr>
        <w:ind w:left="1080" w:hanging="360"/>
        <w:rPr>
          <w:sz w:val="21"/>
          <w:szCs w:val="21"/>
        </w:rPr>
      </w:pPr>
      <w:r>
        <w:rPr>
          <w:sz w:val="21"/>
          <w:szCs w:val="21"/>
        </w:rPr>
        <w:tab/>
        <w:t>Pennsylvania Power Company Tariff Pa. P.U.C. No. 35, Supplement No. 76 – Change in Smart Meter Technologies Charge Rates</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8A4C7A">
        <w:rPr>
          <w:sz w:val="21"/>
          <w:szCs w:val="21"/>
        </w:rPr>
        <w:t>r</w:t>
      </w:r>
      <w:r w:rsidR="00873C66">
        <w:rPr>
          <w:sz w:val="21"/>
          <w:szCs w:val="21"/>
        </w:rPr>
        <w:t xml:space="preserve">. </w:t>
      </w:r>
      <w:r w:rsidR="00474543">
        <w:rPr>
          <w:sz w:val="21"/>
          <w:szCs w:val="21"/>
        </w:rPr>
        <w:t>Fullem</w:t>
      </w:r>
      <w:r w:rsidR="006D5846">
        <w:rPr>
          <w:sz w:val="21"/>
          <w:szCs w:val="21"/>
        </w:rPr>
        <w:t>:</w:t>
      </w:r>
    </w:p>
    <w:p w:rsidR="00B45673" w:rsidRPr="00AB60E6" w:rsidRDefault="00B45673" w:rsidP="00B45673">
      <w:pPr>
        <w:rPr>
          <w:sz w:val="21"/>
          <w:szCs w:val="21"/>
        </w:rPr>
      </w:pPr>
    </w:p>
    <w:p w:rsidR="00757E90"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982A1E">
        <w:rPr>
          <w:sz w:val="21"/>
          <w:szCs w:val="21"/>
        </w:rPr>
        <w:t>August 1</w:t>
      </w:r>
      <w:r w:rsidR="00474543">
        <w:rPr>
          <w:sz w:val="21"/>
          <w:szCs w:val="21"/>
        </w:rPr>
        <w:t xml:space="preserve">, 2011, Pennsylvania Power Company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Supplement No. 76 to Tariff Electric-Pa.P.U.C. No. 35 to become effective on January 1, 2012.  Supplement No. 76 contains changes in the Smart Meter Technologies Charge rates for the Residential, Commercial and Industri</w:t>
      </w:r>
      <w:r w:rsidR="00C46A89">
        <w:rPr>
          <w:sz w:val="21"/>
          <w:szCs w:val="21"/>
        </w:rPr>
        <w:t>al Customer Classes for service</w:t>
      </w:r>
      <w:r w:rsidR="00474543">
        <w:rPr>
          <w:sz w:val="21"/>
          <w:szCs w:val="21"/>
        </w:rPr>
        <w:t xml:space="preserve"> rendered on </w:t>
      </w:r>
      <w:r w:rsidR="00982A1E">
        <w:rPr>
          <w:sz w:val="21"/>
          <w:szCs w:val="21"/>
        </w:rPr>
        <w:t>or</w:t>
      </w:r>
      <w:r w:rsidR="00474543">
        <w:rPr>
          <w:sz w:val="21"/>
          <w:szCs w:val="21"/>
        </w:rPr>
        <w:t xml:space="preserve"> after January 1, 2012 through December 31, 2012.  </w:t>
      </w:r>
    </w:p>
    <w:p w:rsidR="00474543" w:rsidRDefault="00474543"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474543">
        <w:rPr>
          <w:sz w:val="21"/>
          <w:szCs w:val="21"/>
        </w:rPr>
        <w:t>76</w:t>
      </w:r>
      <w:r w:rsidR="00A4155F">
        <w:rPr>
          <w:sz w:val="21"/>
          <w:szCs w:val="21"/>
        </w:rPr>
        <w:t xml:space="preserve"> to Tariff </w:t>
      </w:r>
      <w:r w:rsidR="00085FB4">
        <w:rPr>
          <w:sz w:val="21"/>
          <w:szCs w:val="21"/>
        </w:rPr>
        <w:t>Electric</w:t>
      </w:r>
      <w:r w:rsidR="00A4155F">
        <w:rPr>
          <w:sz w:val="21"/>
          <w:szCs w:val="21"/>
        </w:rPr>
        <w:t>-Pa. P.U.C. No.</w:t>
      </w:r>
      <w:r w:rsidR="00474543">
        <w:rPr>
          <w:sz w:val="21"/>
          <w:szCs w:val="21"/>
        </w:rPr>
        <w:t xml:space="preserve"> 35</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A4155F" w:rsidP="00757E90">
      <w:pPr>
        <w:ind w:hanging="1080"/>
        <w:rPr>
          <w:sz w:val="21"/>
          <w:szCs w:val="21"/>
        </w:rPr>
      </w:pPr>
    </w:p>
    <w:p w:rsidR="00DD2FE2" w:rsidRPr="00AB60E6" w:rsidRDefault="00BC699E" w:rsidP="00DD2FE2">
      <w:pPr>
        <w:rPr>
          <w:sz w:val="21"/>
          <w:szCs w:val="21"/>
        </w:rPr>
      </w:pPr>
      <w:bookmarkStart w:id="0" w:name="_GoBack"/>
      <w:r w:rsidRPr="00A4345F">
        <w:rPr>
          <w:noProof/>
        </w:rPr>
        <w:drawing>
          <wp:anchor distT="0" distB="0" distL="114300" distR="114300" simplePos="0" relativeHeight="251659264" behindDoc="1" locked="0" layoutInCell="1" allowOverlap="1" wp14:anchorId="33A98588" wp14:editId="097471E0">
            <wp:simplePos x="0" y="0"/>
            <wp:positionH relativeFrom="column">
              <wp:posOffset>3158490</wp:posOffset>
            </wp:positionH>
            <wp:positionV relativeFrom="paragraph">
              <wp:posOffset>59690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D9" w:rsidRDefault="00B919D9">
      <w:r>
        <w:separator/>
      </w:r>
    </w:p>
  </w:endnote>
  <w:endnote w:type="continuationSeparator" w:id="0">
    <w:p w:rsidR="00B919D9" w:rsidRDefault="00B9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D9" w:rsidRDefault="00B919D9">
      <w:r>
        <w:separator/>
      </w:r>
    </w:p>
  </w:footnote>
  <w:footnote w:type="continuationSeparator" w:id="0">
    <w:p w:rsidR="00B919D9" w:rsidRDefault="00B91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71145"/>
    <w:rsid w:val="000832C4"/>
    <w:rsid w:val="00085FB4"/>
    <w:rsid w:val="000902D5"/>
    <w:rsid w:val="00097C11"/>
    <w:rsid w:val="000B058B"/>
    <w:rsid w:val="000C326E"/>
    <w:rsid w:val="000C6967"/>
    <w:rsid w:val="000D2908"/>
    <w:rsid w:val="000D353A"/>
    <w:rsid w:val="000E7F59"/>
    <w:rsid w:val="000F4747"/>
    <w:rsid w:val="00130671"/>
    <w:rsid w:val="001508ED"/>
    <w:rsid w:val="0017227E"/>
    <w:rsid w:val="001878A7"/>
    <w:rsid w:val="00260FC4"/>
    <w:rsid w:val="002824E7"/>
    <w:rsid w:val="003461CD"/>
    <w:rsid w:val="003D1F83"/>
    <w:rsid w:val="003D45ED"/>
    <w:rsid w:val="003D613B"/>
    <w:rsid w:val="003F15D5"/>
    <w:rsid w:val="00400D28"/>
    <w:rsid w:val="0043103D"/>
    <w:rsid w:val="00474543"/>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74FC7"/>
    <w:rsid w:val="007C2FEA"/>
    <w:rsid w:val="00826337"/>
    <w:rsid w:val="00873C66"/>
    <w:rsid w:val="008A4C7A"/>
    <w:rsid w:val="008C4062"/>
    <w:rsid w:val="008D31D7"/>
    <w:rsid w:val="008F4177"/>
    <w:rsid w:val="00920579"/>
    <w:rsid w:val="00926F9A"/>
    <w:rsid w:val="00946C8F"/>
    <w:rsid w:val="00953D93"/>
    <w:rsid w:val="00982A1E"/>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19D9"/>
    <w:rsid w:val="00B93058"/>
    <w:rsid w:val="00B95A27"/>
    <w:rsid w:val="00BB78EB"/>
    <w:rsid w:val="00BC699E"/>
    <w:rsid w:val="00BF6C18"/>
    <w:rsid w:val="00C04F4E"/>
    <w:rsid w:val="00C10E1B"/>
    <w:rsid w:val="00C46A89"/>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5</cp:revision>
  <cp:lastPrinted>2011-12-09T16:32:00Z</cp:lastPrinted>
  <dcterms:created xsi:type="dcterms:W3CDTF">2011-12-09T14:27:00Z</dcterms:created>
  <dcterms:modified xsi:type="dcterms:W3CDTF">2011-12-09T16:32:00Z</dcterms:modified>
</cp:coreProperties>
</file>