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691DC1" w:rsidP="00691DC1">
      <w:pPr>
        <w:spacing w:line="240" w:lineRule="auto"/>
        <w:contextualSpacing/>
        <w:rPr>
          <w:b/>
        </w:rPr>
      </w:pPr>
      <w:r>
        <w:rPr>
          <w:b/>
        </w:rPr>
        <w:t>BEFORE THE</w:t>
      </w:r>
    </w:p>
    <w:p w:rsidR="00691DC1" w:rsidRDefault="00691DC1" w:rsidP="00691DC1">
      <w:pPr>
        <w:spacing w:line="240" w:lineRule="auto"/>
        <w:contextualSpacing/>
        <w:rPr>
          <w:b/>
        </w:rPr>
      </w:pPr>
      <w:r>
        <w:rPr>
          <w:b/>
        </w:rPr>
        <w:t>PENNSYLVANIA PUBLIC UTILITY COMMISSION</w:t>
      </w:r>
    </w:p>
    <w:p w:rsidR="00691DC1" w:rsidRDefault="00691DC1" w:rsidP="00691DC1">
      <w:pPr>
        <w:spacing w:line="240" w:lineRule="auto"/>
        <w:contextualSpacing/>
        <w:rPr>
          <w:b/>
        </w:rPr>
      </w:pPr>
    </w:p>
    <w:p w:rsidR="00691DC1" w:rsidRDefault="00691DC1" w:rsidP="00691DC1">
      <w:pPr>
        <w:spacing w:line="240" w:lineRule="auto"/>
        <w:contextualSpacing/>
        <w:rPr>
          <w:b/>
        </w:rPr>
      </w:pPr>
    </w:p>
    <w:p w:rsidR="00691DC1" w:rsidRDefault="00691DC1" w:rsidP="00691DC1">
      <w:pPr>
        <w:spacing w:line="240" w:lineRule="auto"/>
        <w:contextualSpacing/>
        <w:jc w:val="left"/>
      </w:pPr>
      <w:r>
        <w:t xml:space="preserve">Pennsylvania Public Utility Commission </w:t>
      </w:r>
      <w:r>
        <w:tab/>
      </w:r>
      <w:r>
        <w:tab/>
        <w:t>:</w:t>
      </w:r>
    </w:p>
    <w:p w:rsidR="00691DC1" w:rsidRDefault="00691DC1" w:rsidP="00691DC1">
      <w:pPr>
        <w:spacing w:line="240" w:lineRule="auto"/>
        <w:contextualSpacing/>
        <w:jc w:val="left"/>
      </w:pPr>
      <w:r>
        <w:tab/>
      </w:r>
      <w:r>
        <w:tab/>
      </w:r>
      <w:r>
        <w:tab/>
      </w:r>
      <w:r>
        <w:tab/>
      </w:r>
      <w:r>
        <w:tab/>
      </w:r>
      <w:r>
        <w:tab/>
      </w:r>
      <w:r>
        <w:tab/>
        <w:t>:</w:t>
      </w:r>
    </w:p>
    <w:p w:rsidR="00691DC1" w:rsidRDefault="00691DC1" w:rsidP="00691DC1">
      <w:pPr>
        <w:spacing w:line="240" w:lineRule="auto"/>
        <w:contextualSpacing/>
        <w:jc w:val="left"/>
      </w:pPr>
      <w:r>
        <w:tab/>
        <w:t>v.</w:t>
      </w:r>
      <w:r>
        <w:tab/>
      </w:r>
      <w:r>
        <w:tab/>
      </w:r>
      <w:r>
        <w:tab/>
      </w:r>
      <w:r>
        <w:tab/>
      </w:r>
      <w:r>
        <w:tab/>
      </w:r>
      <w:r>
        <w:tab/>
        <w:t>:</w:t>
      </w:r>
      <w:r>
        <w:tab/>
      </w:r>
      <w:r>
        <w:tab/>
      </w:r>
      <w:r>
        <w:tab/>
        <w:t>R-2011-2264771</w:t>
      </w:r>
    </w:p>
    <w:p w:rsidR="00691DC1" w:rsidRDefault="00691DC1" w:rsidP="00691DC1">
      <w:pPr>
        <w:spacing w:line="240" w:lineRule="auto"/>
        <w:contextualSpacing/>
        <w:jc w:val="left"/>
      </w:pPr>
      <w:r>
        <w:tab/>
      </w:r>
      <w:r>
        <w:tab/>
      </w:r>
      <w:r>
        <w:tab/>
      </w:r>
      <w:r>
        <w:tab/>
      </w:r>
      <w:r>
        <w:tab/>
      </w:r>
      <w:r>
        <w:tab/>
      </w:r>
      <w:r>
        <w:tab/>
        <w:t>:</w:t>
      </w:r>
    </w:p>
    <w:p w:rsidR="00691DC1" w:rsidRDefault="00691DC1" w:rsidP="00691DC1">
      <w:pPr>
        <w:spacing w:line="240" w:lineRule="auto"/>
        <w:contextualSpacing/>
        <w:jc w:val="left"/>
      </w:pPr>
      <w:r>
        <w:t>PPL Electric Utilities Corporation</w:t>
      </w:r>
      <w:r>
        <w:tab/>
      </w:r>
      <w:r>
        <w:tab/>
      </w:r>
      <w:r>
        <w:tab/>
        <w:t>:</w:t>
      </w:r>
    </w:p>
    <w:p w:rsidR="00691DC1" w:rsidRDefault="00691DC1" w:rsidP="00691DC1">
      <w:pPr>
        <w:spacing w:line="240" w:lineRule="auto"/>
        <w:contextualSpacing/>
        <w:jc w:val="left"/>
      </w:pPr>
    </w:p>
    <w:p w:rsidR="00691DC1" w:rsidRDefault="00691DC1" w:rsidP="00691DC1">
      <w:pPr>
        <w:spacing w:line="240" w:lineRule="auto"/>
        <w:contextualSpacing/>
        <w:jc w:val="left"/>
      </w:pPr>
      <w:r>
        <w:t>Office of Consumer Advocate</w:t>
      </w:r>
      <w:r>
        <w:tab/>
      </w:r>
      <w:r>
        <w:tab/>
      </w:r>
      <w:r>
        <w:tab/>
        <w:t>:</w:t>
      </w:r>
    </w:p>
    <w:p w:rsidR="00691DC1" w:rsidRDefault="00691DC1" w:rsidP="00691DC1">
      <w:pPr>
        <w:spacing w:line="240" w:lineRule="auto"/>
        <w:contextualSpacing/>
        <w:jc w:val="left"/>
      </w:pPr>
      <w:r>
        <w:tab/>
      </w:r>
      <w:r>
        <w:tab/>
      </w:r>
      <w:r>
        <w:tab/>
      </w:r>
      <w:r>
        <w:tab/>
      </w:r>
      <w:r>
        <w:tab/>
      </w:r>
      <w:r>
        <w:tab/>
      </w:r>
      <w:r>
        <w:tab/>
        <w:t>:</w:t>
      </w:r>
    </w:p>
    <w:p w:rsidR="00691DC1" w:rsidRDefault="00691DC1" w:rsidP="00691DC1">
      <w:pPr>
        <w:spacing w:line="240" w:lineRule="auto"/>
        <w:contextualSpacing/>
        <w:jc w:val="left"/>
      </w:pPr>
      <w:r>
        <w:tab/>
        <w:t>v.</w:t>
      </w:r>
      <w:r>
        <w:tab/>
      </w:r>
      <w:r>
        <w:tab/>
      </w:r>
      <w:r>
        <w:tab/>
      </w:r>
      <w:r>
        <w:tab/>
      </w:r>
      <w:r>
        <w:tab/>
      </w:r>
      <w:r>
        <w:tab/>
        <w:t>:</w:t>
      </w:r>
      <w:r>
        <w:tab/>
      </w:r>
      <w:r>
        <w:tab/>
      </w:r>
      <w:r>
        <w:tab/>
        <w:t>C-2011-2267808</w:t>
      </w:r>
    </w:p>
    <w:p w:rsidR="00691DC1" w:rsidRDefault="00691DC1" w:rsidP="00691DC1">
      <w:pPr>
        <w:spacing w:line="240" w:lineRule="auto"/>
        <w:contextualSpacing/>
        <w:jc w:val="left"/>
      </w:pPr>
      <w:r>
        <w:tab/>
      </w:r>
      <w:r>
        <w:tab/>
      </w:r>
      <w:r>
        <w:tab/>
      </w:r>
      <w:r>
        <w:tab/>
      </w:r>
      <w:r>
        <w:tab/>
      </w:r>
      <w:r>
        <w:tab/>
      </w:r>
      <w:r>
        <w:tab/>
        <w:t>:</w:t>
      </w:r>
    </w:p>
    <w:p w:rsidR="00691DC1" w:rsidRDefault="00691DC1" w:rsidP="00691DC1">
      <w:pPr>
        <w:spacing w:line="240" w:lineRule="auto"/>
        <w:contextualSpacing/>
        <w:jc w:val="left"/>
      </w:pPr>
      <w:r>
        <w:t>PPL Electric Utilities Corporation</w:t>
      </w:r>
      <w:r>
        <w:tab/>
      </w:r>
      <w:r>
        <w:tab/>
      </w:r>
      <w:r>
        <w:tab/>
        <w:t>:</w:t>
      </w:r>
    </w:p>
    <w:p w:rsidR="00691DC1" w:rsidRDefault="00691DC1" w:rsidP="00691DC1">
      <w:pPr>
        <w:spacing w:line="240" w:lineRule="auto"/>
        <w:contextualSpacing/>
        <w:jc w:val="left"/>
      </w:pPr>
    </w:p>
    <w:p w:rsidR="00691DC1" w:rsidRDefault="00691DC1" w:rsidP="00691DC1">
      <w:pPr>
        <w:spacing w:line="240" w:lineRule="auto"/>
        <w:contextualSpacing/>
        <w:jc w:val="left"/>
      </w:pPr>
      <w:r>
        <w:t>Office of Small Business Advocate</w:t>
      </w:r>
      <w:r>
        <w:tab/>
      </w:r>
      <w:r>
        <w:tab/>
      </w:r>
      <w:r>
        <w:tab/>
        <w:t>:</w:t>
      </w:r>
    </w:p>
    <w:p w:rsidR="00691DC1" w:rsidRDefault="00691DC1" w:rsidP="00691DC1">
      <w:pPr>
        <w:spacing w:line="240" w:lineRule="auto"/>
        <w:contextualSpacing/>
        <w:jc w:val="left"/>
      </w:pPr>
      <w:r>
        <w:tab/>
      </w:r>
      <w:r>
        <w:tab/>
      </w:r>
      <w:r>
        <w:tab/>
      </w:r>
      <w:r>
        <w:tab/>
      </w:r>
      <w:r>
        <w:tab/>
      </w:r>
      <w:r>
        <w:tab/>
      </w:r>
      <w:r>
        <w:tab/>
        <w:t>:</w:t>
      </w:r>
    </w:p>
    <w:p w:rsidR="00691DC1" w:rsidRDefault="00691DC1" w:rsidP="00691DC1">
      <w:pPr>
        <w:spacing w:line="240" w:lineRule="auto"/>
        <w:contextualSpacing/>
        <w:jc w:val="left"/>
      </w:pPr>
      <w:r>
        <w:tab/>
        <w:t>v.</w:t>
      </w:r>
      <w:r>
        <w:tab/>
      </w:r>
      <w:r>
        <w:tab/>
      </w:r>
      <w:r>
        <w:tab/>
      </w:r>
      <w:r>
        <w:tab/>
      </w:r>
      <w:r>
        <w:tab/>
      </w:r>
      <w:r>
        <w:tab/>
        <w:t>:</w:t>
      </w:r>
      <w:r>
        <w:tab/>
      </w:r>
      <w:r>
        <w:tab/>
      </w:r>
      <w:r>
        <w:tab/>
        <w:t>C-2011-2268983</w:t>
      </w:r>
    </w:p>
    <w:p w:rsidR="00691DC1" w:rsidRDefault="00691DC1" w:rsidP="00691DC1">
      <w:pPr>
        <w:spacing w:line="240" w:lineRule="auto"/>
        <w:contextualSpacing/>
        <w:jc w:val="left"/>
      </w:pPr>
      <w:r>
        <w:tab/>
      </w:r>
      <w:r>
        <w:tab/>
      </w:r>
      <w:r>
        <w:tab/>
      </w:r>
      <w:r>
        <w:tab/>
      </w:r>
      <w:r>
        <w:tab/>
      </w:r>
      <w:r>
        <w:tab/>
      </w:r>
      <w:r>
        <w:tab/>
        <w:t>:</w:t>
      </w:r>
    </w:p>
    <w:p w:rsidR="00691DC1" w:rsidRDefault="00691DC1" w:rsidP="00691DC1">
      <w:pPr>
        <w:spacing w:line="240" w:lineRule="auto"/>
        <w:contextualSpacing/>
        <w:jc w:val="left"/>
      </w:pPr>
      <w:r>
        <w:t>PPL Electric Utilities Corporation</w:t>
      </w:r>
      <w:r>
        <w:tab/>
      </w:r>
      <w:r>
        <w:tab/>
      </w:r>
      <w:r>
        <w:tab/>
        <w:t>:</w:t>
      </w:r>
    </w:p>
    <w:p w:rsidR="00691DC1" w:rsidRDefault="00691DC1" w:rsidP="00691DC1">
      <w:pPr>
        <w:spacing w:line="240" w:lineRule="auto"/>
        <w:contextualSpacing/>
        <w:jc w:val="left"/>
      </w:pPr>
    </w:p>
    <w:p w:rsidR="009A30B3" w:rsidRDefault="009A30B3" w:rsidP="00691DC1">
      <w:pPr>
        <w:spacing w:line="240" w:lineRule="auto"/>
        <w:contextualSpacing/>
        <w:jc w:val="left"/>
      </w:pPr>
    </w:p>
    <w:p w:rsidR="00691DC1" w:rsidRDefault="00691DC1" w:rsidP="00691DC1">
      <w:pPr>
        <w:spacing w:line="240" w:lineRule="auto"/>
        <w:contextualSpacing/>
        <w:rPr>
          <w:b/>
        </w:rPr>
      </w:pPr>
      <w:r>
        <w:rPr>
          <w:b/>
        </w:rPr>
        <w:t>SCHEDULING ORDER</w:t>
      </w:r>
    </w:p>
    <w:p w:rsidR="00691DC1" w:rsidRDefault="00691DC1" w:rsidP="00691DC1">
      <w:pPr>
        <w:spacing w:line="240" w:lineRule="auto"/>
        <w:contextualSpacing/>
        <w:rPr>
          <w:b/>
        </w:rPr>
      </w:pPr>
    </w:p>
    <w:p w:rsidR="00691DC1" w:rsidRDefault="00691DC1" w:rsidP="0094035E">
      <w:pPr>
        <w:contextualSpacing/>
        <w:jc w:val="left"/>
      </w:pPr>
    </w:p>
    <w:p w:rsidR="00691DC1" w:rsidRDefault="00691DC1" w:rsidP="0094035E">
      <w:pPr>
        <w:contextualSpacing/>
        <w:jc w:val="left"/>
      </w:pPr>
      <w:r>
        <w:tab/>
      </w:r>
      <w:r>
        <w:tab/>
      </w:r>
      <w:r w:rsidR="0094035E">
        <w:t>On September 26, 2011, PPL Electric Utilities Corporation (Company or PPL) filed Supplement No. 110 to Tariff Electric Pa. P.U.C. No. 201 to become effective March 1, 2011, containing proposed changes in rates, rules, and regulations proposing to implement a new Time-of-Use (TOU) program for its residential and small commercial and industrial customer classes.</w:t>
      </w:r>
    </w:p>
    <w:p w:rsidR="0094035E" w:rsidRDefault="0094035E" w:rsidP="0094035E">
      <w:pPr>
        <w:contextualSpacing/>
        <w:jc w:val="left"/>
      </w:pPr>
    </w:p>
    <w:p w:rsidR="0094035E" w:rsidRDefault="0094035E" w:rsidP="0094035E">
      <w:pPr>
        <w:contextualSpacing/>
        <w:jc w:val="left"/>
      </w:pPr>
      <w:r>
        <w:tab/>
      </w:r>
      <w:r>
        <w:tab/>
        <w:t xml:space="preserve">The filing was in response to the Commission Order entered August 25, 2011 at Docket No. M-2011-2258733, which directed the Company to submit a revised TOU plan within 30 days, and directed that the Company's currently effective TOU rates remain in effect for up to a six-month period. </w:t>
      </w:r>
    </w:p>
    <w:p w:rsidR="0094035E" w:rsidRDefault="0094035E" w:rsidP="0094035E">
      <w:pPr>
        <w:contextualSpacing/>
        <w:jc w:val="left"/>
      </w:pPr>
    </w:p>
    <w:p w:rsidR="0094035E" w:rsidRDefault="0094035E" w:rsidP="0094035E">
      <w:pPr>
        <w:contextualSpacing/>
        <w:jc w:val="left"/>
      </w:pPr>
      <w:r>
        <w:tab/>
      </w:r>
      <w:r>
        <w:tab/>
        <w:t>On October 18, 2011, the Office of Consumer Advocate (OCA) filed a formal Complaint at docket no. C-2011-2267808, and the Office of Small Business Advocate (OSBA</w:t>
      </w:r>
      <w:proofErr w:type="gramStart"/>
      <w:r>
        <w:t xml:space="preserve">)  </w:t>
      </w:r>
      <w:r>
        <w:lastRenderedPageBreak/>
        <w:t>filed</w:t>
      </w:r>
      <w:proofErr w:type="gramEnd"/>
      <w:r>
        <w:t xml:space="preserve"> a formal Complaint at docket no. </w:t>
      </w:r>
      <w:proofErr w:type="gramStart"/>
      <w:r>
        <w:t>C-2011-2268983.</w:t>
      </w:r>
      <w:proofErr w:type="gramEnd"/>
      <w:r>
        <w:t xml:space="preserve">  </w:t>
      </w:r>
      <w:r w:rsidR="00150E14">
        <w:t xml:space="preserve">PPL filed its Answer to the OCA Complaint on October 31, 2011, and </w:t>
      </w:r>
      <w:proofErr w:type="gramStart"/>
      <w:r w:rsidR="00150E14">
        <w:t>its</w:t>
      </w:r>
      <w:proofErr w:type="gramEnd"/>
      <w:r w:rsidR="00150E14">
        <w:t xml:space="preserve"> Answer to the OSBA Complaint on November 7, 2011.  </w:t>
      </w:r>
    </w:p>
    <w:p w:rsidR="00150E14" w:rsidRDefault="00150E14" w:rsidP="0094035E">
      <w:pPr>
        <w:contextualSpacing/>
        <w:jc w:val="left"/>
      </w:pPr>
    </w:p>
    <w:p w:rsidR="00150E14" w:rsidRDefault="00150E14" w:rsidP="0094035E">
      <w:pPr>
        <w:contextualSpacing/>
        <w:jc w:val="left"/>
      </w:pPr>
      <w:r>
        <w:tab/>
      </w:r>
      <w:r>
        <w:tab/>
        <w:t xml:space="preserve">Petitions to Intervene were filed on October 5, 2011, by Dominion Retail, Inc. d/b/a Dominion Energy Solutions, on October 21, 2011 by Eric Joseph Epstein (Mr. Epstein), and on October 27, 2011 by the Sustainable Energy Fund of Central Eastern Pennsylvania (SEF).  The Commission's Bureau of Investigation and Enforcement </w:t>
      </w:r>
      <w:r w:rsidR="00130C94">
        <w:t xml:space="preserve">(I&amp;E) </w:t>
      </w:r>
      <w:r>
        <w:t xml:space="preserve">filed its Notice of Appearance on October 12, 2011.  </w:t>
      </w:r>
    </w:p>
    <w:p w:rsidR="00150E14" w:rsidRDefault="00150E14" w:rsidP="0094035E">
      <w:pPr>
        <w:contextualSpacing/>
        <w:jc w:val="left"/>
      </w:pPr>
    </w:p>
    <w:p w:rsidR="00150E14" w:rsidRDefault="00150E14" w:rsidP="0094035E">
      <w:pPr>
        <w:contextualSpacing/>
        <w:jc w:val="left"/>
      </w:pPr>
      <w:r>
        <w:tab/>
      </w:r>
      <w:r>
        <w:tab/>
        <w:t xml:space="preserve">By Notice issued November 28, 2011, a prehearing conference was scheduled for December 9, 2011, and the matter was assigned to me.  </w:t>
      </w:r>
    </w:p>
    <w:p w:rsidR="0064288C" w:rsidRDefault="0064288C" w:rsidP="0094035E">
      <w:pPr>
        <w:contextualSpacing/>
        <w:jc w:val="left"/>
      </w:pPr>
    </w:p>
    <w:p w:rsidR="0064288C" w:rsidRDefault="0064288C" w:rsidP="0094035E">
      <w:pPr>
        <w:contextualSpacing/>
        <w:jc w:val="left"/>
      </w:pPr>
      <w:r>
        <w:tab/>
      </w:r>
      <w:r>
        <w:tab/>
        <w:t xml:space="preserve">Prehearing memos were filed by each of the above-listed parties, and the conference was held as scheduled.  </w:t>
      </w:r>
      <w:r w:rsidR="00130C94">
        <w:t xml:space="preserve">The following participated:  on behalf of the Company, David B. </w:t>
      </w:r>
      <w:proofErr w:type="spellStart"/>
      <w:r w:rsidR="00130C94">
        <w:t>MacGregor</w:t>
      </w:r>
      <w:proofErr w:type="spellEnd"/>
      <w:r w:rsidR="00130C94">
        <w:t xml:space="preserve">, Esq., Paul E. Russell, Esq., and Anthony </w:t>
      </w:r>
      <w:proofErr w:type="spellStart"/>
      <w:r w:rsidR="00130C94">
        <w:t>Kanagy</w:t>
      </w:r>
      <w:proofErr w:type="spellEnd"/>
      <w:r w:rsidR="00130C94">
        <w:t xml:space="preserve">, Esq.; on behalf of I&amp;E, Richard A. Kanaskie, Esq.; on behalf of OCA, </w:t>
      </w:r>
      <w:proofErr w:type="spellStart"/>
      <w:r w:rsidR="00130C94">
        <w:t>Aron</w:t>
      </w:r>
      <w:proofErr w:type="spellEnd"/>
      <w:r w:rsidR="00130C94">
        <w:t xml:space="preserve"> Beatty, Esq.; on behalf of OSBA, Sharon Webb, Esq.; on behalf of SEF, Kenneth J. </w:t>
      </w:r>
      <w:proofErr w:type="spellStart"/>
      <w:r w:rsidR="00130C94">
        <w:t>Mickens</w:t>
      </w:r>
      <w:proofErr w:type="spellEnd"/>
      <w:r w:rsidR="00130C94">
        <w:t xml:space="preserve">, Esq.; on behalf of Dominion Retail, Todd S. Stewart, Esq.; and Mr. Epstein appeared on his own behalf.  This group comprises the official </w:t>
      </w:r>
      <w:r w:rsidR="009A30B3">
        <w:t xml:space="preserve">parties list for purposes of </w:t>
      </w:r>
      <w:r w:rsidR="00130C94">
        <w:t>service in this proceeding.</w:t>
      </w:r>
    </w:p>
    <w:p w:rsidR="00130C94" w:rsidRDefault="00130C94" w:rsidP="0094035E">
      <w:pPr>
        <w:contextualSpacing/>
        <w:jc w:val="left"/>
      </w:pPr>
    </w:p>
    <w:p w:rsidR="00130C94" w:rsidRDefault="00130C94" w:rsidP="0094035E">
      <w:pPr>
        <w:contextualSpacing/>
        <w:jc w:val="left"/>
      </w:pPr>
      <w:r>
        <w:tab/>
      </w:r>
      <w:r>
        <w:tab/>
        <w:t xml:space="preserve">The petitions to intervene were granted without opposition.  </w:t>
      </w:r>
    </w:p>
    <w:p w:rsidR="00130C94" w:rsidRDefault="00130C94" w:rsidP="0094035E">
      <w:pPr>
        <w:contextualSpacing/>
        <w:jc w:val="left"/>
      </w:pPr>
    </w:p>
    <w:p w:rsidR="00130C94" w:rsidRDefault="00130C94" w:rsidP="0094035E">
      <w:pPr>
        <w:contextualSpacing/>
        <w:jc w:val="left"/>
      </w:pPr>
      <w:r>
        <w:tab/>
      </w:r>
      <w:r>
        <w:tab/>
        <w:t xml:space="preserve">The parties agreed upon a litigation schedule and modifications to the discovery regulations, which will be adopted here.  </w:t>
      </w:r>
    </w:p>
    <w:p w:rsidR="00130C94" w:rsidRDefault="00130C94" w:rsidP="0094035E">
      <w:pPr>
        <w:contextualSpacing/>
        <w:jc w:val="left"/>
      </w:pPr>
    </w:p>
    <w:p w:rsidR="00130C94" w:rsidRDefault="00130C94" w:rsidP="0094035E">
      <w:pPr>
        <w:contextualSpacing/>
        <w:jc w:val="left"/>
      </w:pPr>
      <w:r>
        <w:tab/>
      </w:r>
      <w:r>
        <w:tab/>
        <w:t>THEREFORE,</w:t>
      </w:r>
    </w:p>
    <w:p w:rsidR="00130C94" w:rsidRDefault="00130C94" w:rsidP="0094035E">
      <w:pPr>
        <w:contextualSpacing/>
        <w:jc w:val="left"/>
      </w:pPr>
    </w:p>
    <w:p w:rsidR="00130C94" w:rsidRDefault="00130C94" w:rsidP="0094035E">
      <w:pPr>
        <w:contextualSpacing/>
        <w:jc w:val="left"/>
      </w:pPr>
      <w:r>
        <w:tab/>
      </w:r>
      <w:r>
        <w:tab/>
        <w:t>IT IS ORDERED:</w:t>
      </w:r>
    </w:p>
    <w:p w:rsidR="00130C94" w:rsidRDefault="00130C94" w:rsidP="0094035E">
      <w:pPr>
        <w:contextualSpacing/>
        <w:jc w:val="left"/>
      </w:pPr>
    </w:p>
    <w:p w:rsidR="00130C94" w:rsidRDefault="00130C94" w:rsidP="0094035E">
      <w:pPr>
        <w:contextualSpacing/>
        <w:jc w:val="left"/>
      </w:pPr>
      <w:r>
        <w:lastRenderedPageBreak/>
        <w:tab/>
      </w:r>
      <w:r>
        <w:tab/>
        <w:t>1.</w:t>
      </w:r>
      <w:r>
        <w:tab/>
        <w:t>That the petitions to inte</w:t>
      </w:r>
      <w:r w:rsidR="00CD3337">
        <w:t>rvene filed by</w:t>
      </w:r>
      <w:r>
        <w:t xml:space="preserve"> Dominion Retail, Inc. d/b</w:t>
      </w:r>
      <w:r w:rsidR="00CD3337">
        <w:t xml:space="preserve">/a Dominion Energy Solutions, Eric Joseph Epstein , and </w:t>
      </w:r>
      <w:r>
        <w:t>the Sustainable Energy Fund of Central Eastern Pennsylvania (SEF), are granted as unopposed.</w:t>
      </w:r>
    </w:p>
    <w:p w:rsidR="00130C94" w:rsidRDefault="00130C94" w:rsidP="0094035E">
      <w:pPr>
        <w:contextualSpacing/>
        <w:jc w:val="left"/>
      </w:pPr>
    </w:p>
    <w:p w:rsidR="00130C94" w:rsidRDefault="00130C94" w:rsidP="0094035E">
      <w:pPr>
        <w:contextualSpacing/>
        <w:jc w:val="left"/>
      </w:pPr>
      <w:r>
        <w:tab/>
      </w:r>
      <w:r>
        <w:tab/>
        <w:t>2.</w:t>
      </w:r>
      <w:r>
        <w:tab/>
        <w:t>That the following litigation schedule is adopted:</w:t>
      </w:r>
    </w:p>
    <w:p w:rsidR="00130C94" w:rsidRDefault="00130C94" w:rsidP="0094035E">
      <w:pPr>
        <w:contextualSpacing/>
        <w:jc w:val="left"/>
      </w:pPr>
    </w:p>
    <w:p w:rsidR="00130C94" w:rsidRDefault="00130C94" w:rsidP="0094035E">
      <w:pPr>
        <w:contextualSpacing/>
        <w:jc w:val="left"/>
      </w:pPr>
      <w:r>
        <w:tab/>
        <w:t>Company direct testimony</w:t>
      </w:r>
      <w:r>
        <w:tab/>
      </w:r>
      <w:r>
        <w:tab/>
      </w:r>
      <w:r>
        <w:tab/>
        <w:t>December 12, 2011</w:t>
      </w:r>
    </w:p>
    <w:p w:rsidR="00130C94" w:rsidRDefault="00130C94" w:rsidP="0094035E">
      <w:pPr>
        <w:contextualSpacing/>
        <w:jc w:val="left"/>
      </w:pPr>
      <w:r>
        <w:tab/>
        <w:t>Other parties' direct testimony</w:t>
      </w:r>
      <w:r>
        <w:tab/>
      </w:r>
      <w:r>
        <w:tab/>
        <w:t>January 19, 2012</w:t>
      </w:r>
    </w:p>
    <w:p w:rsidR="00130C94" w:rsidRDefault="00130C94" w:rsidP="0094035E">
      <w:pPr>
        <w:contextualSpacing/>
        <w:jc w:val="left"/>
      </w:pPr>
      <w:r>
        <w:tab/>
        <w:t>Rebuttal testimony</w:t>
      </w:r>
      <w:r>
        <w:tab/>
      </w:r>
      <w:r>
        <w:tab/>
      </w:r>
      <w:r>
        <w:tab/>
      </w:r>
      <w:r>
        <w:tab/>
        <w:t>February 7, 2012</w:t>
      </w:r>
    </w:p>
    <w:p w:rsidR="00130C94" w:rsidRDefault="00130C94" w:rsidP="0094035E">
      <w:pPr>
        <w:contextualSpacing/>
        <w:jc w:val="left"/>
      </w:pPr>
      <w:r>
        <w:tab/>
      </w:r>
      <w:proofErr w:type="spellStart"/>
      <w:r>
        <w:t>Surrebuttal</w:t>
      </w:r>
      <w:proofErr w:type="spellEnd"/>
      <w:r>
        <w:t xml:space="preserve"> testimony</w:t>
      </w:r>
      <w:r>
        <w:tab/>
      </w:r>
      <w:r>
        <w:tab/>
      </w:r>
      <w:r>
        <w:tab/>
      </w:r>
      <w:r>
        <w:tab/>
        <w:t>February 15, 2012</w:t>
      </w:r>
    </w:p>
    <w:p w:rsidR="00130C94" w:rsidRDefault="00130C94" w:rsidP="0094035E">
      <w:pPr>
        <w:contextualSpacing/>
        <w:jc w:val="left"/>
      </w:pPr>
      <w:r>
        <w:tab/>
        <w:t>Evidentiary hearing</w:t>
      </w:r>
      <w:r>
        <w:tab/>
      </w:r>
      <w:r>
        <w:tab/>
      </w:r>
      <w:r>
        <w:tab/>
      </w:r>
      <w:r>
        <w:tab/>
        <w:t>February 22, 2012</w:t>
      </w:r>
    </w:p>
    <w:p w:rsidR="00130C94" w:rsidRDefault="00130C94" w:rsidP="0094035E">
      <w:pPr>
        <w:contextualSpacing/>
        <w:jc w:val="left"/>
      </w:pPr>
      <w:r>
        <w:tab/>
        <w:t>Main brief</w:t>
      </w:r>
      <w:r>
        <w:tab/>
      </w:r>
      <w:r>
        <w:tab/>
      </w:r>
      <w:r>
        <w:tab/>
      </w:r>
      <w:r>
        <w:tab/>
      </w:r>
      <w:r>
        <w:tab/>
        <w:t>March 21, 2012</w:t>
      </w:r>
    </w:p>
    <w:p w:rsidR="00130C94" w:rsidRDefault="00130C94" w:rsidP="0094035E">
      <w:pPr>
        <w:contextualSpacing/>
        <w:jc w:val="left"/>
      </w:pPr>
      <w:r>
        <w:tab/>
        <w:t>Reply brief</w:t>
      </w:r>
      <w:r>
        <w:tab/>
      </w:r>
      <w:r>
        <w:tab/>
      </w:r>
      <w:r>
        <w:tab/>
      </w:r>
      <w:r>
        <w:tab/>
      </w:r>
      <w:r>
        <w:tab/>
        <w:t>April 11, 2012</w:t>
      </w:r>
    </w:p>
    <w:p w:rsidR="00130C94" w:rsidRDefault="00130C94" w:rsidP="0094035E">
      <w:pPr>
        <w:contextualSpacing/>
        <w:jc w:val="left"/>
      </w:pPr>
    </w:p>
    <w:p w:rsidR="00A41862" w:rsidRDefault="00130C94" w:rsidP="00A41862">
      <w:pPr>
        <w:jc w:val="left"/>
      </w:pPr>
      <w:r>
        <w:tab/>
      </w:r>
      <w:r>
        <w:tab/>
        <w:t>3.</w:t>
      </w:r>
      <w:r w:rsidR="00A41862">
        <w:tab/>
      </w:r>
      <w:r w:rsidR="00A41862" w:rsidRPr="002B31D0">
        <w:t xml:space="preserve">That the Commission’s regulations regarding discovery at 52 Pa. Code </w:t>
      </w:r>
    </w:p>
    <w:p w:rsidR="00A41862" w:rsidRDefault="00A41862" w:rsidP="00A41862">
      <w:pPr>
        <w:jc w:val="left"/>
      </w:pPr>
      <w:r w:rsidRPr="002B31D0">
        <w:t xml:space="preserve">§ 5.342(d) are modified for the purposes of this proceeding to provide that objections to discovery are in lieu of answers, and not in addition to answers.  </w:t>
      </w:r>
    </w:p>
    <w:p w:rsidR="00A41862" w:rsidRDefault="00A41862" w:rsidP="00A41862">
      <w:pPr>
        <w:jc w:val="left"/>
      </w:pPr>
    </w:p>
    <w:p w:rsidR="00A41862" w:rsidRDefault="00A41862" w:rsidP="00A41862">
      <w:pPr>
        <w:jc w:val="left"/>
      </w:pPr>
      <w:r>
        <w:tab/>
      </w:r>
      <w:r>
        <w:tab/>
        <w:t>4.</w:t>
      </w:r>
      <w:r>
        <w:tab/>
        <w:t>That the Commission's regulations regarding discovery are further modified as follows:</w:t>
      </w:r>
    </w:p>
    <w:p w:rsidR="00CD3337" w:rsidRDefault="00CD3337" w:rsidP="00A41862">
      <w:pPr>
        <w:jc w:val="left"/>
      </w:pPr>
    </w:p>
    <w:p w:rsidR="00A41862" w:rsidRDefault="00A41862" w:rsidP="009A30B3">
      <w:pPr>
        <w:ind w:left="720"/>
        <w:contextualSpacing/>
        <w:jc w:val="left"/>
      </w:pPr>
      <w:r>
        <w:tab/>
        <w:t>A.</w:t>
      </w:r>
      <w:r>
        <w:tab/>
        <w:t>Answers to written interrogatories shall be served in-hand within ten (10) calendar days of service of the interrogatories.</w:t>
      </w:r>
    </w:p>
    <w:p w:rsidR="009A30B3" w:rsidRDefault="009A30B3" w:rsidP="009A30B3">
      <w:pPr>
        <w:ind w:left="720"/>
        <w:contextualSpacing/>
        <w:jc w:val="left"/>
      </w:pPr>
    </w:p>
    <w:p w:rsidR="00A41862" w:rsidRDefault="009A30B3" w:rsidP="009A30B3">
      <w:pPr>
        <w:ind w:left="720"/>
        <w:contextualSpacing/>
        <w:jc w:val="left"/>
      </w:pPr>
      <w:r>
        <w:tab/>
      </w:r>
      <w:r w:rsidR="00A41862">
        <w:t>B.</w:t>
      </w:r>
      <w:r w:rsidR="00A41862">
        <w:tab/>
        <w:t>Objections to interrogatories shall be communicated orally within three (3) days of service; unresolved objections shall be served to the ALJ in writing within five (5) days of service of interrogatories.</w:t>
      </w:r>
    </w:p>
    <w:p w:rsidR="009A30B3" w:rsidRDefault="009A30B3" w:rsidP="009A30B3">
      <w:pPr>
        <w:ind w:left="720"/>
        <w:contextualSpacing/>
        <w:jc w:val="left"/>
      </w:pPr>
    </w:p>
    <w:p w:rsidR="00A41862" w:rsidRDefault="00A41862" w:rsidP="009A30B3">
      <w:pPr>
        <w:ind w:left="720"/>
        <w:contextualSpacing/>
        <w:jc w:val="left"/>
      </w:pPr>
      <w:r>
        <w:tab/>
        <w:t>C.</w:t>
      </w:r>
      <w:r>
        <w:tab/>
        <w:t>Motions to dismiss objections and/or direct the answering of interrogatories shall be filed within three (3) days of service or written objections.</w:t>
      </w:r>
    </w:p>
    <w:p w:rsidR="009A30B3" w:rsidRDefault="009A30B3" w:rsidP="009A30B3">
      <w:pPr>
        <w:ind w:left="720"/>
        <w:contextualSpacing/>
        <w:jc w:val="left"/>
      </w:pPr>
    </w:p>
    <w:p w:rsidR="00A41862" w:rsidRDefault="00A41862" w:rsidP="009A30B3">
      <w:pPr>
        <w:ind w:left="720"/>
        <w:contextualSpacing/>
        <w:jc w:val="left"/>
      </w:pPr>
      <w:r>
        <w:lastRenderedPageBreak/>
        <w:tab/>
        <w:t>D.</w:t>
      </w:r>
      <w:r>
        <w:tab/>
        <w:t>Answers to motions to dismiss objections and/or direct the answering of interrogatories shall be filed within three (3) days of service of such motions.</w:t>
      </w:r>
    </w:p>
    <w:p w:rsidR="009A30B3" w:rsidRDefault="009A30B3" w:rsidP="009A30B3">
      <w:pPr>
        <w:ind w:left="720"/>
        <w:contextualSpacing/>
        <w:jc w:val="left"/>
      </w:pPr>
    </w:p>
    <w:p w:rsidR="00A41862" w:rsidRDefault="00A41862" w:rsidP="009A30B3">
      <w:pPr>
        <w:ind w:left="720"/>
        <w:contextualSpacing/>
        <w:jc w:val="left"/>
      </w:pPr>
      <w:r>
        <w:tab/>
        <w:t>E.</w:t>
      </w:r>
      <w:r>
        <w:tab/>
        <w:t>Responses to requests for document production, entry for inspection, or other purposes shall be served in-hand within ten (10) calendar days.</w:t>
      </w:r>
    </w:p>
    <w:p w:rsidR="009A30B3" w:rsidRDefault="009A30B3" w:rsidP="009A30B3">
      <w:pPr>
        <w:ind w:left="720"/>
        <w:contextualSpacing/>
        <w:jc w:val="left"/>
      </w:pPr>
    </w:p>
    <w:p w:rsidR="00A41862" w:rsidRDefault="00A41862" w:rsidP="009A30B3">
      <w:pPr>
        <w:ind w:left="720"/>
        <w:contextualSpacing/>
        <w:jc w:val="left"/>
      </w:pPr>
      <w:r>
        <w:tab/>
        <w:t>F.</w:t>
      </w:r>
      <w:r>
        <w:tab/>
        <w:t>Requests for admissions shall be deemed admitted unless answered within ten (10) days or objected to within five (5) days of service.</w:t>
      </w:r>
    </w:p>
    <w:p w:rsidR="009A30B3" w:rsidRDefault="00A41862" w:rsidP="009A30B3">
      <w:pPr>
        <w:ind w:left="720"/>
        <w:contextualSpacing/>
        <w:jc w:val="left"/>
      </w:pPr>
      <w:r>
        <w:tab/>
      </w:r>
    </w:p>
    <w:p w:rsidR="00A41862" w:rsidRDefault="00A41862" w:rsidP="009A30B3">
      <w:pPr>
        <w:ind w:left="720"/>
        <w:contextualSpacing/>
        <w:jc w:val="left"/>
      </w:pPr>
      <w:r>
        <w:tab/>
        <w:t>G.</w:t>
      </w:r>
      <w:r>
        <w:tab/>
        <w:t>Answers to on-the-record data requests shall be served in-hand within seven (7) calendar days of the request.</w:t>
      </w:r>
    </w:p>
    <w:p w:rsidR="00A41862" w:rsidRDefault="00A41862" w:rsidP="00A41862">
      <w:pPr>
        <w:jc w:val="left"/>
      </w:pPr>
      <w:r>
        <w:tab/>
        <w:t xml:space="preserve"> </w:t>
      </w:r>
    </w:p>
    <w:p w:rsidR="00A41862" w:rsidRDefault="009A30B3" w:rsidP="00A41862">
      <w:pPr>
        <w:jc w:val="left"/>
      </w:pPr>
      <w:r>
        <w:tab/>
      </w:r>
      <w:r>
        <w:tab/>
        <w:t>5.</w:t>
      </w:r>
      <w:r>
        <w:tab/>
      </w:r>
      <w:r w:rsidR="00A41862" w:rsidRPr="002B31D0">
        <w:t xml:space="preserve">That due dates are in-hand, service of discovery requests, testimony, exhibits and briefs may be by electronic means on the due date if transmission occurs before </w:t>
      </w:r>
    </w:p>
    <w:p w:rsidR="00A41862" w:rsidRPr="002B31D0" w:rsidRDefault="00A41862" w:rsidP="00A41862">
      <w:pPr>
        <w:jc w:val="left"/>
      </w:pPr>
      <w:r w:rsidRPr="002B31D0">
        <w:t xml:space="preserve">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A41862" w:rsidRDefault="00A41862" w:rsidP="00A41862">
      <w:pPr>
        <w:jc w:val="left"/>
      </w:pPr>
    </w:p>
    <w:p w:rsidR="00A41862" w:rsidRPr="002B31D0" w:rsidRDefault="00A41862" w:rsidP="00A41862">
      <w:pPr>
        <w:jc w:val="left"/>
      </w:pPr>
      <w:r>
        <w:tab/>
      </w:r>
      <w:r>
        <w:tab/>
      </w:r>
      <w:r w:rsidR="009A30B3">
        <w:t>6</w:t>
      </w:r>
      <w:r w:rsidRPr="002B31D0">
        <w:t>.</w:t>
      </w:r>
      <w:r w:rsidRPr="002B31D0">
        <w:tab/>
        <w:t>That discovery disputes may be resolved via telephone conference with the presiding officer without need of a motion to compel, although the propounding party may choose to file a formal motion to compel.</w:t>
      </w:r>
    </w:p>
    <w:p w:rsidR="00A41862" w:rsidRDefault="00A41862" w:rsidP="00A41862">
      <w:pPr>
        <w:jc w:val="left"/>
      </w:pPr>
    </w:p>
    <w:p w:rsidR="00A41862" w:rsidRPr="00D133F8" w:rsidRDefault="00A41862" w:rsidP="00A41862">
      <w:pPr>
        <w:jc w:val="left"/>
        <w:rPr>
          <w:b/>
        </w:rPr>
      </w:pPr>
      <w:r>
        <w:tab/>
      </w:r>
      <w:r>
        <w:tab/>
      </w:r>
      <w:r w:rsidR="009A30B3">
        <w:t>7</w:t>
      </w:r>
      <w:r>
        <w:t>.</w:t>
      </w:r>
      <w:r>
        <w:tab/>
      </w:r>
      <w:r w:rsidRPr="002B31D0">
        <w:t>Testimony shall be served but not filed.</w:t>
      </w:r>
      <w:r w:rsidRPr="00D133F8">
        <w:rPr>
          <w:b/>
        </w:rPr>
        <w:t xml:space="preserve">  </w:t>
      </w:r>
    </w:p>
    <w:p w:rsidR="00A41862" w:rsidRPr="00D133F8" w:rsidRDefault="00A41862" w:rsidP="00A41862">
      <w:pPr>
        <w:ind w:left="720"/>
        <w:jc w:val="left"/>
        <w:rPr>
          <w:b/>
        </w:rPr>
      </w:pPr>
    </w:p>
    <w:p w:rsidR="00A41862" w:rsidRPr="00D133F8" w:rsidRDefault="00A41862" w:rsidP="00A41862">
      <w:pPr>
        <w:jc w:val="left"/>
        <w:rPr>
          <w:b/>
        </w:rPr>
      </w:pPr>
      <w:r>
        <w:tab/>
      </w:r>
      <w:r>
        <w:tab/>
      </w:r>
      <w:r w:rsidR="009A30B3">
        <w:t>8</w:t>
      </w:r>
      <w:r w:rsidRPr="002B31D0">
        <w:t>.</w:t>
      </w:r>
      <w:r w:rsidRPr="002B31D0">
        <w:tab/>
        <w:t>One week prior to the start of the evidentiary hearings, the Company shall provide a completed daily witness listing and cross-examination grid to the presiding officer.  Parties shall complete the daily witnes</w:t>
      </w:r>
      <w:r>
        <w:t xml:space="preserve">s listing and cross-examination </w:t>
      </w:r>
      <w:r w:rsidRPr="002B31D0">
        <w:t>grid as developed by the Company</w:t>
      </w:r>
      <w:r w:rsidRPr="00D133F8">
        <w:rPr>
          <w:b/>
        </w:rPr>
        <w:t xml:space="preserve">.  </w:t>
      </w:r>
    </w:p>
    <w:p w:rsidR="00A41862" w:rsidRPr="00D133F8" w:rsidRDefault="00A41862" w:rsidP="00A41862">
      <w:pPr>
        <w:ind w:left="720"/>
        <w:jc w:val="left"/>
        <w:rPr>
          <w:b/>
        </w:rPr>
      </w:pPr>
    </w:p>
    <w:p w:rsidR="00A41862" w:rsidRDefault="00A41862" w:rsidP="00A41862">
      <w:pPr>
        <w:jc w:val="left"/>
      </w:pPr>
      <w:r w:rsidRPr="00D133F8">
        <w:rPr>
          <w:b/>
        </w:rPr>
        <w:tab/>
      </w:r>
      <w:r w:rsidRPr="00D133F8">
        <w:rPr>
          <w:b/>
        </w:rPr>
        <w:tab/>
      </w:r>
      <w:r w:rsidR="009A30B3">
        <w:t>9</w:t>
      </w:r>
      <w:r>
        <w:t>.</w:t>
      </w:r>
      <w:r w:rsidRPr="002B31D0">
        <w:tab/>
        <w:t>All parties are directed to comply with the provisions of 52 Pa. Code</w:t>
      </w:r>
    </w:p>
    <w:p w:rsidR="00A41862" w:rsidRPr="002B31D0" w:rsidRDefault="00A41862" w:rsidP="00A41862">
      <w:pPr>
        <w:jc w:val="left"/>
      </w:pPr>
      <w:r w:rsidRPr="002B31D0">
        <w:lastRenderedPageBreak/>
        <w:t xml:space="preserve">§ 5.243(e) which prohibits the introduction of evidence during rebuttal or </w:t>
      </w:r>
      <w:proofErr w:type="spellStart"/>
      <w:r w:rsidRPr="002B31D0">
        <w:t>surrebuttal</w:t>
      </w:r>
      <w:proofErr w:type="spellEnd"/>
      <w:r w:rsidRPr="002B31D0">
        <w:t xml:space="preserve"> which should have been included in the case-in-chief or which substantially varies from the case-in-chief, unless the evidence is introduced in support of a proposed settlement.</w:t>
      </w:r>
    </w:p>
    <w:p w:rsidR="00A41862" w:rsidRPr="00D133F8" w:rsidRDefault="00A41862" w:rsidP="00A41862">
      <w:pPr>
        <w:ind w:left="720"/>
        <w:jc w:val="left"/>
        <w:rPr>
          <w:b/>
        </w:rPr>
      </w:pPr>
    </w:p>
    <w:p w:rsidR="00A41862" w:rsidRDefault="00A41862" w:rsidP="00A41862">
      <w:pPr>
        <w:jc w:val="left"/>
      </w:pPr>
      <w:r>
        <w:tab/>
      </w:r>
      <w:r>
        <w:tab/>
      </w:r>
      <w:r w:rsidR="009A30B3">
        <w:t>10</w:t>
      </w:r>
      <w:r>
        <w:t>.</w:t>
      </w:r>
      <w:r>
        <w:tab/>
        <w:t xml:space="preserve">Briefs must comply with 52 Pa. Code §§ 5.501 and 5.502.  </w:t>
      </w:r>
    </w:p>
    <w:p w:rsidR="00A41862" w:rsidRDefault="00A41862" w:rsidP="00A41862">
      <w:pPr>
        <w:ind w:left="720"/>
        <w:jc w:val="left"/>
      </w:pPr>
    </w:p>
    <w:p w:rsidR="00A41862" w:rsidRDefault="00A41862" w:rsidP="00A41862">
      <w:pPr>
        <w:ind w:left="720"/>
        <w:jc w:val="left"/>
      </w:pPr>
      <w:r>
        <w:tab/>
      </w:r>
    </w:p>
    <w:p w:rsidR="00A41862" w:rsidRDefault="00A41862" w:rsidP="00A41862">
      <w:pPr>
        <w:ind w:left="720"/>
        <w:jc w:val="left"/>
      </w:pPr>
    </w:p>
    <w:p w:rsidR="00A41862" w:rsidRDefault="00A41862" w:rsidP="00A41862">
      <w:pPr>
        <w:spacing w:line="240" w:lineRule="auto"/>
        <w:jc w:val="left"/>
      </w:pPr>
      <w:r>
        <w:t xml:space="preserve"> Dated: </w:t>
      </w:r>
      <w:r w:rsidR="00CD3337">
        <w:rPr>
          <w:u w:val="single"/>
        </w:rPr>
        <w:t>Decem</w:t>
      </w:r>
      <w:r>
        <w:rPr>
          <w:u w:val="single"/>
        </w:rPr>
        <w:t xml:space="preserve">ber </w:t>
      </w:r>
      <w:r w:rsidR="00CD3337">
        <w:rPr>
          <w:u w:val="single"/>
        </w:rPr>
        <w:t>1</w:t>
      </w:r>
      <w:r>
        <w:rPr>
          <w:u w:val="single"/>
        </w:rPr>
        <w:t>2, 2010</w:t>
      </w:r>
      <w:r>
        <w:tab/>
      </w:r>
      <w:r>
        <w:tab/>
      </w:r>
      <w:r>
        <w:tab/>
      </w:r>
      <w:r>
        <w:tab/>
        <w:t>_________________________________</w:t>
      </w:r>
    </w:p>
    <w:p w:rsidR="00A41862" w:rsidRDefault="00A41862" w:rsidP="00A41862">
      <w:pPr>
        <w:spacing w:line="240" w:lineRule="auto"/>
        <w:jc w:val="left"/>
      </w:pPr>
      <w:r>
        <w:tab/>
      </w:r>
      <w:r>
        <w:tab/>
      </w:r>
      <w:r>
        <w:tab/>
      </w:r>
      <w:r>
        <w:tab/>
      </w:r>
      <w:r>
        <w:tab/>
      </w:r>
      <w:r>
        <w:tab/>
      </w:r>
      <w:r>
        <w:tab/>
        <w:t>Susan D. Colwell</w:t>
      </w:r>
    </w:p>
    <w:p w:rsidR="00A41862" w:rsidRPr="000B62AC" w:rsidRDefault="00A41862" w:rsidP="00A41862">
      <w:pPr>
        <w:spacing w:line="240" w:lineRule="auto"/>
        <w:jc w:val="left"/>
      </w:pPr>
      <w:r>
        <w:tab/>
      </w:r>
      <w:r>
        <w:tab/>
      </w:r>
      <w:r>
        <w:tab/>
      </w:r>
      <w:r>
        <w:tab/>
      </w:r>
      <w:r>
        <w:tab/>
      </w:r>
      <w:r>
        <w:tab/>
      </w:r>
      <w:r>
        <w:tab/>
        <w:t>Administrative Law Judge</w:t>
      </w:r>
    </w:p>
    <w:p w:rsidR="00130C94" w:rsidRPr="00691DC1" w:rsidRDefault="00130C94" w:rsidP="00A41862">
      <w:pPr>
        <w:contextualSpacing/>
        <w:jc w:val="left"/>
      </w:pPr>
      <w:r>
        <w:tab/>
        <w:t xml:space="preserve">  </w:t>
      </w:r>
      <w:r>
        <w:tab/>
      </w:r>
    </w:p>
    <w:p w:rsidR="00F049FB" w:rsidRDefault="00691DC1" w:rsidP="00A41862">
      <w:pPr>
        <w:contextualSpacing/>
        <w:jc w:val="left"/>
        <w:sectPr w:rsidR="00F049FB" w:rsidSect="009A30B3">
          <w:footerReference w:type="default" r:id="rId7"/>
          <w:pgSz w:w="12240" w:h="15840"/>
          <w:pgMar w:top="1440" w:right="1440" w:bottom="1440" w:left="1440" w:header="720" w:footer="720" w:gutter="0"/>
          <w:cols w:space="720"/>
          <w:titlePg/>
          <w:docGrid w:linePitch="360"/>
        </w:sectPr>
      </w:pPr>
      <w:r>
        <w:tab/>
      </w:r>
    </w:p>
    <w:p w:rsidR="00F049FB" w:rsidRPr="00F049FB" w:rsidRDefault="00F049FB" w:rsidP="00F049FB">
      <w:pPr>
        <w:spacing w:line="240" w:lineRule="auto"/>
        <w:jc w:val="left"/>
        <w:rPr>
          <w:rFonts w:ascii="Microsoft Sans Serif" w:hAnsi="Microsoft Sans Serif" w:cs="Microsoft Sans Serif"/>
          <w:b/>
          <w:noProof/>
          <w:szCs w:val="22"/>
          <w:u w:val="single"/>
        </w:rPr>
      </w:pPr>
      <w:r w:rsidRPr="00F049FB">
        <w:rPr>
          <w:rFonts w:ascii="Microsoft Sans Serif" w:hAnsi="Microsoft Sans Serif" w:cs="Microsoft Sans Serif"/>
          <w:b/>
          <w:noProof/>
          <w:szCs w:val="22"/>
          <w:u w:val="single"/>
        </w:rPr>
        <w:lastRenderedPageBreak/>
        <w:t>R-2011-2264771 – PPL ELECTRIC UTILITIES CORPORATION – SUUPLEMENT NO. 1102 TARIFF ELECTRIC PA. P.U.C. NO. 201 – TIME-OF-USE RATES</w:t>
      </w:r>
    </w:p>
    <w:p w:rsidR="00F049FB" w:rsidRPr="00F049FB" w:rsidRDefault="00F049FB" w:rsidP="00F049FB">
      <w:pPr>
        <w:spacing w:line="240" w:lineRule="auto"/>
        <w:jc w:val="left"/>
        <w:rPr>
          <w:rFonts w:ascii="Microsoft Sans Serif" w:hAnsi="Microsoft Sans Serif" w:cs="Microsoft Sans Serif"/>
          <w:b/>
          <w:noProof/>
          <w:szCs w:val="22"/>
          <w:u w:val="single"/>
        </w:rPr>
      </w:pPr>
    </w:p>
    <w:p w:rsidR="00F049FB" w:rsidRPr="00F049FB" w:rsidRDefault="00F049FB" w:rsidP="00F049FB">
      <w:pPr>
        <w:spacing w:line="240" w:lineRule="auto"/>
        <w:jc w:val="left"/>
        <w:rPr>
          <w:rFonts w:ascii="Microsoft Sans Serif" w:hAnsi="Microsoft Sans Serif" w:cs="Microsoft Sans Serif"/>
          <w:noProof/>
          <w:szCs w:val="22"/>
        </w:rPr>
      </w:pPr>
    </w:p>
    <w:p w:rsidR="00F049FB" w:rsidRPr="00F049FB" w:rsidRDefault="00F049FB" w:rsidP="00F049FB">
      <w:pPr>
        <w:spacing w:line="240" w:lineRule="auto"/>
        <w:jc w:val="left"/>
        <w:rPr>
          <w:rFonts w:ascii="Microsoft Sans Serif" w:hAnsi="Microsoft Sans Serif" w:cs="Microsoft Sans Serif"/>
          <w:noProof/>
          <w:szCs w:val="22"/>
        </w:rPr>
      </w:pPr>
    </w:p>
    <w:p w:rsidR="00F049FB" w:rsidRPr="00F049FB" w:rsidRDefault="00F049FB" w:rsidP="00F049FB">
      <w:pPr>
        <w:spacing w:line="240" w:lineRule="auto"/>
        <w:jc w:val="left"/>
        <w:rPr>
          <w:rFonts w:ascii="Microsoft Sans Serif" w:hAnsi="Microsoft Sans Serif" w:cs="Microsoft Sans Serif"/>
          <w:noProof/>
          <w:szCs w:val="22"/>
        </w:rPr>
        <w:sectPr w:rsidR="00F049FB" w:rsidRPr="00F049FB" w:rsidSect="00EF02B5">
          <w:pgSz w:w="12240" w:h="15840" w:code="1"/>
          <w:pgMar w:top="720" w:right="720" w:bottom="720" w:left="720" w:header="720" w:footer="720" w:gutter="0"/>
          <w:cols w:space="720"/>
          <w:docGrid w:linePitch="360"/>
        </w:sect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lastRenderedPageBreak/>
        <w:t>ANTHONY D KANAGY</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POST &amp; SCHELL PC</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12TH FLOOR</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17 NORTH SECOND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17101-1601</w:t>
      </w:r>
    </w:p>
    <w:p w:rsidR="00F049FB" w:rsidRPr="00F049FB" w:rsidRDefault="00F049FB" w:rsidP="00F049FB">
      <w:pPr>
        <w:spacing w:line="240" w:lineRule="auto"/>
        <w:jc w:val="left"/>
        <w:rPr>
          <w:rFonts w:ascii="Microsoft Sans Serif" w:hAnsi="Microsoft Sans Serif" w:cs="Microsoft Sans Serif"/>
          <w:b/>
          <w:noProof/>
          <w:szCs w:val="22"/>
        </w:rPr>
      </w:pPr>
      <w:r w:rsidRPr="00F049FB">
        <w:rPr>
          <w:rFonts w:ascii="Microsoft Sans Serif" w:hAnsi="Microsoft Sans Serif" w:cs="Microsoft Sans Serif"/>
          <w:b/>
          <w:noProof/>
          <w:szCs w:val="22"/>
        </w:rPr>
        <w:t>717-612-6034</w:t>
      </w:r>
    </w:p>
    <w:p w:rsidR="00F049FB" w:rsidRPr="00F049FB" w:rsidRDefault="00F049FB" w:rsidP="00F049FB">
      <w:pPr>
        <w:spacing w:line="240" w:lineRule="auto"/>
        <w:jc w:val="left"/>
        <w:rPr>
          <w:rFonts w:ascii="Microsoft Sans Serif" w:hAnsi="Microsoft Sans Serif" w:cs="Microsoft Sans Serif"/>
          <w:b/>
          <w:szCs w:val="22"/>
          <w:u w:val="single"/>
        </w:rPr>
      </w:pPr>
      <w:r w:rsidRPr="00F049FB">
        <w:rPr>
          <w:rFonts w:ascii="Microsoft Sans Serif" w:hAnsi="Microsoft Sans Serif" w:cs="Microsoft Sans Serif"/>
          <w:b/>
          <w:noProof/>
          <w:szCs w:val="22"/>
          <w:u w:val="single"/>
        </w:rPr>
        <w:t>eServe</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DAVID B MACGREGOR</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POST &amp; SCHELL PC</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FOUR PENN CENTER</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1600 JFK BOULEVARD</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PHILADELPHIA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19103</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ARON J BEATTY</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OFFICE OF CONSUMER ADVOCATE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5TH FLOOR FORUM PLACE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555 WALNUT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17101-1923</w:t>
      </w:r>
    </w:p>
    <w:p w:rsidR="00F049FB" w:rsidRPr="00F049FB" w:rsidRDefault="00F049FB" w:rsidP="00F049FB">
      <w:pPr>
        <w:spacing w:line="240" w:lineRule="auto"/>
        <w:jc w:val="left"/>
        <w:rPr>
          <w:rFonts w:ascii="Microsoft Sans Serif" w:hAnsi="Microsoft Sans Serif" w:cs="Microsoft Sans Serif"/>
          <w:b/>
          <w:noProof/>
          <w:szCs w:val="22"/>
        </w:rPr>
      </w:pPr>
      <w:r w:rsidRPr="00F049FB">
        <w:rPr>
          <w:rFonts w:ascii="Microsoft Sans Serif" w:hAnsi="Microsoft Sans Serif" w:cs="Microsoft Sans Serif"/>
          <w:b/>
          <w:noProof/>
          <w:szCs w:val="22"/>
        </w:rPr>
        <w:t>717.783.5048</w:t>
      </w:r>
    </w:p>
    <w:p w:rsidR="00F049FB" w:rsidRPr="00F049FB" w:rsidRDefault="00F049FB" w:rsidP="00F049FB">
      <w:pPr>
        <w:spacing w:line="240" w:lineRule="auto"/>
        <w:jc w:val="left"/>
        <w:rPr>
          <w:rFonts w:ascii="Microsoft Sans Serif" w:hAnsi="Microsoft Sans Serif" w:cs="Microsoft Sans Serif"/>
          <w:b/>
          <w:szCs w:val="22"/>
        </w:rPr>
      </w:pPr>
      <w:r w:rsidRPr="00F049FB">
        <w:rPr>
          <w:rFonts w:ascii="Microsoft Sans Serif" w:hAnsi="Microsoft Sans Serif" w:cs="Microsoft Sans Serif"/>
          <w:b/>
          <w:noProof/>
          <w:szCs w:val="22"/>
        </w:rPr>
        <w:t>C-2011-2267808</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SHARON WEBB</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OFFICE OF SMALL BUSINESS ADVOCATE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SUITE 1102 COMMERCE BUILDING</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300 NORTH SECOND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w:t>
      </w:r>
    </w:p>
    <w:p w:rsidR="00F049FB" w:rsidRPr="00F049FB" w:rsidRDefault="00F049FB" w:rsidP="00F049FB">
      <w:pPr>
        <w:spacing w:line="240" w:lineRule="auto"/>
        <w:jc w:val="left"/>
        <w:rPr>
          <w:rFonts w:ascii="Microsoft Sans Serif" w:hAnsi="Microsoft Sans Serif" w:cs="Microsoft Sans Serif"/>
          <w:b/>
          <w:noProof/>
          <w:szCs w:val="22"/>
        </w:rPr>
      </w:pPr>
      <w:r w:rsidRPr="00F049FB">
        <w:rPr>
          <w:rFonts w:ascii="Microsoft Sans Serif" w:hAnsi="Microsoft Sans Serif" w:cs="Microsoft Sans Serif"/>
          <w:b/>
          <w:noProof/>
          <w:szCs w:val="22"/>
        </w:rPr>
        <w:t>717-783-2525</w:t>
      </w:r>
    </w:p>
    <w:p w:rsidR="00F049FB" w:rsidRPr="00F049FB" w:rsidRDefault="00F049FB" w:rsidP="00F049FB">
      <w:pPr>
        <w:spacing w:line="240" w:lineRule="auto"/>
        <w:jc w:val="left"/>
        <w:rPr>
          <w:rFonts w:ascii="Microsoft Sans Serif" w:hAnsi="Microsoft Sans Serif" w:cs="Microsoft Sans Serif"/>
          <w:b/>
          <w:szCs w:val="22"/>
        </w:rPr>
      </w:pPr>
      <w:r w:rsidRPr="00F049FB">
        <w:rPr>
          <w:rFonts w:ascii="Microsoft Sans Serif" w:hAnsi="Microsoft Sans Serif" w:cs="Microsoft Sans Serif"/>
          <w:b/>
          <w:noProof/>
          <w:szCs w:val="22"/>
        </w:rPr>
        <w:t>C-2011-2268983</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RICHARD A KANASKIE</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noProof/>
          <w:szCs w:val="22"/>
        </w:rPr>
      </w:pPr>
      <w:r w:rsidRPr="00F049FB">
        <w:rPr>
          <w:rFonts w:ascii="Microsoft Sans Serif" w:hAnsi="Microsoft Sans Serif" w:cs="Microsoft Sans Serif"/>
          <w:noProof/>
          <w:szCs w:val="22"/>
        </w:rPr>
        <w:t xml:space="preserve">PA PUC BUREAU OF </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INVESTIGATION &amp; ENFORCEMENT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3265</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17105-3265</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TODD S STEWART</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HAWKE MCKEON &amp; SNISCAK LLP</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100 NORTH TENTH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1778</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w:t>
      </w:r>
    </w:p>
    <w:p w:rsidR="00F049FB" w:rsidRPr="00F049FB" w:rsidRDefault="00F049FB" w:rsidP="00F049FB">
      <w:pPr>
        <w:spacing w:line="240" w:lineRule="auto"/>
        <w:jc w:val="left"/>
        <w:rPr>
          <w:rFonts w:ascii="Microsoft Sans Serif" w:hAnsi="Microsoft Sans Serif" w:cs="Microsoft Sans Serif"/>
          <w:b/>
          <w:szCs w:val="22"/>
        </w:rPr>
      </w:pPr>
      <w:r w:rsidRPr="00F049FB">
        <w:rPr>
          <w:rFonts w:ascii="Microsoft Sans Serif" w:hAnsi="Microsoft Sans Serif" w:cs="Microsoft Sans Serif"/>
          <w:b/>
          <w:noProof/>
          <w:szCs w:val="22"/>
        </w:rPr>
        <w:t>717-236-1300</w:t>
      </w:r>
    </w:p>
    <w:p w:rsidR="00F049FB" w:rsidRPr="00F049FB" w:rsidRDefault="00F049FB" w:rsidP="00F049FB">
      <w:pPr>
        <w:spacing w:line="240" w:lineRule="auto"/>
        <w:jc w:val="left"/>
        <w:rPr>
          <w:rFonts w:ascii="Microsoft Sans Serif" w:hAnsi="Microsoft Sans Serif" w:cs="Microsoft Sans Serif"/>
          <w:i/>
          <w:szCs w:val="22"/>
        </w:rPr>
      </w:pPr>
      <w:r w:rsidRPr="00F049FB">
        <w:rPr>
          <w:rFonts w:ascii="Microsoft Sans Serif" w:hAnsi="Microsoft Sans Serif" w:cs="Microsoft Sans Serif"/>
          <w:i/>
          <w:szCs w:val="22"/>
        </w:rPr>
        <w:t xml:space="preserve">(For </w:t>
      </w:r>
      <w:r w:rsidRPr="00F049FB">
        <w:rPr>
          <w:rFonts w:ascii="Microsoft Sans Serif" w:hAnsi="Microsoft Sans Serif" w:cs="Microsoft Sans Serif"/>
          <w:i/>
          <w:noProof/>
          <w:szCs w:val="22"/>
        </w:rPr>
        <w:t>Dominion Retail Inc</w:t>
      </w:r>
      <w:r w:rsidRPr="00F049FB">
        <w:rPr>
          <w:rFonts w:ascii="Microsoft Sans Serif" w:hAnsi="Microsoft Sans Serif" w:cs="Microsoft Sans Serif"/>
          <w:i/>
          <w:szCs w:val="22"/>
        </w:rPr>
        <w:t>)</w:t>
      </w:r>
    </w:p>
    <w:p w:rsidR="00F049FB" w:rsidRPr="00F049FB" w:rsidRDefault="00F049FB" w:rsidP="00F049FB">
      <w:pPr>
        <w:spacing w:line="240" w:lineRule="auto"/>
        <w:jc w:val="left"/>
        <w:rPr>
          <w:rFonts w:ascii="Microsoft Sans Serif" w:hAnsi="Microsoft Sans Serif" w:cs="Microsoft Sans Serif"/>
          <w:b/>
          <w:szCs w:val="22"/>
          <w:u w:val="single"/>
        </w:rPr>
      </w:pPr>
      <w:proofErr w:type="spellStart"/>
      <w:proofErr w:type="gramStart"/>
      <w:r w:rsidRPr="00F049FB">
        <w:rPr>
          <w:rFonts w:ascii="Microsoft Sans Serif" w:hAnsi="Microsoft Sans Serif" w:cs="Microsoft Sans Serif"/>
          <w:b/>
          <w:szCs w:val="22"/>
          <w:u w:val="single"/>
        </w:rPr>
        <w:t>eServe</w:t>
      </w:r>
      <w:proofErr w:type="spellEnd"/>
      <w:proofErr w:type="gramEnd"/>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lastRenderedPageBreak/>
        <w:t>GARY A JEFFRIES</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DOMINION RETAIL INC</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501 MARTINDALE STREET STE 400</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PITTSBURGH</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15212-5817</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KENNETH L MICKENS</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KENNETH L MICKENS ESQUIRE LLC</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316 YORKSHIRE DRIVE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17111-6933</w:t>
      </w:r>
    </w:p>
    <w:p w:rsidR="00F049FB" w:rsidRPr="00F049FB" w:rsidRDefault="00F049FB" w:rsidP="00F049FB">
      <w:pPr>
        <w:spacing w:line="240" w:lineRule="auto"/>
        <w:jc w:val="left"/>
        <w:rPr>
          <w:rFonts w:ascii="Microsoft Sans Serif" w:hAnsi="Microsoft Sans Serif" w:cs="Microsoft Sans Serif"/>
          <w:b/>
          <w:szCs w:val="22"/>
        </w:rPr>
      </w:pPr>
      <w:r w:rsidRPr="00F049FB">
        <w:rPr>
          <w:rFonts w:ascii="Microsoft Sans Serif" w:hAnsi="Microsoft Sans Serif" w:cs="Microsoft Sans Serif"/>
          <w:b/>
          <w:noProof/>
          <w:szCs w:val="22"/>
        </w:rPr>
        <w:t>717-343-3338</w:t>
      </w:r>
    </w:p>
    <w:p w:rsidR="00F049FB" w:rsidRPr="00F049FB" w:rsidRDefault="00F049FB" w:rsidP="00F049FB">
      <w:pPr>
        <w:spacing w:line="240" w:lineRule="auto"/>
        <w:jc w:val="left"/>
        <w:rPr>
          <w:rFonts w:ascii="Microsoft Sans Serif" w:hAnsi="Microsoft Sans Serif" w:cs="Microsoft Sans Serif"/>
          <w:i/>
          <w:szCs w:val="22"/>
        </w:rPr>
      </w:pPr>
      <w:r w:rsidRPr="00F049FB">
        <w:rPr>
          <w:rFonts w:ascii="Microsoft Sans Serif" w:hAnsi="Microsoft Sans Serif" w:cs="Microsoft Sans Serif"/>
          <w:i/>
          <w:szCs w:val="22"/>
        </w:rPr>
        <w:t>(For S</w:t>
      </w:r>
      <w:r w:rsidRPr="00F049FB">
        <w:rPr>
          <w:rFonts w:ascii="Microsoft Sans Serif" w:hAnsi="Microsoft Sans Serif" w:cs="Microsoft Sans Serif"/>
          <w:i/>
          <w:noProof/>
          <w:szCs w:val="22"/>
        </w:rPr>
        <w:t>ustainable Energy Fund of Central Eastern PA</w:t>
      </w:r>
      <w:r w:rsidRPr="00F049FB">
        <w:rPr>
          <w:rFonts w:ascii="Microsoft Sans Serif" w:hAnsi="Microsoft Sans Serif" w:cs="Microsoft Sans Serif"/>
          <w:i/>
          <w:szCs w:val="22"/>
        </w:rPr>
        <w:t>)</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ERIC JOSEPH EPSTEIN</w:t>
      </w:r>
      <w:r w:rsidRPr="00F049FB">
        <w:rPr>
          <w:rFonts w:ascii="Microsoft Sans Serif" w:hAnsi="Microsoft Sans Serif" w:cs="Microsoft Sans Serif"/>
          <w:szCs w:val="22"/>
        </w:rPr>
        <w:t xml:space="preserve"> </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4100 HILLSDALE ROAD</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17112</w:t>
      </w:r>
    </w:p>
    <w:p w:rsidR="00F049FB" w:rsidRPr="00F049FB" w:rsidRDefault="00F049FB" w:rsidP="00F049FB">
      <w:pPr>
        <w:spacing w:line="240" w:lineRule="auto"/>
        <w:jc w:val="left"/>
        <w:rPr>
          <w:rFonts w:ascii="Microsoft Sans Serif" w:hAnsi="Microsoft Sans Serif" w:cs="Microsoft Sans Serif"/>
          <w:b/>
          <w:szCs w:val="22"/>
        </w:rPr>
      </w:pPr>
      <w:r w:rsidRPr="00F049FB">
        <w:rPr>
          <w:rFonts w:ascii="Microsoft Sans Serif" w:hAnsi="Microsoft Sans Serif" w:cs="Microsoft Sans Serif"/>
          <w:b/>
          <w:noProof/>
          <w:szCs w:val="22"/>
        </w:rPr>
        <w:t>717-541-1101</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BRIAN KNIPE</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BUCHANAN INGERSOL &amp; ROONEY</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17 NORTH 2ND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17101-2121</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PAMELA C POLACEK</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MCNEES WALLACE &amp; NURICK</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100 PINE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1166</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17108-1166</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CHRISTOPHER A LEWIS</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BLANK ROME LLP</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ONE LOGAN SQUARE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PHILADELPHIA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17103</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DIVESH GUPTA</w:t>
      </w:r>
      <w:r w:rsidRPr="00F049FB">
        <w:rPr>
          <w:rFonts w:ascii="Microsoft Sans Serif" w:hAnsi="Microsoft Sans Serif" w:cs="Microsoft Sans Serif"/>
          <w:szCs w:val="22"/>
        </w:rPr>
        <w:t xml:space="preserve"> </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CONSTELLATION NEWENERGY INC</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CANDLER BLDG 7TH FLOOR</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111 MARKET PLACE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BALITMORE</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MD</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21202</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CRIAG A DOLL</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25 WEST SECOND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403</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HUMMELSTOWN</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17036</w:t>
      </w:r>
    </w:p>
    <w:p w:rsidR="00F049FB" w:rsidRPr="00F049FB" w:rsidRDefault="00F049FB" w:rsidP="00F049FB">
      <w:pPr>
        <w:spacing w:line="240" w:lineRule="auto"/>
        <w:jc w:val="left"/>
        <w:rPr>
          <w:rFonts w:ascii="Microsoft Sans Serif" w:hAnsi="Microsoft Sans Serif" w:cs="Microsoft Sans Serif"/>
          <w:szCs w:val="22"/>
        </w:rPr>
      </w:pPr>
      <w:bookmarkStart w:id="0" w:name="_GoBack"/>
      <w:bookmarkEnd w:id="0"/>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lastRenderedPageBreak/>
        <w:t>THOMAS T NIESEN</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THOMAS LONG NIESEN &amp; KENNARD</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212 LOCUST STREET STE 500</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9500</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17108-9500</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CHARLES E THOMAS JR</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THOMAS LONG NIESEN &amp; KENNARD</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212 LOCUST STREET STE 500</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9500</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17108-9500</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DANIEL CLEARFIELD</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ECKERT SEAMANS CHERIN &amp; MELLOTT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213 MARKET STREET 8TH FLOOR</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17108-1248</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CRAIG R BURGRAFF</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HAWKE MCKEON &amp; SNISCAK LLP</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100 NORTH TENTH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1778</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FRANK RICHARDS</w:t>
      </w:r>
      <w:r w:rsidRPr="00F049FB">
        <w:rPr>
          <w:rFonts w:ascii="Microsoft Sans Serif" w:hAnsi="Microsoft Sans Serif" w:cs="Microsoft Sans Serif"/>
          <w:szCs w:val="22"/>
        </w:rPr>
        <w:t xml:space="preserve"> </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RICHARDS ENERGY GROUP</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781 SOUTH CHIQUES ROAD</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MANHEIM</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17545-9135</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JESSE A DILLON</w:t>
      </w:r>
      <w:r w:rsidRPr="00F049FB">
        <w:rPr>
          <w:rFonts w:ascii="Microsoft Sans Serif" w:hAnsi="Microsoft Sans Serif" w:cs="Microsoft Sans Serif"/>
          <w:szCs w:val="22"/>
        </w:rPr>
        <w:t xml:space="preserve"> </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PPL ENERGYPLUS LLC</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TWO NORTH NINTH STREET</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ALLENTOWN</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18101-1179</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MICHELLE M SKJOLDAL</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PEPPER HAMILTON LLP</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A00 MARKET STREET STE 200</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PO BOX 1181</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17108</w:t>
      </w:r>
    </w:p>
    <w:p w:rsidR="00F049FB" w:rsidRPr="00F049FB" w:rsidRDefault="00F049FB" w:rsidP="00F049FB">
      <w:pPr>
        <w:spacing w:line="240" w:lineRule="auto"/>
        <w:jc w:val="left"/>
        <w:rPr>
          <w:rFonts w:ascii="Microsoft Sans Serif" w:hAnsi="Microsoft Sans Serif" w:cs="Microsoft Sans Serif"/>
          <w:szCs w:val="22"/>
        </w:rPr>
      </w:pP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MICHAEL A GRUIN</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ESQUIRE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STEVENS &amp; LEE</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17 NORTH SECOND STREET 16TH FL</w:t>
      </w:r>
    </w:p>
    <w:p w:rsidR="00F049FB" w:rsidRPr="00F049FB" w:rsidRDefault="00F049FB" w:rsidP="00F049FB">
      <w:pPr>
        <w:spacing w:line="240" w:lineRule="auto"/>
        <w:jc w:val="left"/>
        <w:rPr>
          <w:rFonts w:ascii="Microsoft Sans Serif" w:hAnsi="Microsoft Sans Serif" w:cs="Microsoft Sans Serif"/>
          <w:szCs w:val="22"/>
        </w:rPr>
      </w:pPr>
      <w:r w:rsidRPr="00F049FB">
        <w:rPr>
          <w:rFonts w:ascii="Microsoft Sans Serif" w:hAnsi="Microsoft Sans Serif" w:cs="Microsoft Sans Serif"/>
          <w:noProof/>
          <w:szCs w:val="22"/>
        </w:rPr>
        <w:t>HARRISBURG</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PA</w:t>
      </w:r>
      <w:r w:rsidRPr="00F049FB">
        <w:rPr>
          <w:rFonts w:ascii="Microsoft Sans Serif" w:hAnsi="Microsoft Sans Serif" w:cs="Microsoft Sans Serif"/>
          <w:szCs w:val="22"/>
        </w:rPr>
        <w:t xml:space="preserve">  </w:t>
      </w:r>
      <w:r w:rsidRPr="00F049FB">
        <w:rPr>
          <w:rFonts w:ascii="Microsoft Sans Serif" w:hAnsi="Microsoft Sans Serif" w:cs="Microsoft Sans Serif"/>
          <w:noProof/>
          <w:szCs w:val="22"/>
        </w:rPr>
        <w:t>17101</w:t>
      </w:r>
    </w:p>
    <w:p w:rsidR="00F049FB" w:rsidRPr="00F049FB" w:rsidRDefault="00F049FB" w:rsidP="00F049FB">
      <w:pPr>
        <w:spacing w:line="240" w:lineRule="auto"/>
        <w:jc w:val="left"/>
        <w:rPr>
          <w:rFonts w:ascii="Microsoft Sans Serif" w:hAnsi="Microsoft Sans Serif" w:cs="Microsoft Sans Serif"/>
          <w:szCs w:val="22"/>
        </w:rPr>
      </w:pPr>
    </w:p>
    <w:p w:rsidR="00691DC1" w:rsidRPr="00691DC1" w:rsidRDefault="00691DC1" w:rsidP="00A41862">
      <w:pPr>
        <w:contextualSpacing/>
        <w:jc w:val="left"/>
      </w:pPr>
    </w:p>
    <w:sectPr w:rsidR="00691DC1" w:rsidRPr="00691DC1" w:rsidSect="00EF02B5">
      <w:type w:val="continuous"/>
      <w:pgSz w:w="12240" w:h="15840" w:code="1"/>
      <w:pgMar w:top="1296"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D6" w:rsidRDefault="002C3CD6" w:rsidP="009A30B3">
      <w:pPr>
        <w:spacing w:line="240" w:lineRule="auto"/>
      </w:pPr>
      <w:r>
        <w:separator/>
      </w:r>
    </w:p>
  </w:endnote>
  <w:endnote w:type="continuationSeparator" w:id="0">
    <w:p w:rsidR="002C3CD6" w:rsidRDefault="002C3CD6" w:rsidP="009A3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10475"/>
      <w:docPartObj>
        <w:docPartGallery w:val="Page Numbers (Bottom of Page)"/>
        <w:docPartUnique/>
      </w:docPartObj>
    </w:sdtPr>
    <w:sdtEndPr>
      <w:rPr>
        <w:noProof/>
      </w:rPr>
    </w:sdtEndPr>
    <w:sdtContent>
      <w:p w:rsidR="009A30B3" w:rsidRDefault="009A30B3">
        <w:pPr>
          <w:pStyle w:val="Footer"/>
        </w:pPr>
        <w:r>
          <w:fldChar w:fldCharType="begin"/>
        </w:r>
        <w:r>
          <w:instrText xml:space="preserve"> PAGE   \* MERGEFORMAT </w:instrText>
        </w:r>
        <w:r>
          <w:fldChar w:fldCharType="separate"/>
        </w:r>
        <w:r w:rsidR="00F049FB">
          <w:rPr>
            <w:noProof/>
          </w:rPr>
          <w:t>5</w:t>
        </w:r>
        <w:r>
          <w:rPr>
            <w:noProof/>
          </w:rPr>
          <w:fldChar w:fldCharType="end"/>
        </w:r>
      </w:p>
    </w:sdtContent>
  </w:sdt>
  <w:p w:rsidR="009A30B3" w:rsidRDefault="009A3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D6" w:rsidRDefault="002C3CD6" w:rsidP="009A30B3">
      <w:pPr>
        <w:spacing w:line="240" w:lineRule="auto"/>
      </w:pPr>
      <w:r>
        <w:separator/>
      </w:r>
    </w:p>
  </w:footnote>
  <w:footnote w:type="continuationSeparator" w:id="0">
    <w:p w:rsidR="002C3CD6" w:rsidRDefault="002C3CD6" w:rsidP="009A30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C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C94"/>
    <w:rsid w:val="00135526"/>
    <w:rsid w:val="00140273"/>
    <w:rsid w:val="0014105E"/>
    <w:rsid w:val="00143142"/>
    <w:rsid w:val="00143C25"/>
    <w:rsid w:val="00144D2D"/>
    <w:rsid w:val="00145327"/>
    <w:rsid w:val="00150084"/>
    <w:rsid w:val="00150BAA"/>
    <w:rsid w:val="00150E14"/>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03A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3CD6"/>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88C"/>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DC1"/>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576"/>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35E"/>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0B3"/>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27D"/>
    <w:rsid w:val="00A3659B"/>
    <w:rsid w:val="00A40295"/>
    <w:rsid w:val="00A40731"/>
    <w:rsid w:val="00A40A39"/>
    <w:rsid w:val="00A41862"/>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337"/>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5D6"/>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9FB"/>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0B3"/>
    <w:pPr>
      <w:tabs>
        <w:tab w:val="center" w:pos="4680"/>
        <w:tab w:val="right" w:pos="9360"/>
      </w:tabs>
      <w:spacing w:line="240" w:lineRule="auto"/>
    </w:pPr>
  </w:style>
  <w:style w:type="character" w:customStyle="1" w:styleId="HeaderChar">
    <w:name w:val="Header Char"/>
    <w:basedOn w:val="DefaultParagraphFont"/>
    <w:link w:val="Header"/>
    <w:uiPriority w:val="99"/>
    <w:rsid w:val="009A30B3"/>
  </w:style>
  <w:style w:type="paragraph" w:styleId="Footer">
    <w:name w:val="footer"/>
    <w:basedOn w:val="Normal"/>
    <w:link w:val="FooterChar"/>
    <w:uiPriority w:val="99"/>
    <w:unhideWhenUsed/>
    <w:rsid w:val="009A30B3"/>
    <w:pPr>
      <w:tabs>
        <w:tab w:val="center" w:pos="4680"/>
        <w:tab w:val="right" w:pos="9360"/>
      </w:tabs>
      <w:spacing w:line="240" w:lineRule="auto"/>
    </w:pPr>
  </w:style>
  <w:style w:type="character" w:customStyle="1" w:styleId="FooterChar">
    <w:name w:val="Footer Char"/>
    <w:basedOn w:val="DefaultParagraphFont"/>
    <w:link w:val="Footer"/>
    <w:uiPriority w:val="99"/>
    <w:rsid w:val="009A30B3"/>
  </w:style>
  <w:style w:type="paragraph" w:styleId="BalloonText">
    <w:name w:val="Balloon Text"/>
    <w:basedOn w:val="Normal"/>
    <w:link w:val="BalloonTextChar"/>
    <w:uiPriority w:val="99"/>
    <w:semiHidden/>
    <w:unhideWhenUsed/>
    <w:rsid w:val="00A362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0B3"/>
    <w:pPr>
      <w:tabs>
        <w:tab w:val="center" w:pos="4680"/>
        <w:tab w:val="right" w:pos="9360"/>
      </w:tabs>
      <w:spacing w:line="240" w:lineRule="auto"/>
    </w:pPr>
  </w:style>
  <w:style w:type="character" w:customStyle="1" w:styleId="HeaderChar">
    <w:name w:val="Header Char"/>
    <w:basedOn w:val="DefaultParagraphFont"/>
    <w:link w:val="Header"/>
    <w:uiPriority w:val="99"/>
    <w:rsid w:val="009A30B3"/>
  </w:style>
  <w:style w:type="paragraph" w:styleId="Footer">
    <w:name w:val="footer"/>
    <w:basedOn w:val="Normal"/>
    <w:link w:val="FooterChar"/>
    <w:uiPriority w:val="99"/>
    <w:unhideWhenUsed/>
    <w:rsid w:val="009A30B3"/>
    <w:pPr>
      <w:tabs>
        <w:tab w:val="center" w:pos="4680"/>
        <w:tab w:val="right" w:pos="9360"/>
      </w:tabs>
      <w:spacing w:line="240" w:lineRule="auto"/>
    </w:pPr>
  </w:style>
  <w:style w:type="character" w:customStyle="1" w:styleId="FooterChar">
    <w:name w:val="Footer Char"/>
    <w:basedOn w:val="DefaultParagraphFont"/>
    <w:link w:val="Footer"/>
    <w:uiPriority w:val="99"/>
    <w:rsid w:val="009A30B3"/>
  </w:style>
  <w:style w:type="paragraph" w:styleId="BalloonText">
    <w:name w:val="Balloon Text"/>
    <w:basedOn w:val="Normal"/>
    <w:link w:val="BalloonTextChar"/>
    <w:uiPriority w:val="99"/>
    <w:semiHidden/>
    <w:unhideWhenUsed/>
    <w:rsid w:val="00A362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2011-12-12T16:43:00Z</cp:lastPrinted>
  <dcterms:created xsi:type="dcterms:W3CDTF">2011-12-13T13:29:00Z</dcterms:created>
  <dcterms:modified xsi:type="dcterms:W3CDTF">2011-12-13T13:31:00Z</dcterms:modified>
</cp:coreProperties>
</file>