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60513">
        <w:trPr>
          <w:trHeight w:val="990"/>
        </w:trPr>
        <w:tc>
          <w:tcPr>
            <w:tcW w:w="1363" w:type="dxa"/>
          </w:tcPr>
          <w:p w:rsidR="00060513" w:rsidRDefault="002E088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60513" w:rsidRDefault="000605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60513" w:rsidRDefault="00060513">
      <w:pPr>
        <w:rPr>
          <w:sz w:val="24"/>
        </w:rPr>
        <w:sectPr w:rsidR="00060513">
          <w:pgSz w:w="12240" w:h="15840"/>
          <w:pgMar w:top="504" w:right="1440" w:bottom="1440" w:left="1440" w:header="720" w:footer="720" w:gutter="0"/>
          <w:cols w:space="720"/>
        </w:sectPr>
      </w:pPr>
    </w:p>
    <w:p w:rsidR="003E1941" w:rsidRDefault="003275F3" w:rsidP="00A47984">
      <w:pPr>
        <w:jc w:val="center"/>
        <w:rPr>
          <w:sz w:val="24"/>
        </w:rPr>
      </w:pPr>
      <w:r>
        <w:rPr>
          <w:sz w:val="24"/>
        </w:rPr>
        <w:lastRenderedPageBreak/>
        <w:t>December 1, 2011</w:t>
      </w:r>
    </w:p>
    <w:p w:rsidR="00B07E09" w:rsidRDefault="00B07E09" w:rsidP="00A47984">
      <w:pPr>
        <w:jc w:val="center"/>
        <w:rPr>
          <w:sz w:val="24"/>
        </w:rPr>
      </w:pPr>
    </w:p>
    <w:p w:rsidR="007D3B13" w:rsidRDefault="00061E0A" w:rsidP="00A47984">
      <w:pPr>
        <w:jc w:val="right"/>
        <w:rPr>
          <w:sz w:val="24"/>
        </w:rPr>
      </w:pPr>
      <w:r w:rsidRPr="00061E0A">
        <w:rPr>
          <w:sz w:val="24"/>
        </w:rPr>
        <w:t>A-2011-2266958</w:t>
      </w:r>
    </w:p>
    <w:p w:rsidR="005A1329" w:rsidRDefault="00061E0A" w:rsidP="00A47984">
      <w:pPr>
        <w:jc w:val="right"/>
        <w:rPr>
          <w:sz w:val="24"/>
        </w:rPr>
      </w:pPr>
      <w:r w:rsidRPr="00061E0A">
        <w:rPr>
          <w:sz w:val="24"/>
        </w:rPr>
        <w:t>A-2011-226</w:t>
      </w:r>
      <w:r>
        <w:rPr>
          <w:sz w:val="24"/>
        </w:rPr>
        <w:t>6959</w:t>
      </w:r>
    </w:p>
    <w:p w:rsidR="003A1B6E" w:rsidRDefault="003A1B6E" w:rsidP="00D4781D">
      <w:pPr>
        <w:rPr>
          <w:sz w:val="24"/>
        </w:rPr>
      </w:pPr>
    </w:p>
    <w:p w:rsidR="00061E0A" w:rsidRPr="00061E0A" w:rsidRDefault="00061E0A" w:rsidP="00061E0A">
      <w:pPr>
        <w:rPr>
          <w:sz w:val="24"/>
        </w:rPr>
      </w:pPr>
      <w:r w:rsidRPr="00061E0A">
        <w:rPr>
          <w:sz w:val="24"/>
        </w:rPr>
        <w:t>J</w:t>
      </w:r>
      <w:r w:rsidR="006C05F0">
        <w:rPr>
          <w:sz w:val="24"/>
        </w:rPr>
        <w:t>OHN F. POVILAITIS</w:t>
      </w:r>
    </w:p>
    <w:p w:rsidR="00061E0A" w:rsidRPr="00061E0A" w:rsidRDefault="006C05F0" w:rsidP="00061E0A">
      <w:pPr>
        <w:rPr>
          <w:sz w:val="24"/>
        </w:rPr>
      </w:pPr>
      <w:r>
        <w:rPr>
          <w:sz w:val="24"/>
        </w:rPr>
        <w:t>BUCHANAN INGERSOLL &amp; ROONEY PC</w:t>
      </w:r>
    </w:p>
    <w:p w:rsidR="00061E0A" w:rsidRPr="00061E0A" w:rsidRDefault="00061E0A" w:rsidP="00061E0A">
      <w:pPr>
        <w:rPr>
          <w:sz w:val="24"/>
        </w:rPr>
      </w:pPr>
      <w:r w:rsidRPr="00061E0A">
        <w:rPr>
          <w:sz w:val="24"/>
        </w:rPr>
        <w:t xml:space="preserve">17 </w:t>
      </w:r>
      <w:r w:rsidR="006C05F0">
        <w:rPr>
          <w:sz w:val="24"/>
        </w:rPr>
        <w:t>NORTH SECOND STREET</w:t>
      </w:r>
      <w:r w:rsidRPr="00061E0A">
        <w:rPr>
          <w:sz w:val="24"/>
        </w:rPr>
        <w:t>, 15th F</w:t>
      </w:r>
      <w:r w:rsidR="006C05F0">
        <w:rPr>
          <w:sz w:val="24"/>
        </w:rPr>
        <w:t>LOOR</w:t>
      </w:r>
    </w:p>
    <w:p w:rsidR="00A47984" w:rsidRDefault="006C05F0" w:rsidP="00061E0A">
      <w:pPr>
        <w:rPr>
          <w:sz w:val="24"/>
        </w:rPr>
      </w:pPr>
      <w:r>
        <w:rPr>
          <w:sz w:val="24"/>
        </w:rPr>
        <w:t xml:space="preserve">HARRISBURG </w:t>
      </w:r>
      <w:r w:rsidR="00061E0A" w:rsidRPr="00061E0A">
        <w:rPr>
          <w:sz w:val="24"/>
        </w:rPr>
        <w:t xml:space="preserve"> PA 17101</w:t>
      </w:r>
    </w:p>
    <w:p w:rsidR="00A47984" w:rsidRDefault="00A47984" w:rsidP="00A47984">
      <w:pPr>
        <w:rPr>
          <w:sz w:val="24"/>
        </w:rPr>
      </w:pPr>
    </w:p>
    <w:p w:rsidR="0013144A" w:rsidRDefault="0013144A" w:rsidP="00A47984">
      <w:pPr>
        <w:rPr>
          <w:sz w:val="24"/>
        </w:rPr>
      </w:pPr>
    </w:p>
    <w:p w:rsidR="00A47984" w:rsidRPr="00AC2EA8" w:rsidRDefault="00A47984" w:rsidP="006C05F0">
      <w:pPr>
        <w:ind w:left="1440" w:hanging="1440"/>
        <w:rPr>
          <w:sz w:val="24"/>
          <w:szCs w:val="24"/>
        </w:rPr>
      </w:pPr>
      <w:r w:rsidRPr="00AC2EA8">
        <w:rPr>
          <w:sz w:val="24"/>
          <w:szCs w:val="24"/>
        </w:rPr>
        <w:t xml:space="preserve">Re: </w:t>
      </w:r>
      <w:r w:rsidR="006C05F0">
        <w:rPr>
          <w:sz w:val="24"/>
          <w:szCs w:val="24"/>
        </w:rPr>
        <w:tab/>
      </w:r>
      <w:r w:rsidR="005A1329" w:rsidRPr="005A1329">
        <w:rPr>
          <w:sz w:val="24"/>
          <w:szCs w:val="24"/>
        </w:rPr>
        <w:t xml:space="preserve">Joint Application of </w:t>
      </w:r>
      <w:r w:rsidR="00061E0A" w:rsidRPr="00061E0A">
        <w:rPr>
          <w:sz w:val="24"/>
          <w:szCs w:val="24"/>
        </w:rPr>
        <w:t>DSLnet Communications</w:t>
      </w:r>
      <w:r w:rsidR="00061E0A">
        <w:rPr>
          <w:sz w:val="24"/>
          <w:szCs w:val="24"/>
        </w:rPr>
        <w:t>,</w:t>
      </w:r>
      <w:r w:rsidR="00061E0A" w:rsidRPr="00061E0A">
        <w:rPr>
          <w:sz w:val="24"/>
          <w:szCs w:val="24"/>
        </w:rPr>
        <w:t xml:space="preserve"> LLC and DIECA Communications</w:t>
      </w:r>
      <w:r w:rsidR="00061E0A">
        <w:rPr>
          <w:sz w:val="24"/>
          <w:szCs w:val="24"/>
        </w:rPr>
        <w:t>,</w:t>
      </w:r>
      <w:r w:rsidR="00061E0A" w:rsidRPr="00061E0A">
        <w:rPr>
          <w:sz w:val="24"/>
          <w:szCs w:val="24"/>
        </w:rPr>
        <w:t xml:space="preserve"> Inc</w:t>
      </w:r>
      <w:r w:rsidR="00061E0A">
        <w:rPr>
          <w:sz w:val="24"/>
          <w:szCs w:val="24"/>
        </w:rPr>
        <w:t>.</w:t>
      </w:r>
      <w:r w:rsidR="005A1329" w:rsidRPr="005A1329">
        <w:rPr>
          <w:sz w:val="24"/>
          <w:szCs w:val="24"/>
        </w:rPr>
        <w:t xml:space="preserve"> to Transfer Assets of </w:t>
      </w:r>
      <w:r w:rsidR="00061E0A" w:rsidRPr="00061E0A">
        <w:rPr>
          <w:sz w:val="24"/>
          <w:szCs w:val="24"/>
        </w:rPr>
        <w:t>DSLnet Communications, LLC</w:t>
      </w:r>
      <w:r w:rsidR="005A1329" w:rsidRPr="005A1329">
        <w:rPr>
          <w:sz w:val="24"/>
          <w:szCs w:val="24"/>
        </w:rPr>
        <w:t xml:space="preserve"> to </w:t>
      </w:r>
      <w:r w:rsidR="00061E0A" w:rsidRPr="00061E0A">
        <w:rPr>
          <w:sz w:val="24"/>
          <w:szCs w:val="24"/>
        </w:rPr>
        <w:t>DIECA Communications, Inc.</w:t>
      </w:r>
    </w:p>
    <w:p w:rsidR="00A47984" w:rsidRPr="00AC2EA8" w:rsidRDefault="00A47984" w:rsidP="00A47984">
      <w:pPr>
        <w:rPr>
          <w:sz w:val="24"/>
          <w:szCs w:val="24"/>
        </w:rPr>
      </w:pPr>
    </w:p>
    <w:p w:rsidR="0013144A" w:rsidRPr="00AC2EA8" w:rsidRDefault="0013144A" w:rsidP="00A47984">
      <w:pPr>
        <w:rPr>
          <w:sz w:val="24"/>
          <w:szCs w:val="24"/>
        </w:rPr>
      </w:pPr>
    </w:p>
    <w:p w:rsidR="00A47984" w:rsidRPr="00AC2EA8" w:rsidRDefault="00A47984" w:rsidP="00A47984">
      <w:pPr>
        <w:rPr>
          <w:sz w:val="24"/>
          <w:szCs w:val="24"/>
        </w:rPr>
      </w:pPr>
      <w:r w:rsidRPr="00AC2EA8">
        <w:rPr>
          <w:sz w:val="24"/>
          <w:szCs w:val="24"/>
        </w:rPr>
        <w:t>Dear M</w:t>
      </w:r>
      <w:r w:rsidR="005A1329">
        <w:rPr>
          <w:sz w:val="24"/>
          <w:szCs w:val="24"/>
        </w:rPr>
        <w:t>r</w:t>
      </w:r>
      <w:r w:rsidR="00A831B0">
        <w:rPr>
          <w:sz w:val="24"/>
          <w:szCs w:val="24"/>
        </w:rPr>
        <w:t xml:space="preserve">. </w:t>
      </w:r>
      <w:r w:rsidR="00061E0A">
        <w:rPr>
          <w:sz w:val="24"/>
        </w:rPr>
        <w:t>Povilaitis</w:t>
      </w:r>
      <w:r w:rsidRPr="00AC2EA8">
        <w:rPr>
          <w:sz w:val="24"/>
          <w:szCs w:val="24"/>
        </w:rPr>
        <w:t>:</w:t>
      </w:r>
    </w:p>
    <w:p w:rsidR="00A47984" w:rsidRPr="00AC2EA8" w:rsidRDefault="00A47984" w:rsidP="00A47984">
      <w:pPr>
        <w:rPr>
          <w:sz w:val="24"/>
          <w:szCs w:val="24"/>
        </w:rPr>
      </w:pPr>
    </w:p>
    <w:p w:rsidR="00F93DDD" w:rsidRPr="00F93DDD" w:rsidRDefault="0085122A" w:rsidP="00F93DDD">
      <w:pPr>
        <w:ind w:firstLine="1440"/>
        <w:rPr>
          <w:sz w:val="24"/>
          <w:szCs w:val="24"/>
        </w:rPr>
      </w:pPr>
      <w:r w:rsidRPr="0085122A">
        <w:rPr>
          <w:sz w:val="24"/>
          <w:szCs w:val="24"/>
        </w:rPr>
        <w:t xml:space="preserve">On </w:t>
      </w:r>
      <w:r w:rsidR="0091484D">
        <w:rPr>
          <w:sz w:val="24"/>
          <w:szCs w:val="24"/>
        </w:rPr>
        <w:t>October 7</w:t>
      </w:r>
      <w:r w:rsidRPr="0085122A">
        <w:rPr>
          <w:sz w:val="24"/>
          <w:szCs w:val="24"/>
        </w:rPr>
        <w:t xml:space="preserve">, 2011, </w:t>
      </w:r>
      <w:r w:rsidR="0091484D" w:rsidRPr="0091484D">
        <w:rPr>
          <w:sz w:val="24"/>
          <w:szCs w:val="24"/>
        </w:rPr>
        <w:t>DSLnet Communications, LLC</w:t>
      </w:r>
      <w:r w:rsidR="005A1329" w:rsidRPr="005A1329">
        <w:rPr>
          <w:sz w:val="24"/>
          <w:szCs w:val="24"/>
        </w:rPr>
        <w:t xml:space="preserve"> (</w:t>
      </w:r>
      <w:r w:rsidR="0091484D">
        <w:rPr>
          <w:sz w:val="24"/>
          <w:szCs w:val="24"/>
        </w:rPr>
        <w:t>DSLnet</w:t>
      </w:r>
      <w:r w:rsidR="005A1329" w:rsidRPr="005A1329">
        <w:rPr>
          <w:sz w:val="24"/>
          <w:szCs w:val="24"/>
        </w:rPr>
        <w:t xml:space="preserve">) and </w:t>
      </w:r>
      <w:r w:rsidR="0091484D" w:rsidRPr="00061E0A">
        <w:rPr>
          <w:sz w:val="24"/>
          <w:szCs w:val="24"/>
        </w:rPr>
        <w:t>DIECA Communications</w:t>
      </w:r>
      <w:r w:rsidR="0091484D">
        <w:rPr>
          <w:sz w:val="24"/>
          <w:szCs w:val="24"/>
        </w:rPr>
        <w:t>,</w:t>
      </w:r>
      <w:r w:rsidR="0091484D" w:rsidRPr="00061E0A">
        <w:rPr>
          <w:sz w:val="24"/>
          <w:szCs w:val="24"/>
        </w:rPr>
        <w:t xml:space="preserve"> Inc</w:t>
      </w:r>
      <w:r w:rsidR="0091484D">
        <w:rPr>
          <w:sz w:val="24"/>
          <w:szCs w:val="24"/>
        </w:rPr>
        <w:t>.</w:t>
      </w:r>
      <w:r w:rsidR="005A1329" w:rsidRPr="005A1329">
        <w:rPr>
          <w:sz w:val="24"/>
          <w:szCs w:val="24"/>
        </w:rPr>
        <w:t xml:space="preserve"> (</w:t>
      </w:r>
      <w:r w:rsidR="0091484D" w:rsidRPr="00061E0A">
        <w:rPr>
          <w:sz w:val="24"/>
          <w:szCs w:val="24"/>
        </w:rPr>
        <w:t>DIECA</w:t>
      </w:r>
      <w:r w:rsidR="005A1329" w:rsidRPr="005A1329">
        <w:rPr>
          <w:sz w:val="24"/>
          <w:szCs w:val="24"/>
        </w:rPr>
        <w:t>), (</w:t>
      </w:r>
      <w:r w:rsidR="0091484D">
        <w:rPr>
          <w:sz w:val="24"/>
          <w:szCs w:val="24"/>
        </w:rPr>
        <w:t>DSLnet</w:t>
      </w:r>
      <w:r w:rsidR="005A1329" w:rsidRPr="005A1329">
        <w:rPr>
          <w:sz w:val="24"/>
          <w:szCs w:val="24"/>
        </w:rPr>
        <w:t xml:space="preserve"> and </w:t>
      </w:r>
      <w:r w:rsidR="0091484D" w:rsidRPr="0091484D">
        <w:rPr>
          <w:sz w:val="24"/>
          <w:szCs w:val="24"/>
        </w:rPr>
        <w:t>DIECA</w:t>
      </w:r>
      <w:r w:rsidR="005A1329" w:rsidRPr="005A1329">
        <w:rPr>
          <w:sz w:val="24"/>
          <w:szCs w:val="24"/>
        </w:rPr>
        <w:t xml:space="preserve"> collectively referred to as the Applicants)</w:t>
      </w:r>
      <w:r w:rsidRPr="0085122A">
        <w:rPr>
          <w:sz w:val="24"/>
          <w:szCs w:val="24"/>
        </w:rPr>
        <w:t>, filed</w:t>
      </w:r>
      <w:r>
        <w:rPr>
          <w:sz w:val="24"/>
          <w:szCs w:val="24"/>
        </w:rPr>
        <w:t xml:space="preserve"> </w:t>
      </w:r>
      <w:r w:rsidR="00F93DDD" w:rsidRPr="00F93DDD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="00F93DDD" w:rsidRPr="00F93DDD">
        <w:rPr>
          <w:sz w:val="24"/>
          <w:szCs w:val="24"/>
        </w:rPr>
        <w:t xml:space="preserve"> application pursuant to Chapter 11 of the Pennsylvania Public Utility Code, 66 Pa. C.S. §§ 1101-1103 and the Commission’s Policy Statement Utility Stock Transfers under 52 Pa. Code </w:t>
      </w:r>
      <w:r w:rsidR="00243B92">
        <w:rPr>
          <w:sz w:val="24"/>
          <w:szCs w:val="24"/>
        </w:rPr>
        <w:t>§ 69.901, seeking approval of a</w:t>
      </w:r>
      <w:r w:rsidR="00F93DDD" w:rsidRPr="00F93DDD">
        <w:rPr>
          <w:sz w:val="24"/>
          <w:szCs w:val="24"/>
        </w:rPr>
        <w:t xml:space="preserve"> transfe</w:t>
      </w:r>
      <w:r w:rsidR="00243B92">
        <w:rPr>
          <w:sz w:val="24"/>
          <w:szCs w:val="24"/>
        </w:rPr>
        <w:t xml:space="preserve">r of control of </w:t>
      </w:r>
      <w:r w:rsidR="00A90079">
        <w:rPr>
          <w:sz w:val="24"/>
          <w:szCs w:val="24"/>
        </w:rPr>
        <w:t>Value-Added</w:t>
      </w:r>
      <w:r w:rsidR="002121C6" w:rsidRPr="002121C6">
        <w:rPr>
          <w:sz w:val="24"/>
          <w:szCs w:val="24"/>
        </w:rPr>
        <w:t>.</w:t>
      </w:r>
      <w:r w:rsidR="00F93DDD" w:rsidRPr="00F93DDD">
        <w:rPr>
          <w:sz w:val="24"/>
          <w:szCs w:val="24"/>
        </w:rPr>
        <w:t xml:space="preserve">  The application was filed as a </w:t>
      </w:r>
      <w:r w:rsidR="00555F1B" w:rsidRPr="00555F1B">
        <w:rPr>
          <w:i/>
          <w:sz w:val="24"/>
          <w:szCs w:val="24"/>
        </w:rPr>
        <w:t>General Rule Transaction</w:t>
      </w:r>
      <w:r w:rsidR="00F93DDD" w:rsidRPr="00F93DDD">
        <w:rPr>
          <w:sz w:val="24"/>
          <w:szCs w:val="24"/>
        </w:rPr>
        <w:t xml:space="preserve"> pursuant to 52 Pa. Code § 63.324.</w:t>
      </w:r>
    </w:p>
    <w:p w:rsidR="00F04567" w:rsidRPr="00AC2EA8" w:rsidRDefault="00F04567" w:rsidP="00F04567">
      <w:pPr>
        <w:rPr>
          <w:sz w:val="24"/>
          <w:szCs w:val="24"/>
        </w:rPr>
      </w:pPr>
    </w:p>
    <w:p w:rsidR="00F04567" w:rsidRPr="00AC2EA8" w:rsidRDefault="00F04567" w:rsidP="00707903">
      <w:pPr>
        <w:ind w:firstLine="1440"/>
        <w:rPr>
          <w:sz w:val="24"/>
          <w:szCs w:val="24"/>
        </w:rPr>
      </w:pPr>
      <w:bookmarkStart w:id="0" w:name="OLE_LINK1"/>
      <w:bookmarkStart w:id="1" w:name="OLE_LINK2"/>
      <w:r w:rsidRPr="00AC2EA8">
        <w:rPr>
          <w:sz w:val="24"/>
          <w:szCs w:val="24"/>
        </w:rPr>
        <w:t xml:space="preserve">Pursuant to 52 Pa. Code § 5.14, </w:t>
      </w:r>
      <w:bookmarkEnd w:id="0"/>
      <w:bookmarkEnd w:id="1"/>
      <w:r w:rsidRPr="00AC2EA8">
        <w:rPr>
          <w:sz w:val="24"/>
          <w:szCs w:val="24"/>
        </w:rPr>
        <w:t xml:space="preserve">relating to applications requiring notice, a </w:t>
      </w:r>
      <w:r w:rsidR="006B30BD" w:rsidRPr="006B30BD">
        <w:rPr>
          <w:sz w:val="24"/>
          <w:szCs w:val="24"/>
        </w:rPr>
        <w:t xml:space="preserve">notice was published in the </w:t>
      </w:r>
      <w:r w:rsidR="006B30BD">
        <w:rPr>
          <w:i/>
          <w:sz w:val="24"/>
          <w:szCs w:val="24"/>
        </w:rPr>
        <w:t>Pennsylvania B</w:t>
      </w:r>
      <w:r w:rsidR="006B30BD" w:rsidRPr="006B30BD">
        <w:rPr>
          <w:i/>
          <w:sz w:val="24"/>
          <w:szCs w:val="24"/>
        </w:rPr>
        <w:t>ulletin</w:t>
      </w:r>
      <w:r w:rsidR="006B30BD" w:rsidRPr="006B30BD">
        <w:rPr>
          <w:sz w:val="24"/>
          <w:szCs w:val="24"/>
        </w:rPr>
        <w:t xml:space="preserve"> on Saturday, </w:t>
      </w:r>
      <w:r w:rsidR="0091484D" w:rsidRPr="0091484D">
        <w:rPr>
          <w:sz w:val="24"/>
          <w:szCs w:val="24"/>
        </w:rPr>
        <w:t>October 22</w:t>
      </w:r>
      <w:r w:rsidR="00A90079" w:rsidRPr="00A90079">
        <w:rPr>
          <w:sz w:val="24"/>
          <w:szCs w:val="24"/>
        </w:rPr>
        <w:t xml:space="preserve">, 2011, and protests were due by </w:t>
      </w:r>
      <w:r w:rsidR="0091484D" w:rsidRPr="0091484D">
        <w:rPr>
          <w:sz w:val="24"/>
          <w:szCs w:val="24"/>
        </w:rPr>
        <w:t>November 7</w:t>
      </w:r>
      <w:r w:rsidR="00A90079" w:rsidRPr="00A90079">
        <w:rPr>
          <w:sz w:val="24"/>
          <w:szCs w:val="24"/>
        </w:rPr>
        <w:t>, 2011</w:t>
      </w:r>
      <w:r w:rsidRPr="00AC2EA8">
        <w:rPr>
          <w:sz w:val="24"/>
          <w:szCs w:val="24"/>
        </w:rPr>
        <w:t>.  Additionally, copies of the application were served upon the Office of Small Business Advocate</w:t>
      </w:r>
      <w:r w:rsidR="00B654AE" w:rsidRPr="00B654AE">
        <w:rPr>
          <w:sz w:val="24"/>
          <w:szCs w:val="24"/>
        </w:rPr>
        <w:t xml:space="preserve"> </w:t>
      </w:r>
      <w:r w:rsidR="00B654AE" w:rsidRPr="00AC2EA8">
        <w:rPr>
          <w:sz w:val="24"/>
          <w:szCs w:val="24"/>
        </w:rPr>
        <w:t xml:space="preserve">and </w:t>
      </w:r>
      <w:r w:rsidRPr="00AC2EA8">
        <w:rPr>
          <w:sz w:val="24"/>
          <w:szCs w:val="24"/>
        </w:rPr>
        <w:t xml:space="preserve">the Office of Consumer Advocate. </w:t>
      </w:r>
      <w:r w:rsidR="00707903" w:rsidRPr="00AC2EA8">
        <w:rPr>
          <w:sz w:val="24"/>
          <w:szCs w:val="24"/>
        </w:rPr>
        <w:t xml:space="preserve"> </w:t>
      </w:r>
      <w:r w:rsidRPr="00AC2EA8">
        <w:rPr>
          <w:sz w:val="24"/>
          <w:szCs w:val="24"/>
        </w:rPr>
        <w:t>Further notice was not required and no protests or comments have been received.</w:t>
      </w:r>
    </w:p>
    <w:p w:rsidR="00FF5D06" w:rsidRPr="00AC2EA8" w:rsidRDefault="00FB6B8C" w:rsidP="00FF5D06">
      <w:pPr>
        <w:rPr>
          <w:sz w:val="24"/>
          <w:szCs w:val="24"/>
        </w:rPr>
      </w:pPr>
      <w:r w:rsidRPr="00AC2EA8">
        <w:rPr>
          <w:sz w:val="24"/>
          <w:szCs w:val="24"/>
        </w:rPr>
        <w:t xml:space="preserve"> </w:t>
      </w:r>
    </w:p>
    <w:p w:rsidR="00834B05" w:rsidRPr="00AC2EA8" w:rsidRDefault="00C13702" w:rsidP="00793941">
      <w:pPr>
        <w:ind w:firstLine="1440"/>
        <w:rPr>
          <w:sz w:val="24"/>
          <w:szCs w:val="24"/>
        </w:rPr>
      </w:pPr>
      <w:r w:rsidRPr="00C13702">
        <w:rPr>
          <w:sz w:val="24"/>
          <w:szCs w:val="24"/>
        </w:rPr>
        <w:t xml:space="preserve">Applicants propose transferring </w:t>
      </w:r>
      <w:r w:rsidR="0091484D" w:rsidRPr="0091484D">
        <w:rPr>
          <w:sz w:val="24"/>
          <w:szCs w:val="24"/>
        </w:rPr>
        <w:t>DSLnet</w:t>
      </w:r>
      <w:r w:rsidRPr="00C13702">
        <w:rPr>
          <w:sz w:val="24"/>
          <w:szCs w:val="24"/>
        </w:rPr>
        <w:t xml:space="preserve"> assets to </w:t>
      </w:r>
      <w:r w:rsidR="0091484D" w:rsidRPr="0091484D">
        <w:rPr>
          <w:sz w:val="24"/>
          <w:szCs w:val="24"/>
        </w:rPr>
        <w:t>DIECA</w:t>
      </w:r>
      <w:r>
        <w:rPr>
          <w:sz w:val="24"/>
          <w:szCs w:val="24"/>
        </w:rPr>
        <w:t xml:space="preserve"> </w:t>
      </w:r>
      <w:r w:rsidRPr="00C13702">
        <w:rPr>
          <w:sz w:val="24"/>
          <w:szCs w:val="24"/>
        </w:rPr>
        <w:t>(the Transaction)</w:t>
      </w:r>
      <w:r w:rsidR="003662D0">
        <w:rPr>
          <w:sz w:val="24"/>
          <w:szCs w:val="24"/>
        </w:rPr>
        <w:t xml:space="preserve">.  </w:t>
      </w:r>
      <w:r w:rsidR="003662D0" w:rsidRPr="003662D0">
        <w:rPr>
          <w:sz w:val="24"/>
          <w:szCs w:val="24"/>
        </w:rPr>
        <w:t>Upon consummation of the proposed Transactions, DSLnet will surrender all authorities granted by the Commission at Docket Nos. A-310824, A-31</w:t>
      </w:r>
      <w:r w:rsidR="00805ACA">
        <w:rPr>
          <w:sz w:val="24"/>
          <w:szCs w:val="24"/>
        </w:rPr>
        <w:t>0824F0002, A-310824F0003, and A</w:t>
      </w:r>
      <w:r w:rsidR="00805ACA">
        <w:rPr>
          <w:sz w:val="24"/>
          <w:szCs w:val="24"/>
        </w:rPr>
        <w:noBreakHyphen/>
      </w:r>
      <w:r w:rsidR="003662D0" w:rsidRPr="003662D0">
        <w:rPr>
          <w:sz w:val="24"/>
          <w:szCs w:val="24"/>
        </w:rPr>
        <w:t>310824F0004</w:t>
      </w:r>
      <w:r w:rsidR="003662D0">
        <w:rPr>
          <w:sz w:val="24"/>
          <w:szCs w:val="24"/>
        </w:rPr>
        <w:t xml:space="preserve">.  </w:t>
      </w:r>
      <w:r w:rsidR="002F59C0" w:rsidRPr="002F59C0">
        <w:rPr>
          <w:sz w:val="24"/>
          <w:szCs w:val="24"/>
        </w:rPr>
        <w:t>The</w:t>
      </w:r>
      <w:r w:rsidR="007F3E74">
        <w:rPr>
          <w:sz w:val="24"/>
          <w:szCs w:val="24"/>
        </w:rPr>
        <w:t xml:space="preserve"> Applicant</w:t>
      </w:r>
      <w:r w:rsidR="001C6782">
        <w:rPr>
          <w:sz w:val="24"/>
          <w:szCs w:val="24"/>
        </w:rPr>
        <w:t>s</w:t>
      </w:r>
      <w:r w:rsidR="002F59C0" w:rsidRPr="002F59C0">
        <w:rPr>
          <w:sz w:val="24"/>
          <w:szCs w:val="24"/>
        </w:rPr>
        <w:t xml:space="preserve"> submit the transaction is in the public interest.  </w:t>
      </w:r>
      <w:r w:rsidRPr="00C13702">
        <w:rPr>
          <w:sz w:val="24"/>
          <w:szCs w:val="24"/>
        </w:rPr>
        <w:t xml:space="preserve">There will be no impact on </w:t>
      </w:r>
      <w:r w:rsidR="0091484D" w:rsidRPr="0091484D">
        <w:rPr>
          <w:sz w:val="24"/>
          <w:szCs w:val="24"/>
        </w:rPr>
        <w:t>DSLnet</w:t>
      </w:r>
      <w:r w:rsidRPr="00C13702">
        <w:rPr>
          <w:sz w:val="24"/>
          <w:szCs w:val="24"/>
        </w:rPr>
        <w:t xml:space="preserve">'s current customers, since the Transaction will be transparent to customers, and services to </w:t>
      </w:r>
      <w:r w:rsidR="0091484D" w:rsidRPr="0091484D">
        <w:rPr>
          <w:sz w:val="24"/>
          <w:szCs w:val="24"/>
        </w:rPr>
        <w:t>DSLnet</w:t>
      </w:r>
      <w:r w:rsidRPr="00C13702">
        <w:rPr>
          <w:sz w:val="24"/>
          <w:szCs w:val="24"/>
        </w:rPr>
        <w:t xml:space="preserve"> customers will </w:t>
      </w:r>
      <w:r w:rsidR="0091484D">
        <w:rPr>
          <w:sz w:val="24"/>
          <w:szCs w:val="24"/>
        </w:rPr>
        <w:t>continue under DIECA.</w:t>
      </w:r>
    </w:p>
    <w:p w:rsidR="00B45EFD" w:rsidRPr="00AC2EA8" w:rsidRDefault="00B45EFD" w:rsidP="00FB6B8C">
      <w:pPr>
        <w:rPr>
          <w:sz w:val="24"/>
          <w:szCs w:val="24"/>
        </w:rPr>
      </w:pPr>
    </w:p>
    <w:p w:rsidR="00271A9E" w:rsidRDefault="00477EFF" w:rsidP="00094F41">
      <w:pPr>
        <w:ind w:firstLine="1440"/>
        <w:rPr>
          <w:sz w:val="24"/>
          <w:szCs w:val="24"/>
        </w:rPr>
      </w:pPr>
      <w:r w:rsidRPr="00477EFF">
        <w:rPr>
          <w:sz w:val="24"/>
          <w:szCs w:val="24"/>
        </w:rPr>
        <w:t>As required by Section 63.32</w:t>
      </w:r>
      <w:r w:rsidR="004B4E85">
        <w:rPr>
          <w:sz w:val="24"/>
          <w:szCs w:val="24"/>
        </w:rPr>
        <w:t>5</w:t>
      </w:r>
      <w:r w:rsidRPr="00477EFF">
        <w:rPr>
          <w:sz w:val="24"/>
          <w:szCs w:val="24"/>
        </w:rPr>
        <w:t>(k)(1) of our rules,</w:t>
      </w:r>
      <w:r w:rsidR="000A2233">
        <w:rPr>
          <w:sz w:val="24"/>
          <w:szCs w:val="24"/>
        </w:rPr>
        <w:t xml:space="preserve"> 52 Pa. Code § 63.325(k)(1),</w:t>
      </w:r>
      <w:r w:rsidRPr="00477EFF">
        <w:rPr>
          <w:sz w:val="24"/>
          <w:szCs w:val="24"/>
        </w:rPr>
        <w:t xml:space="preserve"> we find that the r</w:t>
      </w:r>
      <w:r w:rsidR="007F3E74">
        <w:rPr>
          <w:sz w:val="24"/>
          <w:szCs w:val="24"/>
        </w:rPr>
        <w:t>ecord sufficiently supports the</w:t>
      </w:r>
      <w:r w:rsidR="00DD153F">
        <w:rPr>
          <w:sz w:val="24"/>
          <w:szCs w:val="24"/>
        </w:rPr>
        <w:t xml:space="preserve"> </w:t>
      </w:r>
      <w:r w:rsidRPr="00477EFF">
        <w:rPr>
          <w:sz w:val="24"/>
          <w:szCs w:val="24"/>
        </w:rPr>
        <w:t>Applicants</w:t>
      </w:r>
      <w:r w:rsidR="001C6782">
        <w:rPr>
          <w:sz w:val="24"/>
          <w:szCs w:val="24"/>
        </w:rPr>
        <w:t>’</w:t>
      </w:r>
      <w:r w:rsidRPr="00477EFF">
        <w:rPr>
          <w:sz w:val="24"/>
          <w:szCs w:val="24"/>
        </w:rPr>
        <w:t xml:space="preserve"> claim that the proposed </w:t>
      </w:r>
      <w:r w:rsidR="00DD153F" w:rsidRPr="00DD153F">
        <w:rPr>
          <w:sz w:val="24"/>
          <w:szCs w:val="24"/>
        </w:rPr>
        <w:t>transfer of control will benefit customers by strengthening th</w:t>
      </w:r>
      <w:r w:rsidR="00FF6507">
        <w:rPr>
          <w:sz w:val="24"/>
          <w:szCs w:val="24"/>
        </w:rPr>
        <w:t xml:space="preserve">eir </w:t>
      </w:r>
      <w:r w:rsidR="00DD153F" w:rsidRPr="00DD153F">
        <w:rPr>
          <w:sz w:val="24"/>
          <w:szCs w:val="24"/>
        </w:rPr>
        <w:t>competitive position in Pennsylvania.  Aft</w:t>
      </w:r>
      <w:r w:rsidR="009B2E42">
        <w:rPr>
          <w:sz w:val="24"/>
          <w:szCs w:val="24"/>
        </w:rPr>
        <w:t>er the proposed transaction,</w:t>
      </w:r>
      <w:r w:rsidR="00DD153F" w:rsidRPr="00DD153F">
        <w:rPr>
          <w:sz w:val="24"/>
          <w:szCs w:val="24"/>
        </w:rPr>
        <w:t xml:space="preserve"> </w:t>
      </w:r>
      <w:r w:rsidR="00F722DF">
        <w:rPr>
          <w:sz w:val="24"/>
          <w:szCs w:val="24"/>
        </w:rPr>
        <w:t>DIECA</w:t>
      </w:r>
      <w:r w:rsidR="00DD153F" w:rsidRPr="00DD153F">
        <w:rPr>
          <w:sz w:val="24"/>
          <w:szCs w:val="24"/>
        </w:rPr>
        <w:t xml:space="preserve"> will continue to provide telecommunication services at the same rates, terms and conditions and, therefore, the transaction will be transparent to current </w:t>
      </w:r>
      <w:r w:rsidR="00F722DF" w:rsidRPr="00F722DF">
        <w:rPr>
          <w:sz w:val="24"/>
          <w:szCs w:val="24"/>
        </w:rPr>
        <w:t xml:space="preserve">DSLnet </w:t>
      </w:r>
      <w:r w:rsidR="00DD153F" w:rsidRPr="00DD153F">
        <w:rPr>
          <w:sz w:val="24"/>
          <w:szCs w:val="24"/>
        </w:rPr>
        <w:t xml:space="preserve">customers.  For the reasons advanced by the </w:t>
      </w:r>
      <w:r w:rsidR="007F3E74">
        <w:rPr>
          <w:sz w:val="24"/>
          <w:szCs w:val="24"/>
        </w:rPr>
        <w:t>Applicant</w:t>
      </w:r>
      <w:r w:rsidR="001C6782">
        <w:rPr>
          <w:sz w:val="24"/>
          <w:szCs w:val="24"/>
        </w:rPr>
        <w:t>s</w:t>
      </w:r>
      <w:r w:rsidR="00DD153F" w:rsidRPr="00DD153F">
        <w:rPr>
          <w:sz w:val="24"/>
          <w:szCs w:val="24"/>
        </w:rPr>
        <w:t xml:space="preserve">, we conclude that the record provides substantial evidence of affirmative public benefits sufficient to warrant approval of the </w:t>
      </w:r>
      <w:r w:rsidR="00DD153F" w:rsidRPr="00DD153F">
        <w:rPr>
          <w:sz w:val="24"/>
          <w:szCs w:val="24"/>
        </w:rPr>
        <w:lastRenderedPageBreak/>
        <w:t xml:space="preserve">proposed transaction under </w:t>
      </w:r>
      <w:r w:rsidR="00DD153F" w:rsidRPr="00DD153F">
        <w:rPr>
          <w:i/>
          <w:iCs/>
          <w:sz w:val="24"/>
          <w:szCs w:val="24"/>
        </w:rPr>
        <w:t>City of York v.</w:t>
      </w:r>
      <w:r w:rsidR="00DD153F" w:rsidRPr="00DD153F">
        <w:rPr>
          <w:i/>
          <w:sz w:val="24"/>
          <w:szCs w:val="24"/>
        </w:rPr>
        <w:t xml:space="preserve"> </w:t>
      </w:r>
      <w:r w:rsidR="00DD153F" w:rsidRPr="00DD153F">
        <w:rPr>
          <w:i/>
          <w:iCs/>
          <w:sz w:val="24"/>
          <w:szCs w:val="24"/>
        </w:rPr>
        <w:t>Pennsylvania Public Utility Commission</w:t>
      </w:r>
      <w:r w:rsidR="00DD153F" w:rsidRPr="00DD153F">
        <w:rPr>
          <w:iCs/>
          <w:sz w:val="24"/>
          <w:szCs w:val="24"/>
        </w:rPr>
        <w:t xml:space="preserve">, </w:t>
      </w:r>
      <w:r w:rsidR="00DD153F" w:rsidRPr="00DD153F">
        <w:rPr>
          <w:sz w:val="24"/>
          <w:szCs w:val="24"/>
        </w:rPr>
        <w:t xml:space="preserve">295 A.2d 825 (Pa. 1972) and </w:t>
      </w:r>
      <w:r w:rsidR="00DD153F" w:rsidRPr="00DD153F">
        <w:rPr>
          <w:i/>
          <w:sz w:val="24"/>
          <w:szCs w:val="24"/>
        </w:rPr>
        <w:t>I</w:t>
      </w:r>
      <w:r w:rsidR="00DD153F" w:rsidRPr="00DD153F">
        <w:rPr>
          <w:i/>
          <w:iCs/>
          <w:sz w:val="24"/>
          <w:szCs w:val="24"/>
        </w:rPr>
        <w:t>rwin A. Popowsky v.</w:t>
      </w:r>
      <w:r w:rsidR="00DD153F" w:rsidRPr="00DD153F">
        <w:rPr>
          <w:sz w:val="24"/>
          <w:szCs w:val="24"/>
        </w:rPr>
        <w:t xml:space="preserve"> </w:t>
      </w:r>
      <w:r w:rsidR="00DD153F" w:rsidRPr="00DD153F">
        <w:rPr>
          <w:i/>
          <w:iCs/>
          <w:sz w:val="24"/>
          <w:szCs w:val="24"/>
        </w:rPr>
        <w:t xml:space="preserve">Pa. PUC, </w:t>
      </w:r>
      <w:r w:rsidR="00DD153F" w:rsidRPr="00DD153F">
        <w:rPr>
          <w:iCs/>
          <w:sz w:val="24"/>
          <w:szCs w:val="24"/>
        </w:rPr>
        <w:t>937</w:t>
      </w:r>
      <w:r w:rsidR="00DD153F" w:rsidRPr="00DD153F">
        <w:rPr>
          <w:sz w:val="24"/>
          <w:szCs w:val="24"/>
        </w:rPr>
        <w:t> A.2d 1040 (Pa. 2007).</w:t>
      </w:r>
    </w:p>
    <w:p w:rsidR="00271A9E" w:rsidRDefault="00271A9E" w:rsidP="00094F41">
      <w:pPr>
        <w:ind w:firstLine="1440"/>
        <w:rPr>
          <w:sz w:val="24"/>
          <w:szCs w:val="24"/>
        </w:rPr>
      </w:pPr>
    </w:p>
    <w:p w:rsidR="00BF16DC" w:rsidRDefault="00BF16DC" w:rsidP="00094F41">
      <w:pPr>
        <w:ind w:firstLine="1440"/>
        <w:rPr>
          <w:sz w:val="24"/>
          <w:szCs w:val="24"/>
        </w:rPr>
      </w:pPr>
      <w:r w:rsidRPr="00BF16DC">
        <w:rPr>
          <w:sz w:val="24"/>
          <w:szCs w:val="24"/>
        </w:rPr>
        <w:t>The Commission finds that the transaction is necessary for the service, accommodation, convenience, or safety of the public as required by Section 63.32</w:t>
      </w:r>
      <w:r w:rsidR="004B4E85">
        <w:rPr>
          <w:sz w:val="24"/>
          <w:szCs w:val="24"/>
        </w:rPr>
        <w:t>5</w:t>
      </w:r>
      <w:r w:rsidRPr="00BF16DC">
        <w:rPr>
          <w:sz w:val="24"/>
          <w:szCs w:val="24"/>
        </w:rPr>
        <w:t xml:space="preserve">(k)(2) of the Commission’s rules. The Commission will issue </w:t>
      </w:r>
      <w:r w:rsidR="009B2E42">
        <w:rPr>
          <w:sz w:val="24"/>
          <w:szCs w:val="24"/>
        </w:rPr>
        <w:t xml:space="preserve">a </w:t>
      </w:r>
      <w:r w:rsidRPr="00BF16DC">
        <w:rPr>
          <w:sz w:val="24"/>
          <w:szCs w:val="24"/>
        </w:rPr>
        <w:t xml:space="preserve">certificate of public convenience authorizing this transaction as required </w:t>
      </w:r>
      <w:r w:rsidR="00A63BC3">
        <w:rPr>
          <w:sz w:val="24"/>
          <w:szCs w:val="24"/>
        </w:rPr>
        <w:t>under</w:t>
      </w:r>
      <w:r w:rsidRPr="00BF16DC">
        <w:rPr>
          <w:sz w:val="24"/>
          <w:szCs w:val="24"/>
        </w:rPr>
        <w:t xml:space="preserve"> 66 Pa.C.S. §§ 1102(a) and 1103</w:t>
      </w:r>
      <w:r w:rsidR="00A63BC3">
        <w:rPr>
          <w:sz w:val="24"/>
          <w:szCs w:val="24"/>
        </w:rPr>
        <w:t>,</w:t>
      </w:r>
      <w:r w:rsidRPr="00BF16DC">
        <w:rPr>
          <w:sz w:val="24"/>
          <w:szCs w:val="24"/>
        </w:rPr>
        <w:t xml:space="preserve"> and </w:t>
      </w:r>
      <w:r w:rsidR="00A63BC3">
        <w:rPr>
          <w:sz w:val="24"/>
          <w:szCs w:val="24"/>
        </w:rPr>
        <w:t xml:space="preserve">the Commission’s rules, </w:t>
      </w:r>
      <w:r w:rsidRPr="00BF16DC">
        <w:rPr>
          <w:sz w:val="24"/>
          <w:szCs w:val="24"/>
        </w:rPr>
        <w:t>52 Pa. Code § 63.324(k)(2)</w:t>
      </w:r>
      <w:r w:rsidR="00A63BC3">
        <w:rPr>
          <w:sz w:val="24"/>
          <w:szCs w:val="24"/>
        </w:rPr>
        <w:t>.</w:t>
      </w:r>
    </w:p>
    <w:p w:rsidR="00BF16DC" w:rsidRDefault="00BF16DC" w:rsidP="00094F41">
      <w:pPr>
        <w:ind w:firstLine="1440"/>
        <w:rPr>
          <w:sz w:val="24"/>
          <w:szCs w:val="24"/>
        </w:rPr>
      </w:pPr>
    </w:p>
    <w:p w:rsidR="00296E11" w:rsidRDefault="00296E11" w:rsidP="00094F41">
      <w:pPr>
        <w:ind w:firstLine="1440"/>
        <w:rPr>
          <w:sz w:val="24"/>
          <w:szCs w:val="24"/>
        </w:rPr>
      </w:pPr>
      <w:r w:rsidRPr="00296E11">
        <w:rPr>
          <w:sz w:val="24"/>
          <w:szCs w:val="24"/>
        </w:rPr>
        <w:t xml:space="preserve">In addition, based upon the information provided in the </w:t>
      </w:r>
      <w:r w:rsidR="009B2E42">
        <w:rPr>
          <w:sz w:val="24"/>
          <w:szCs w:val="24"/>
        </w:rPr>
        <w:t xml:space="preserve">joint </w:t>
      </w:r>
      <w:r w:rsidRPr="00296E11">
        <w:rPr>
          <w:sz w:val="24"/>
          <w:szCs w:val="24"/>
        </w:rPr>
        <w:t>application, the Commission finds that the transaction does not harm competition.  The Com</w:t>
      </w:r>
      <w:r w:rsidR="001C6782">
        <w:rPr>
          <w:sz w:val="24"/>
          <w:szCs w:val="24"/>
        </w:rPr>
        <w:t xml:space="preserve">mission’s approval enhances </w:t>
      </w:r>
      <w:r w:rsidR="00F722DF">
        <w:rPr>
          <w:sz w:val="24"/>
          <w:szCs w:val="24"/>
        </w:rPr>
        <w:t>DIECA</w:t>
      </w:r>
      <w:r w:rsidR="00D9678E">
        <w:rPr>
          <w:sz w:val="24"/>
          <w:szCs w:val="24"/>
        </w:rPr>
        <w:t>’s</w:t>
      </w:r>
      <w:r w:rsidRPr="00296E11">
        <w:rPr>
          <w:sz w:val="24"/>
          <w:szCs w:val="24"/>
        </w:rPr>
        <w:t xml:space="preserve"> ability to compete in Pennsylvania without harm to consumers or Pennsylvania markets as required by Section 63.324(k)(3) of our rules.  </w:t>
      </w:r>
      <w:r w:rsidR="000A2233">
        <w:rPr>
          <w:sz w:val="24"/>
          <w:szCs w:val="24"/>
        </w:rPr>
        <w:t>52 Pa. Code § 63.325(k)(3).</w:t>
      </w:r>
    </w:p>
    <w:p w:rsidR="004B53A5" w:rsidRDefault="004B53A5" w:rsidP="004B53A5">
      <w:pPr>
        <w:ind w:firstLine="1440"/>
        <w:rPr>
          <w:sz w:val="24"/>
          <w:szCs w:val="24"/>
        </w:rPr>
      </w:pPr>
    </w:p>
    <w:p w:rsidR="004B53A5" w:rsidRPr="004B53A5" w:rsidRDefault="004B53A5" w:rsidP="004B53A5">
      <w:pPr>
        <w:ind w:firstLine="1440"/>
        <w:rPr>
          <w:sz w:val="24"/>
          <w:szCs w:val="24"/>
        </w:rPr>
      </w:pPr>
      <w:r w:rsidRPr="004B53A5">
        <w:rPr>
          <w:sz w:val="24"/>
          <w:szCs w:val="24"/>
        </w:rPr>
        <w:t xml:space="preserve">The Commission has determined that </w:t>
      </w:r>
      <w:r w:rsidR="001C6782">
        <w:rPr>
          <w:sz w:val="24"/>
          <w:szCs w:val="24"/>
        </w:rPr>
        <w:t>Applicants are</w:t>
      </w:r>
      <w:r w:rsidRPr="004B53A5">
        <w:rPr>
          <w:sz w:val="24"/>
          <w:szCs w:val="24"/>
        </w:rPr>
        <w:t xml:space="preserve"> current with </w:t>
      </w:r>
      <w:r w:rsidR="007A3AE5">
        <w:rPr>
          <w:sz w:val="24"/>
          <w:szCs w:val="24"/>
        </w:rPr>
        <w:t>their</w:t>
      </w:r>
      <w:r w:rsidRPr="004B53A5">
        <w:rPr>
          <w:sz w:val="24"/>
          <w:szCs w:val="24"/>
        </w:rPr>
        <w:t xml:space="preserve"> annual financial and Security Planning and Readiness Self Certification Form report filing requirements, and there are no outstanding Commission fines or assessments against </w:t>
      </w:r>
      <w:r w:rsidR="004D4C4E">
        <w:rPr>
          <w:sz w:val="24"/>
          <w:szCs w:val="24"/>
        </w:rPr>
        <w:t>Applicants</w:t>
      </w:r>
      <w:r w:rsidRPr="004B53A5">
        <w:rPr>
          <w:sz w:val="24"/>
          <w:szCs w:val="24"/>
        </w:rPr>
        <w:t xml:space="preserve">. </w:t>
      </w:r>
    </w:p>
    <w:p w:rsidR="00296E11" w:rsidRDefault="00296E11" w:rsidP="00B53F7D">
      <w:pPr>
        <w:ind w:firstLine="1440"/>
        <w:rPr>
          <w:sz w:val="24"/>
          <w:szCs w:val="24"/>
        </w:rPr>
      </w:pPr>
    </w:p>
    <w:p w:rsidR="001047F8" w:rsidRPr="00AC2EA8" w:rsidRDefault="003611EF" w:rsidP="00B53F7D">
      <w:pPr>
        <w:ind w:firstLine="1440"/>
        <w:rPr>
          <w:sz w:val="24"/>
          <w:szCs w:val="24"/>
        </w:rPr>
      </w:pPr>
      <w:r>
        <w:rPr>
          <w:sz w:val="24"/>
          <w:szCs w:val="24"/>
        </w:rPr>
        <w:t>In summary</w:t>
      </w:r>
      <w:r w:rsidR="001047F8" w:rsidRPr="00AC2EA8">
        <w:rPr>
          <w:sz w:val="24"/>
          <w:szCs w:val="24"/>
        </w:rPr>
        <w:t xml:space="preserve">, we find that the </w:t>
      </w:r>
      <w:r w:rsidR="004B53A5">
        <w:rPr>
          <w:sz w:val="24"/>
          <w:szCs w:val="24"/>
        </w:rPr>
        <w:t xml:space="preserve">joint </w:t>
      </w:r>
      <w:r w:rsidR="001047F8" w:rsidRPr="00AC2EA8">
        <w:rPr>
          <w:sz w:val="24"/>
          <w:szCs w:val="24"/>
        </w:rPr>
        <w:t xml:space="preserve">application should be approved as a </w:t>
      </w:r>
      <w:r w:rsidR="004B53A5">
        <w:rPr>
          <w:sz w:val="24"/>
          <w:szCs w:val="24"/>
        </w:rPr>
        <w:t>General Rule</w:t>
      </w:r>
      <w:r w:rsidR="001047F8" w:rsidRPr="00AC2EA8">
        <w:rPr>
          <w:sz w:val="24"/>
          <w:szCs w:val="24"/>
        </w:rPr>
        <w:t xml:space="preserve"> transaction under Section 63.32</w:t>
      </w:r>
      <w:r w:rsidR="004B53A5">
        <w:rPr>
          <w:sz w:val="24"/>
          <w:szCs w:val="24"/>
        </w:rPr>
        <w:t>4</w:t>
      </w:r>
      <w:r w:rsidR="001047F8" w:rsidRPr="00AC2EA8">
        <w:rPr>
          <w:sz w:val="24"/>
          <w:szCs w:val="24"/>
        </w:rPr>
        <w:t xml:space="preserve"> of the Commission’s rules as requested</w:t>
      </w:r>
      <w:r w:rsidR="003E113C">
        <w:rPr>
          <w:sz w:val="24"/>
          <w:szCs w:val="24"/>
        </w:rPr>
        <w:t>,</w:t>
      </w:r>
      <w:r w:rsidR="000A0CA9">
        <w:rPr>
          <w:sz w:val="24"/>
          <w:szCs w:val="24"/>
        </w:rPr>
        <w:t xml:space="preserve"> and</w:t>
      </w:r>
      <w:r w:rsidR="0029515B">
        <w:rPr>
          <w:sz w:val="24"/>
          <w:szCs w:val="24"/>
        </w:rPr>
        <w:t>,</w:t>
      </w:r>
      <w:r w:rsidR="00AD543E" w:rsidRPr="00AC2EA8">
        <w:rPr>
          <w:sz w:val="24"/>
          <w:szCs w:val="24"/>
        </w:rPr>
        <w:t xml:space="preserve"> that a certificate of public convenience be issued to</w:t>
      </w:r>
      <w:r w:rsidR="000A0CA9">
        <w:rPr>
          <w:sz w:val="24"/>
          <w:szCs w:val="24"/>
        </w:rPr>
        <w:t xml:space="preserve"> </w:t>
      </w:r>
      <w:r w:rsidR="00F722DF">
        <w:rPr>
          <w:sz w:val="24"/>
          <w:szCs w:val="24"/>
        </w:rPr>
        <w:t>DIECA</w:t>
      </w:r>
      <w:r w:rsidR="007F1B7E">
        <w:rPr>
          <w:sz w:val="24"/>
          <w:szCs w:val="24"/>
        </w:rPr>
        <w:t xml:space="preserve"> </w:t>
      </w:r>
      <w:r w:rsidR="000A0CA9">
        <w:rPr>
          <w:sz w:val="24"/>
          <w:szCs w:val="24"/>
        </w:rPr>
        <w:t xml:space="preserve">evidencing our approval of the </w:t>
      </w:r>
      <w:r w:rsidR="004B53A5">
        <w:rPr>
          <w:sz w:val="24"/>
          <w:szCs w:val="24"/>
        </w:rPr>
        <w:t xml:space="preserve">proposed </w:t>
      </w:r>
      <w:r w:rsidR="00B61B7D" w:rsidRPr="00B61B7D">
        <w:rPr>
          <w:sz w:val="24"/>
          <w:szCs w:val="24"/>
        </w:rPr>
        <w:t>transfer</w:t>
      </w:r>
      <w:r w:rsidR="004D4C4E">
        <w:rPr>
          <w:sz w:val="24"/>
          <w:szCs w:val="24"/>
        </w:rPr>
        <w:t xml:space="preserve"> of </w:t>
      </w:r>
      <w:r w:rsidR="00F722DF">
        <w:rPr>
          <w:sz w:val="24"/>
          <w:szCs w:val="24"/>
        </w:rPr>
        <w:t>assets</w:t>
      </w:r>
      <w:r w:rsidR="00CA360E">
        <w:rPr>
          <w:sz w:val="24"/>
          <w:szCs w:val="24"/>
        </w:rPr>
        <w:t>.</w:t>
      </w:r>
      <w:r w:rsidR="001021AB">
        <w:rPr>
          <w:sz w:val="24"/>
          <w:szCs w:val="24"/>
        </w:rPr>
        <w:t xml:space="preserve">  </w:t>
      </w:r>
      <w:r w:rsidR="001021AB" w:rsidRPr="00412E2A">
        <w:rPr>
          <w:sz w:val="24"/>
          <w:szCs w:val="24"/>
        </w:rPr>
        <w:t>Further, upon consummation of the proposed asset transfer, the aband</w:t>
      </w:r>
      <w:r w:rsidR="001021AB">
        <w:rPr>
          <w:sz w:val="24"/>
          <w:szCs w:val="24"/>
        </w:rPr>
        <w:t xml:space="preserve">onment of all telecommunication services </w:t>
      </w:r>
      <w:r w:rsidR="001021AB" w:rsidRPr="00412E2A">
        <w:rPr>
          <w:sz w:val="24"/>
          <w:szCs w:val="24"/>
        </w:rPr>
        <w:t xml:space="preserve">by </w:t>
      </w:r>
      <w:r w:rsidR="001021AB" w:rsidRPr="003662D0">
        <w:rPr>
          <w:sz w:val="24"/>
          <w:szCs w:val="24"/>
        </w:rPr>
        <w:t>DSLnet</w:t>
      </w:r>
      <w:r w:rsidR="001021AB" w:rsidRPr="00412E2A">
        <w:rPr>
          <w:sz w:val="24"/>
          <w:szCs w:val="24"/>
        </w:rPr>
        <w:t xml:space="preserve"> is hereby approved</w:t>
      </w:r>
      <w:r w:rsidR="001021AB">
        <w:rPr>
          <w:sz w:val="24"/>
          <w:szCs w:val="24"/>
        </w:rPr>
        <w:t>.</w:t>
      </w:r>
    </w:p>
    <w:p w:rsidR="00E914B0" w:rsidRDefault="00E914B0">
      <w:pPr>
        <w:rPr>
          <w:sz w:val="24"/>
          <w:szCs w:val="24"/>
        </w:rPr>
      </w:pPr>
    </w:p>
    <w:p w:rsidR="008145D8" w:rsidRPr="008145D8" w:rsidRDefault="0063659C" w:rsidP="008145D8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B53F7D">
        <w:rPr>
          <w:sz w:val="24"/>
          <w:szCs w:val="24"/>
        </w:rPr>
        <w:t>Therefore, the Commission directs</w:t>
      </w:r>
      <w:r w:rsidR="00AD543E" w:rsidRPr="00B53F7D">
        <w:rPr>
          <w:sz w:val="24"/>
          <w:szCs w:val="24"/>
        </w:rPr>
        <w:t xml:space="preserve"> </w:t>
      </w:r>
      <w:r w:rsidR="004D4C4E">
        <w:rPr>
          <w:sz w:val="24"/>
          <w:szCs w:val="24"/>
        </w:rPr>
        <w:t>Applicants</w:t>
      </w:r>
      <w:r w:rsidR="00AD543E" w:rsidRPr="00B53F7D">
        <w:rPr>
          <w:sz w:val="24"/>
          <w:szCs w:val="24"/>
        </w:rPr>
        <w:t xml:space="preserve"> </w:t>
      </w:r>
      <w:r w:rsidR="00932425">
        <w:rPr>
          <w:sz w:val="24"/>
          <w:szCs w:val="24"/>
        </w:rPr>
        <w:t xml:space="preserve">to file notice with this Commission within </w:t>
      </w:r>
      <w:r w:rsidR="00442C9D">
        <w:rPr>
          <w:sz w:val="24"/>
          <w:szCs w:val="24"/>
        </w:rPr>
        <w:t>6</w:t>
      </w:r>
      <w:r w:rsidR="00932425">
        <w:rPr>
          <w:sz w:val="24"/>
          <w:szCs w:val="24"/>
        </w:rPr>
        <w:t xml:space="preserve">0 days of the consummation of </w:t>
      </w:r>
      <w:r w:rsidR="00F722DF">
        <w:rPr>
          <w:sz w:val="24"/>
          <w:szCs w:val="24"/>
        </w:rPr>
        <w:t xml:space="preserve">the </w:t>
      </w:r>
      <w:r w:rsidR="00B61B7D" w:rsidRPr="007D3B13">
        <w:rPr>
          <w:sz w:val="24"/>
          <w:szCs w:val="24"/>
        </w:rPr>
        <w:t>transfer</w:t>
      </w:r>
      <w:r w:rsidR="00932425">
        <w:rPr>
          <w:sz w:val="24"/>
          <w:szCs w:val="24"/>
        </w:rPr>
        <w:t xml:space="preserve">.  </w:t>
      </w:r>
      <w:r w:rsidR="005E57CA" w:rsidRPr="005E57CA">
        <w:rPr>
          <w:sz w:val="24"/>
          <w:szCs w:val="24"/>
        </w:rPr>
        <w:t xml:space="preserve">That if </w:t>
      </w:r>
      <w:r w:rsidR="00D9678E">
        <w:rPr>
          <w:sz w:val="24"/>
          <w:szCs w:val="24"/>
        </w:rPr>
        <w:t>Applicants</w:t>
      </w:r>
      <w:r w:rsidR="005E57CA" w:rsidRPr="005E57CA">
        <w:rPr>
          <w:sz w:val="24"/>
          <w:szCs w:val="24"/>
        </w:rPr>
        <w:t xml:space="preserve"> determine that the proposed transaction will no</w:t>
      </w:r>
      <w:r w:rsidR="000A691C">
        <w:rPr>
          <w:sz w:val="24"/>
          <w:szCs w:val="24"/>
        </w:rPr>
        <w:t>t take place</w:t>
      </w:r>
      <w:r w:rsidR="008E1AB8">
        <w:rPr>
          <w:sz w:val="24"/>
          <w:szCs w:val="24"/>
        </w:rPr>
        <w:t>,</w:t>
      </w:r>
      <w:r w:rsidR="005E57CA" w:rsidRPr="005E57CA">
        <w:rPr>
          <w:sz w:val="24"/>
          <w:szCs w:val="24"/>
        </w:rPr>
        <w:t xml:space="preserve"> </w:t>
      </w:r>
      <w:r w:rsidR="00D9678E">
        <w:rPr>
          <w:sz w:val="24"/>
          <w:szCs w:val="24"/>
        </w:rPr>
        <w:t>Applicants</w:t>
      </w:r>
      <w:r w:rsidR="005E57CA" w:rsidRPr="005E57CA">
        <w:rPr>
          <w:sz w:val="24"/>
          <w:szCs w:val="24"/>
        </w:rPr>
        <w:t xml:space="preserve"> shall promptly so notify this Commission</w:t>
      </w:r>
      <w:r w:rsidR="002133D6">
        <w:rPr>
          <w:sz w:val="24"/>
          <w:szCs w:val="24"/>
        </w:rPr>
        <w:t>.</w:t>
      </w:r>
    </w:p>
    <w:p w:rsidR="00B53F7D" w:rsidRPr="00B53F7D" w:rsidRDefault="00B53F7D" w:rsidP="00B53F7D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FB6B8C" w:rsidRPr="00B53F7D" w:rsidRDefault="00FB6B8C" w:rsidP="00B53F7D">
      <w:pPr>
        <w:ind w:firstLine="1440"/>
        <w:rPr>
          <w:sz w:val="24"/>
          <w:szCs w:val="24"/>
        </w:rPr>
      </w:pPr>
    </w:p>
    <w:p w:rsidR="00FB6B8C" w:rsidRPr="00AC2EA8" w:rsidRDefault="003275F3" w:rsidP="00FB6B8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78DC4A" wp14:editId="35A7AFFE">
            <wp:simplePos x="0" y="0"/>
            <wp:positionH relativeFrom="column">
              <wp:posOffset>2749550</wp:posOffset>
            </wp:positionH>
            <wp:positionV relativeFrom="paragraph">
              <wp:posOffset>146685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984" w:rsidRDefault="00A47984" w:rsidP="00A4798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BY THE COMMISSION,</w:t>
      </w:r>
    </w:p>
    <w:p w:rsidR="00A47984" w:rsidRDefault="00A47984" w:rsidP="00A47984">
      <w:pPr>
        <w:rPr>
          <w:sz w:val="24"/>
        </w:rPr>
      </w:pPr>
    </w:p>
    <w:p w:rsidR="00A47984" w:rsidRDefault="00A47984" w:rsidP="00A47984">
      <w:pPr>
        <w:rPr>
          <w:sz w:val="24"/>
        </w:rPr>
      </w:pPr>
      <w:bookmarkStart w:id="2" w:name="_GoBack"/>
      <w:bookmarkEnd w:id="2"/>
    </w:p>
    <w:p w:rsidR="00A47984" w:rsidRDefault="00A47984" w:rsidP="00A47984">
      <w:pPr>
        <w:rPr>
          <w:sz w:val="24"/>
        </w:rPr>
      </w:pPr>
    </w:p>
    <w:p w:rsidR="00A47984" w:rsidRDefault="00A47984" w:rsidP="00A4798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F725C">
        <w:rPr>
          <w:sz w:val="24"/>
        </w:rPr>
        <w:t>Rosemary Chiavetta</w:t>
      </w:r>
    </w:p>
    <w:p w:rsidR="00A47984" w:rsidRDefault="00A47984" w:rsidP="00A4798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387B02" w:rsidRDefault="00387B02" w:rsidP="00A47984">
      <w:pPr>
        <w:rPr>
          <w:sz w:val="24"/>
        </w:rPr>
      </w:pPr>
    </w:p>
    <w:p w:rsidR="00387B02" w:rsidRDefault="00387B02" w:rsidP="00A47984">
      <w:pPr>
        <w:rPr>
          <w:sz w:val="24"/>
        </w:rPr>
      </w:pPr>
    </w:p>
    <w:p w:rsidR="005B7C2F" w:rsidRDefault="00387B02" w:rsidP="00387B02">
      <w:pPr>
        <w:rPr>
          <w:sz w:val="24"/>
        </w:rPr>
      </w:pPr>
      <w:r>
        <w:rPr>
          <w:sz w:val="24"/>
        </w:rPr>
        <w:t xml:space="preserve">cc:   </w:t>
      </w:r>
      <w:r>
        <w:rPr>
          <w:sz w:val="24"/>
        </w:rPr>
        <w:tab/>
      </w:r>
      <w:r w:rsidR="005B7C2F">
        <w:rPr>
          <w:sz w:val="24"/>
        </w:rPr>
        <w:t>J. Elaine McDonald</w:t>
      </w:r>
    </w:p>
    <w:p w:rsidR="00387B02" w:rsidRDefault="007F35C8" w:rsidP="00A47984">
      <w:pPr>
        <w:rPr>
          <w:sz w:val="24"/>
        </w:rPr>
      </w:pPr>
      <w:r>
        <w:rPr>
          <w:sz w:val="24"/>
        </w:rPr>
        <w:tab/>
        <w:t>Pennsylvania Emergency Management Agency 911 (E911)</w:t>
      </w:r>
    </w:p>
    <w:p w:rsidR="007F35C8" w:rsidRDefault="007F35C8" w:rsidP="00A47984">
      <w:pPr>
        <w:rPr>
          <w:sz w:val="24"/>
        </w:rPr>
      </w:pPr>
    </w:p>
    <w:sectPr w:rsidR="007F35C8" w:rsidSect="009F374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85" w:rsidRDefault="00C32185">
      <w:r>
        <w:separator/>
      </w:r>
    </w:p>
  </w:endnote>
  <w:endnote w:type="continuationSeparator" w:id="0">
    <w:p w:rsidR="00C32185" w:rsidRDefault="00C3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85" w:rsidRDefault="00C32185">
      <w:r>
        <w:separator/>
      </w:r>
    </w:p>
  </w:footnote>
  <w:footnote w:type="continuationSeparator" w:id="0">
    <w:p w:rsidR="00C32185" w:rsidRDefault="00C3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513"/>
    <w:rsid w:val="00002F8B"/>
    <w:rsid w:val="0002387A"/>
    <w:rsid w:val="0004533F"/>
    <w:rsid w:val="00060513"/>
    <w:rsid w:val="00061E0A"/>
    <w:rsid w:val="00076251"/>
    <w:rsid w:val="0008771D"/>
    <w:rsid w:val="00094F41"/>
    <w:rsid w:val="000A0CA9"/>
    <w:rsid w:val="000A2233"/>
    <w:rsid w:val="000A691C"/>
    <w:rsid w:val="000A7BE0"/>
    <w:rsid w:val="000D09B4"/>
    <w:rsid w:val="000D4811"/>
    <w:rsid w:val="000E783E"/>
    <w:rsid w:val="001021AB"/>
    <w:rsid w:val="00102FDF"/>
    <w:rsid w:val="001047F8"/>
    <w:rsid w:val="00110E48"/>
    <w:rsid w:val="0013144A"/>
    <w:rsid w:val="001316CE"/>
    <w:rsid w:val="00163748"/>
    <w:rsid w:val="00186536"/>
    <w:rsid w:val="001A67AD"/>
    <w:rsid w:val="001C6782"/>
    <w:rsid w:val="001D01B6"/>
    <w:rsid w:val="001D21AB"/>
    <w:rsid w:val="002121C6"/>
    <w:rsid w:val="002133D6"/>
    <w:rsid w:val="00213B60"/>
    <w:rsid w:val="002414B8"/>
    <w:rsid w:val="00243B92"/>
    <w:rsid w:val="00252BF3"/>
    <w:rsid w:val="00271A9E"/>
    <w:rsid w:val="00287D45"/>
    <w:rsid w:val="002915AD"/>
    <w:rsid w:val="0029515B"/>
    <w:rsid w:val="0029538D"/>
    <w:rsid w:val="00296E11"/>
    <w:rsid w:val="002C3465"/>
    <w:rsid w:val="002E088B"/>
    <w:rsid w:val="002E3F53"/>
    <w:rsid w:val="002E5E9A"/>
    <w:rsid w:val="002F59C0"/>
    <w:rsid w:val="002F6FE6"/>
    <w:rsid w:val="00306B18"/>
    <w:rsid w:val="00310EF8"/>
    <w:rsid w:val="00313BE5"/>
    <w:rsid w:val="003275F3"/>
    <w:rsid w:val="00356DE1"/>
    <w:rsid w:val="003611EF"/>
    <w:rsid w:val="003662D0"/>
    <w:rsid w:val="00387B02"/>
    <w:rsid w:val="003A1B6E"/>
    <w:rsid w:val="003B22C4"/>
    <w:rsid w:val="003C7667"/>
    <w:rsid w:val="003D135F"/>
    <w:rsid w:val="003D3802"/>
    <w:rsid w:val="003D3D79"/>
    <w:rsid w:val="003E113C"/>
    <w:rsid w:val="003E1941"/>
    <w:rsid w:val="003E3DA1"/>
    <w:rsid w:val="00432DC0"/>
    <w:rsid w:val="00442C9D"/>
    <w:rsid w:val="0045077A"/>
    <w:rsid w:val="00456521"/>
    <w:rsid w:val="00456DCC"/>
    <w:rsid w:val="00461BFE"/>
    <w:rsid w:val="00474E1B"/>
    <w:rsid w:val="00475BC1"/>
    <w:rsid w:val="00477EFF"/>
    <w:rsid w:val="00482089"/>
    <w:rsid w:val="0048410D"/>
    <w:rsid w:val="004B2DAC"/>
    <w:rsid w:val="004B4E85"/>
    <w:rsid w:val="004B53A5"/>
    <w:rsid w:val="004D4C4E"/>
    <w:rsid w:val="004F7D5A"/>
    <w:rsid w:val="00501E89"/>
    <w:rsid w:val="0054427A"/>
    <w:rsid w:val="005542AD"/>
    <w:rsid w:val="00555177"/>
    <w:rsid w:val="00555492"/>
    <w:rsid w:val="00555F1B"/>
    <w:rsid w:val="0056005C"/>
    <w:rsid w:val="00572046"/>
    <w:rsid w:val="00577217"/>
    <w:rsid w:val="0059007D"/>
    <w:rsid w:val="0059660D"/>
    <w:rsid w:val="005A1329"/>
    <w:rsid w:val="005A4E24"/>
    <w:rsid w:val="005B7C2F"/>
    <w:rsid w:val="005C59F1"/>
    <w:rsid w:val="005D094C"/>
    <w:rsid w:val="005D3EBA"/>
    <w:rsid w:val="005E2749"/>
    <w:rsid w:val="005E57CA"/>
    <w:rsid w:val="005E5C01"/>
    <w:rsid w:val="005E6A52"/>
    <w:rsid w:val="00610276"/>
    <w:rsid w:val="0063659C"/>
    <w:rsid w:val="0065334F"/>
    <w:rsid w:val="00654F0F"/>
    <w:rsid w:val="00675332"/>
    <w:rsid w:val="0068643D"/>
    <w:rsid w:val="006867CB"/>
    <w:rsid w:val="0069542A"/>
    <w:rsid w:val="006A1170"/>
    <w:rsid w:val="006A5133"/>
    <w:rsid w:val="006B30BD"/>
    <w:rsid w:val="006B3F51"/>
    <w:rsid w:val="006C05F0"/>
    <w:rsid w:val="006E709B"/>
    <w:rsid w:val="006F5CCF"/>
    <w:rsid w:val="0070125D"/>
    <w:rsid w:val="00707903"/>
    <w:rsid w:val="00740253"/>
    <w:rsid w:val="0075084C"/>
    <w:rsid w:val="00753658"/>
    <w:rsid w:val="00793941"/>
    <w:rsid w:val="00793BBA"/>
    <w:rsid w:val="00795662"/>
    <w:rsid w:val="007A3AE5"/>
    <w:rsid w:val="007D3B13"/>
    <w:rsid w:val="007D66BF"/>
    <w:rsid w:val="007E324B"/>
    <w:rsid w:val="007F1B7E"/>
    <w:rsid w:val="007F35C8"/>
    <w:rsid w:val="007F3E74"/>
    <w:rsid w:val="00805ACA"/>
    <w:rsid w:val="008145D8"/>
    <w:rsid w:val="00832E3D"/>
    <w:rsid w:val="00834B05"/>
    <w:rsid w:val="00834B13"/>
    <w:rsid w:val="0083570A"/>
    <w:rsid w:val="0085122A"/>
    <w:rsid w:val="00856E27"/>
    <w:rsid w:val="0087637D"/>
    <w:rsid w:val="0087796A"/>
    <w:rsid w:val="008C3B63"/>
    <w:rsid w:val="008E1AB8"/>
    <w:rsid w:val="008F725C"/>
    <w:rsid w:val="0091484D"/>
    <w:rsid w:val="009152F6"/>
    <w:rsid w:val="009257B2"/>
    <w:rsid w:val="009257C0"/>
    <w:rsid w:val="00932425"/>
    <w:rsid w:val="00944598"/>
    <w:rsid w:val="00955D44"/>
    <w:rsid w:val="0098671C"/>
    <w:rsid w:val="00987C63"/>
    <w:rsid w:val="009B2E42"/>
    <w:rsid w:val="009E0427"/>
    <w:rsid w:val="009E0843"/>
    <w:rsid w:val="009E4AF7"/>
    <w:rsid w:val="009E5E74"/>
    <w:rsid w:val="009F374B"/>
    <w:rsid w:val="009F79B0"/>
    <w:rsid w:val="00A04B7A"/>
    <w:rsid w:val="00A175D1"/>
    <w:rsid w:val="00A24FDE"/>
    <w:rsid w:val="00A47984"/>
    <w:rsid w:val="00A63BC3"/>
    <w:rsid w:val="00A76C42"/>
    <w:rsid w:val="00A831B0"/>
    <w:rsid w:val="00A90079"/>
    <w:rsid w:val="00A943C0"/>
    <w:rsid w:val="00AA40F4"/>
    <w:rsid w:val="00AA5A4A"/>
    <w:rsid w:val="00AC2EA8"/>
    <w:rsid w:val="00AD1B1E"/>
    <w:rsid w:val="00AD543E"/>
    <w:rsid w:val="00AE2939"/>
    <w:rsid w:val="00AF2F99"/>
    <w:rsid w:val="00B06C5A"/>
    <w:rsid w:val="00B07E09"/>
    <w:rsid w:val="00B11079"/>
    <w:rsid w:val="00B45B50"/>
    <w:rsid w:val="00B45EFD"/>
    <w:rsid w:val="00B53F7D"/>
    <w:rsid w:val="00B61B7D"/>
    <w:rsid w:val="00B654AE"/>
    <w:rsid w:val="00B801B5"/>
    <w:rsid w:val="00B97B76"/>
    <w:rsid w:val="00BA07C3"/>
    <w:rsid w:val="00BA09D8"/>
    <w:rsid w:val="00BA24FC"/>
    <w:rsid w:val="00BE2BC6"/>
    <w:rsid w:val="00BE6174"/>
    <w:rsid w:val="00BE62BA"/>
    <w:rsid w:val="00BF16DC"/>
    <w:rsid w:val="00C13702"/>
    <w:rsid w:val="00C14FD3"/>
    <w:rsid w:val="00C27161"/>
    <w:rsid w:val="00C32185"/>
    <w:rsid w:val="00C45F98"/>
    <w:rsid w:val="00C51709"/>
    <w:rsid w:val="00C81994"/>
    <w:rsid w:val="00C90224"/>
    <w:rsid w:val="00CA360E"/>
    <w:rsid w:val="00D02BE1"/>
    <w:rsid w:val="00D40590"/>
    <w:rsid w:val="00D40F73"/>
    <w:rsid w:val="00D47255"/>
    <w:rsid w:val="00D4781D"/>
    <w:rsid w:val="00D757A7"/>
    <w:rsid w:val="00D8713B"/>
    <w:rsid w:val="00D9678E"/>
    <w:rsid w:val="00D975DC"/>
    <w:rsid w:val="00DA085A"/>
    <w:rsid w:val="00DD153F"/>
    <w:rsid w:val="00DE1360"/>
    <w:rsid w:val="00DE6CEA"/>
    <w:rsid w:val="00E53685"/>
    <w:rsid w:val="00E63F4D"/>
    <w:rsid w:val="00E76421"/>
    <w:rsid w:val="00E76F1C"/>
    <w:rsid w:val="00E914B0"/>
    <w:rsid w:val="00EA1C10"/>
    <w:rsid w:val="00EA44CA"/>
    <w:rsid w:val="00ED7F68"/>
    <w:rsid w:val="00EE75A9"/>
    <w:rsid w:val="00F04567"/>
    <w:rsid w:val="00F34E00"/>
    <w:rsid w:val="00F53451"/>
    <w:rsid w:val="00F630A7"/>
    <w:rsid w:val="00F65B62"/>
    <w:rsid w:val="00F722DF"/>
    <w:rsid w:val="00F93DDD"/>
    <w:rsid w:val="00FB6B8C"/>
    <w:rsid w:val="00FD6668"/>
    <w:rsid w:val="00FF5D06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BE0"/>
  </w:style>
  <w:style w:type="paragraph" w:styleId="Heading1">
    <w:name w:val="heading 1"/>
    <w:basedOn w:val="Normal"/>
    <w:next w:val="Normal"/>
    <w:qFormat/>
    <w:rsid w:val="000A7BE0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7BE0"/>
    <w:pPr>
      <w:ind w:left="360"/>
    </w:pPr>
    <w:rPr>
      <w:sz w:val="24"/>
    </w:rPr>
  </w:style>
  <w:style w:type="paragraph" w:styleId="Header">
    <w:name w:val="header"/>
    <w:basedOn w:val="Normal"/>
    <w:rsid w:val="000A7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7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6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</dc:creator>
  <cp:lastModifiedBy>Hinds, Margaret</cp:lastModifiedBy>
  <cp:revision>9</cp:revision>
  <cp:lastPrinted>2011-12-01T19:04:00Z</cp:lastPrinted>
  <dcterms:created xsi:type="dcterms:W3CDTF">2011-11-10T21:23:00Z</dcterms:created>
  <dcterms:modified xsi:type="dcterms:W3CDTF">2011-12-01T19:04:00Z</dcterms:modified>
</cp:coreProperties>
</file>