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52" w:rsidRPr="00FB1329" w:rsidRDefault="00324652" w:rsidP="00324652">
      <w:pPr>
        <w:tabs>
          <w:tab w:val="center" w:pos="4680"/>
        </w:tabs>
        <w:suppressAutoHyphens/>
        <w:jc w:val="center"/>
        <w:rPr>
          <w:b/>
          <w:bCs/>
          <w:spacing w:val="-3"/>
          <w:sz w:val="26"/>
          <w:szCs w:val="26"/>
        </w:rPr>
      </w:pPr>
      <w:r w:rsidRPr="00FB1329">
        <w:rPr>
          <w:b/>
          <w:bCs/>
          <w:spacing w:val="-3"/>
          <w:sz w:val="26"/>
          <w:szCs w:val="26"/>
        </w:rPr>
        <w:t>PENNSYLVANIA</w:t>
      </w:r>
    </w:p>
    <w:p w:rsidR="00324652" w:rsidRPr="00FB1329" w:rsidRDefault="00324652" w:rsidP="00324652">
      <w:pPr>
        <w:tabs>
          <w:tab w:val="center" w:pos="4680"/>
        </w:tabs>
        <w:suppressAutoHyphens/>
        <w:jc w:val="center"/>
        <w:rPr>
          <w:b/>
          <w:bCs/>
          <w:spacing w:val="-3"/>
          <w:sz w:val="26"/>
          <w:szCs w:val="26"/>
        </w:rPr>
      </w:pPr>
      <w:r w:rsidRPr="00FB1329">
        <w:rPr>
          <w:b/>
          <w:bCs/>
          <w:spacing w:val="-3"/>
          <w:sz w:val="26"/>
          <w:szCs w:val="26"/>
        </w:rPr>
        <w:t>PUBLIC UTILITY COMMISSION</w:t>
      </w:r>
    </w:p>
    <w:p w:rsidR="00324652" w:rsidRPr="00FB1329" w:rsidRDefault="00324652" w:rsidP="00324652">
      <w:pPr>
        <w:tabs>
          <w:tab w:val="center" w:pos="4680"/>
        </w:tabs>
        <w:suppressAutoHyphens/>
        <w:jc w:val="center"/>
        <w:rPr>
          <w:b/>
          <w:bCs/>
          <w:spacing w:val="-3"/>
          <w:sz w:val="26"/>
          <w:szCs w:val="26"/>
        </w:rPr>
      </w:pPr>
      <w:r w:rsidRPr="00FB1329">
        <w:rPr>
          <w:b/>
          <w:bCs/>
          <w:spacing w:val="-3"/>
          <w:sz w:val="26"/>
          <w:szCs w:val="26"/>
        </w:rPr>
        <w:t>Harrisburg, PA  17105-3265</w:t>
      </w:r>
    </w:p>
    <w:p w:rsidR="00324652" w:rsidRPr="00FB1329" w:rsidRDefault="00324652" w:rsidP="00324652">
      <w:pPr>
        <w:tabs>
          <w:tab w:val="center" w:pos="4680"/>
        </w:tabs>
        <w:suppressAutoHyphens/>
        <w:jc w:val="center"/>
        <w:rPr>
          <w:b/>
          <w:bCs/>
          <w:spacing w:val="-3"/>
          <w:sz w:val="26"/>
          <w:szCs w:val="26"/>
        </w:rPr>
      </w:pPr>
    </w:p>
    <w:p w:rsidR="00324652" w:rsidRPr="00FB1329" w:rsidRDefault="00324652" w:rsidP="00324652">
      <w:pPr>
        <w:tabs>
          <w:tab w:val="center" w:pos="4680"/>
        </w:tabs>
        <w:suppressAutoHyphens/>
        <w:jc w:val="center"/>
        <w:rPr>
          <w:b/>
          <w:bCs/>
          <w:spacing w:val="-3"/>
          <w:sz w:val="26"/>
          <w:szCs w:val="26"/>
        </w:rPr>
      </w:pPr>
    </w:p>
    <w:p w:rsidR="00324652" w:rsidRPr="00FB1329" w:rsidRDefault="00324652" w:rsidP="00324652">
      <w:pPr>
        <w:tabs>
          <w:tab w:val="right" w:pos="9360"/>
        </w:tabs>
        <w:suppressAutoHyphens/>
        <w:rPr>
          <w:sz w:val="26"/>
          <w:szCs w:val="26"/>
        </w:rPr>
      </w:pPr>
      <w:r w:rsidRPr="00FB1329">
        <w:rPr>
          <w:sz w:val="26"/>
        </w:rPr>
        <w:tab/>
        <w:t>P</w:t>
      </w:r>
      <w:r w:rsidRPr="00FB1329">
        <w:rPr>
          <w:sz w:val="26"/>
          <w:szCs w:val="26"/>
        </w:rPr>
        <w:t xml:space="preserve">ublic Meeting held November 10, 2011 </w:t>
      </w:r>
    </w:p>
    <w:p w:rsidR="00324652" w:rsidRPr="00FB1329" w:rsidRDefault="00324652" w:rsidP="00324652">
      <w:pPr>
        <w:tabs>
          <w:tab w:val="left" w:pos="-720"/>
        </w:tabs>
        <w:suppressAutoHyphens/>
        <w:rPr>
          <w:sz w:val="26"/>
        </w:rPr>
      </w:pPr>
    </w:p>
    <w:p w:rsidR="00324652" w:rsidRPr="00FB1329" w:rsidRDefault="00324652" w:rsidP="00324652">
      <w:pPr>
        <w:tabs>
          <w:tab w:val="left" w:pos="-720"/>
        </w:tabs>
        <w:suppressAutoHyphens/>
        <w:rPr>
          <w:sz w:val="26"/>
        </w:rPr>
      </w:pPr>
      <w:r w:rsidRPr="00FB1329">
        <w:rPr>
          <w:sz w:val="26"/>
        </w:rPr>
        <w:t>Commissioners Present:</w:t>
      </w:r>
    </w:p>
    <w:p w:rsidR="00324652" w:rsidRPr="00FB1329" w:rsidRDefault="00324652" w:rsidP="00324652">
      <w:pPr>
        <w:tabs>
          <w:tab w:val="left" w:pos="-720"/>
        </w:tabs>
        <w:suppressAutoHyphens/>
        <w:rPr>
          <w:sz w:val="26"/>
        </w:rPr>
      </w:pPr>
    </w:p>
    <w:tbl>
      <w:tblPr>
        <w:tblW w:w="0" w:type="auto"/>
        <w:tblLayout w:type="fixed"/>
        <w:tblLook w:val="0000" w:firstRow="0" w:lastRow="0" w:firstColumn="0" w:lastColumn="0" w:noHBand="0" w:noVBand="0"/>
      </w:tblPr>
      <w:tblGrid>
        <w:gridCol w:w="9468"/>
      </w:tblGrid>
      <w:tr w:rsidR="00324652" w:rsidRPr="00FB1329" w:rsidTr="00566751">
        <w:tc>
          <w:tcPr>
            <w:tcW w:w="9468" w:type="dxa"/>
          </w:tcPr>
          <w:p w:rsidR="00324652" w:rsidRPr="00FB1329" w:rsidRDefault="00324652" w:rsidP="00566751">
            <w:pPr>
              <w:pStyle w:val="p5"/>
              <w:rPr>
                <w:szCs w:val="26"/>
              </w:rPr>
            </w:pPr>
            <w:r w:rsidRPr="00FB1329">
              <w:rPr>
                <w:szCs w:val="26"/>
              </w:rPr>
              <w:t>Robert F. Powelson, Chairman</w:t>
            </w:r>
          </w:p>
          <w:p w:rsidR="00324652" w:rsidRPr="00FB1329" w:rsidRDefault="00324652" w:rsidP="00566751">
            <w:pPr>
              <w:pStyle w:val="p5"/>
              <w:rPr>
                <w:szCs w:val="26"/>
              </w:rPr>
            </w:pPr>
            <w:r w:rsidRPr="00FB1329">
              <w:rPr>
                <w:szCs w:val="26"/>
              </w:rPr>
              <w:t>John F. Coleman, Jr., Vice Chairman</w:t>
            </w:r>
          </w:p>
        </w:tc>
      </w:tr>
      <w:tr w:rsidR="00324652" w:rsidRPr="00FB1329" w:rsidTr="00566751">
        <w:tc>
          <w:tcPr>
            <w:tcW w:w="9468" w:type="dxa"/>
          </w:tcPr>
          <w:p w:rsidR="00324652" w:rsidRPr="00FB1329" w:rsidRDefault="00324652" w:rsidP="00566751">
            <w:pPr>
              <w:pStyle w:val="p5"/>
              <w:rPr>
                <w:szCs w:val="26"/>
              </w:rPr>
            </w:pPr>
            <w:r w:rsidRPr="00FB1329">
              <w:rPr>
                <w:szCs w:val="26"/>
              </w:rPr>
              <w:t>Wayne E. Gardner</w:t>
            </w:r>
          </w:p>
          <w:p w:rsidR="00324652" w:rsidRPr="00FB1329" w:rsidRDefault="00324652" w:rsidP="00566751">
            <w:pPr>
              <w:pStyle w:val="p5"/>
              <w:rPr>
                <w:szCs w:val="26"/>
              </w:rPr>
            </w:pPr>
            <w:r w:rsidRPr="00FB1329">
              <w:rPr>
                <w:szCs w:val="26"/>
              </w:rPr>
              <w:t>James H. Cawley</w:t>
            </w:r>
          </w:p>
        </w:tc>
      </w:tr>
      <w:tr w:rsidR="00324652" w:rsidRPr="00FB1329" w:rsidTr="00566751">
        <w:tc>
          <w:tcPr>
            <w:tcW w:w="9468" w:type="dxa"/>
          </w:tcPr>
          <w:p w:rsidR="00324652" w:rsidRPr="00FB1329" w:rsidRDefault="00324652" w:rsidP="00566751">
            <w:pPr>
              <w:pStyle w:val="p5"/>
              <w:rPr>
                <w:szCs w:val="26"/>
              </w:rPr>
            </w:pPr>
            <w:r w:rsidRPr="00FB1329">
              <w:rPr>
                <w:szCs w:val="26"/>
              </w:rPr>
              <w:t>Pamela A. Witmer</w:t>
            </w:r>
            <w:r>
              <w:rPr>
                <w:szCs w:val="26"/>
              </w:rPr>
              <w:t>, Statement</w:t>
            </w:r>
          </w:p>
        </w:tc>
      </w:tr>
    </w:tbl>
    <w:p w:rsidR="00324652" w:rsidRPr="00FB1329" w:rsidRDefault="00324652" w:rsidP="00324652">
      <w:pPr>
        <w:tabs>
          <w:tab w:val="left" w:pos="-720"/>
        </w:tabs>
        <w:suppressAutoHyphens/>
        <w:jc w:val="both"/>
        <w:rPr>
          <w:spacing w:val="-3"/>
          <w:sz w:val="26"/>
          <w:szCs w:val="26"/>
        </w:rPr>
      </w:pPr>
    </w:p>
    <w:p w:rsidR="00324652" w:rsidRPr="00FB1329" w:rsidRDefault="00324652" w:rsidP="00324652">
      <w:pPr>
        <w:tabs>
          <w:tab w:val="left" w:pos="-720"/>
        </w:tabs>
        <w:suppressAutoHyphens/>
        <w:jc w:val="both"/>
        <w:rPr>
          <w:spacing w:val="-3"/>
          <w:sz w:val="26"/>
          <w:szCs w:val="26"/>
        </w:rPr>
      </w:pPr>
      <w:proofErr w:type="gramStart"/>
      <w:r w:rsidRPr="00FB1329">
        <w:rPr>
          <w:spacing w:val="-3"/>
          <w:sz w:val="26"/>
          <w:szCs w:val="26"/>
        </w:rPr>
        <w:t>Interim Guidelines</w:t>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t>Docket No.</w:t>
      </w:r>
      <w:proofErr w:type="gramEnd"/>
    </w:p>
    <w:p w:rsidR="00324652" w:rsidRPr="00FB1329" w:rsidRDefault="00324652" w:rsidP="00324652">
      <w:pPr>
        <w:tabs>
          <w:tab w:val="left" w:pos="-720"/>
        </w:tabs>
        <w:suppressAutoHyphens/>
        <w:jc w:val="both"/>
        <w:rPr>
          <w:spacing w:val="-3"/>
          <w:sz w:val="26"/>
          <w:szCs w:val="26"/>
        </w:rPr>
      </w:pPr>
      <w:r w:rsidRPr="00FB1329">
        <w:rPr>
          <w:spacing w:val="-3"/>
          <w:sz w:val="26"/>
          <w:szCs w:val="26"/>
        </w:rPr>
        <w:t xml:space="preserve">For Eligible Customer Lists </w:t>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t>M-2010-2183412</w:t>
      </w:r>
    </w:p>
    <w:p w:rsidR="00324652" w:rsidRPr="00FB1329" w:rsidRDefault="00324652" w:rsidP="00324652">
      <w:pPr>
        <w:tabs>
          <w:tab w:val="left" w:pos="-720"/>
        </w:tabs>
        <w:suppressAutoHyphens/>
        <w:jc w:val="both"/>
        <w:rPr>
          <w:spacing w:val="-3"/>
          <w:sz w:val="26"/>
          <w:szCs w:val="26"/>
        </w:rPr>
      </w:pPr>
    </w:p>
    <w:p w:rsidR="00324652" w:rsidRPr="00FB1329" w:rsidRDefault="00324652" w:rsidP="00324652">
      <w:pPr>
        <w:tabs>
          <w:tab w:val="left" w:pos="-720"/>
        </w:tabs>
        <w:suppressAutoHyphens/>
        <w:jc w:val="both"/>
        <w:rPr>
          <w:spacing w:val="-3"/>
          <w:sz w:val="26"/>
          <w:szCs w:val="26"/>
        </w:rPr>
      </w:pPr>
      <w:r w:rsidRPr="00FB1329">
        <w:rPr>
          <w:spacing w:val="-3"/>
          <w:sz w:val="26"/>
          <w:szCs w:val="26"/>
        </w:rPr>
        <w:t>PPL Electric Utilities Corporation Retail Markets</w:t>
      </w:r>
      <w:r w:rsidRPr="00FB1329">
        <w:rPr>
          <w:spacing w:val="-3"/>
          <w:sz w:val="26"/>
          <w:szCs w:val="26"/>
        </w:rPr>
        <w:tab/>
      </w:r>
      <w:r w:rsidRPr="00FB1329">
        <w:rPr>
          <w:spacing w:val="-3"/>
          <w:sz w:val="26"/>
          <w:szCs w:val="26"/>
        </w:rPr>
        <w:tab/>
        <w:t>M-2009-2104271</w:t>
      </w:r>
    </w:p>
    <w:p w:rsidR="00324652" w:rsidRPr="00FB1329" w:rsidRDefault="00324652" w:rsidP="00324652">
      <w:pPr>
        <w:tabs>
          <w:tab w:val="left" w:pos="-720"/>
        </w:tabs>
        <w:suppressAutoHyphens/>
        <w:jc w:val="both"/>
        <w:rPr>
          <w:spacing w:val="-3"/>
          <w:sz w:val="26"/>
          <w:szCs w:val="26"/>
        </w:rPr>
      </w:pPr>
    </w:p>
    <w:p w:rsidR="00324652" w:rsidRPr="00FB1329" w:rsidRDefault="00324652" w:rsidP="00324652">
      <w:pPr>
        <w:tabs>
          <w:tab w:val="left" w:pos="-720"/>
        </w:tabs>
        <w:suppressAutoHyphens/>
        <w:jc w:val="both"/>
        <w:rPr>
          <w:spacing w:val="-3"/>
          <w:sz w:val="26"/>
          <w:szCs w:val="26"/>
        </w:rPr>
      </w:pPr>
      <w:r w:rsidRPr="00FB1329">
        <w:rPr>
          <w:spacing w:val="-3"/>
          <w:sz w:val="26"/>
          <w:szCs w:val="26"/>
        </w:rPr>
        <w:t>Petition of Duquesne Light Company for</w:t>
      </w:r>
    </w:p>
    <w:p w:rsidR="00324652" w:rsidRPr="00FB1329" w:rsidRDefault="00324652" w:rsidP="00324652">
      <w:pPr>
        <w:tabs>
          <w:tab w:val="left" w:pos="-720"/>
        </w:tabs>
        <w:suppressAutoHyphens/>
        <w:jc w:val="both"/>
        <w:rPr>
          <w:spacing w:val="-3"/>
          <w:sz w:val="26"/>
          <w:szCs w:val="26"/>
        </w:rPr>
      </w:pPr>
      <w:r w:rsidRPr="00FB1329">
        <w:rPr>
          <w:spacing w:val="-3"/>
          <w:sz w:val="26"/>
          <w:szCs w:val="26"/>
        </w:rPr>
        <w:t xml:space="preserve">Approval of Default Service Plan for the </w:t>
      </w:r>
      <w:r w:rsidRPr="00FB1329">
        <w:rPr>
          <w:spacing w:val="-3"/>
          <w:sz w:val="26"/>
          <w:szCs w:val="26"/>
        </w:rPr>
        <w:tab/>
      </w:r>
      <w:r w:rsidRPr="00FB1329">
        <w:rPr>
          <w:spacing w:val="-3"/>
          <w:sz w:val="26"/>
          <w:szCs w:val="26"/>
        </w:rPr>
        <w:tab/>
      </w:r>
      <w:r w:rsidRPr="00FB1329">
        <w:rPr>
          <w:spacing w:val="-3"/>
          <w:sz w:val="26"/>
          <w:szCs w:val="26"/>
        </w:rPr>
        <w:tab/>
      </w:r>
      <w:r w:rsidRPr="00FB1329">
        <w:rPr>
          <w:sz w:val="26"/>
          <w:szCs w:val="26"/>
        </w:rPr>
        <w:t>P-2009-2135500</w:t>
      </w:r>
    </w:p>
    <w:p w:rsidR="00324652" w:rsidRPr="00FB1329" w:rsidRDefault="00324652" w:rsidP="00324652">
      <w:pPr>
        <w:tabs>
          <w:tab w:val="left" w:pos="-720"/>
        </w:tabs>
        <w:suppressAutoHyphens/>
        <w:jc w:val="both"/>
        <w:rPr>
          <w:spacing w:val="-3"/>
          <w:sz w:val="26"/>
          <w:szCs w:val="26"/>
        </w:rPr>
      </w:pPr>
      <w:r w:rsidRPr="00FB1329">
        <w:rPr>
          <w:spacing w:val="-3"/>
          <w:sz w:val="26"/>
          <w:szCs w:val="26"/>
        </w:rPr>
        <w:t>Period January 1, 2011 through May 31, 2013</w:t>
      </w:r>
      <w:r w:rsidRPr="00FB1329">
        <w:rPr>
          <w:sz w:val="26"/>
          <w:szCs w:val="26"/>
        </w:rPr>
        <w:t xml:space="preserve"> </w:t>
      </w:r>
    </w:p>
    <w:p w:rsidR="00324652" w:rsidRPr="00FB1329" w:rsidRDefault="00324652" w:rsidP="00324652">
      <w:pPr>
        <w:tabs>
          <w:tab w:val="left" w:pos="-720"/>
        </w:tabs>
        <w:suppressAutoHyphens/>
        <w:jc w:val="both"/>
        <w:rPr>
          <w:spacing w:val="-3"/>
          <w:sz w:val="26"/>
          <w:szCs w:val="26"/>
        </w:rPr>
      </w:pPr>
    </w:p>
    <w:p w:rsidR="00324652" w:rsidRPr="00324652" w:rsidRDefault="00324652" w:rsidP="00324652">
      <w:pPr>
        <w:tabs>
          <w:tab w:val="left" w:pos="-720"/>
        </w:tabs>
        <w:suppressAutoHyphens/>
        <w:spacing w:line="360" w:lineRule="auto"/>
        <w:jc w:val="both"/>
        <w:rPr>
          <w:spacing w:val="-3"/>
          <w:sz w:val="26"/>
          <w:szCs w:val="26"/>
        </w:rPr>
      </w:pPr>
    </w:p>
    <w:p w:rsidR="00324652" w:rsidRPr="00324652" w:rsidRDefault="00324652" w:rsidP="00324652">
      <w:pPr>
        <w:jc w:val="center"/>
        <w:rPr>
          <w:sz w:val="26"/>
          <w:szCs w:val="26"/>
        </w:rPr>
      </w:pPr>
      <w:r w:rsidRPr="00324652">
        <w:rPr>
          <w:b/>
          <w:bCs/>
          <w:sz w:val="26"/>
          <w:szCs w:val="26"/>
          <w:u w:val="single"/>
        </w:rPr>
        <w:t xml:space="preserve">ERRATA NOTICE </w:t>
      </w:r>
    </w:p>
    <w:p w:rsidR="00324652" w:rsidRPr="00324652" w:rsidRDefault="00324652" w:rsidP="00324652">
      <w:pPr>
        <w:ind w:firstLine="1440"/>
        <w:jc w:val="center"/>
        <w:rPr>
          <w:sz w:val="26"/>
          <w:szCs w:val="26"/>
        </w:rPr>
      </w:pPr>
    </w:p>
    <w:p w:rsidR="00324652" w:rsidRPr="00324652" w:rsidRDefault="00324652" w:rsidP="00324652">
      <w:pPr>
        <w:ind w:firstLine="1440"/>
        <w:jc w:val="center"/>
        <w:rPr>
          <w:sz w:val="26"/>
          <w:szCs w:val="26"/>
        </w:rPr>
      </w:pPr>
    </w:p>
    <w:p w:rsidR="00324652" w:rsidRPr="00324652" w:rsidRDefault="00324652" w:rsidP="00190AF1">
      <w:pPr>
        <w:spacing w:line="360" w:lineRule="auto"/>
        <w:ind w:firstLine="1440"/>
        <w:rPr>
          <w:sz w:val="26"/>
          <w:szCs w:val="26"/>
        </w:rPr>
      </w:pPr>
      <w:r w:rsidRPr="00324652">
        <w:rPr>
          <w:sz w:val="26"/>
          <w:szCs w:val="26"/>
        </w:rPr>
        <w:t xml:space="preserve">This is to advise all parties of record that the </w:t>
      </w:r>
      <w:r w:rsidR="00F32BC0">
        <w:rPr>
          <w:sz w:val="26"/>
          <w:szCs w:val="26"/>
        </w:rPr>
        <w:t xml:space="preserve">Final </w:t>
      </w:r>
      <w:r w:rsidRPr="00324652">
        <w:rPr>
          <w:sz w:val="26"/>
          <w:szCs w:val="26"/>
        </w:rPr>
        <w:t xml:space="preserve">Order </w:t>
      </w:r>
      <w:r w:rsidR="00F32BC0">
        <w:rPr>
          <w:sz w:val="26"/>
          <w:szCs w:val="26"/>
        </w:rPr>
        <w:t xml:space="preserve">on Reconsideration </w:t>
      </w:r>
      <w:r w:rsidRPr="00324652">
        <w:rPr>
          <w:sz w:val="26"/>
          <w:szCs w:val="26"/>
        </w:rPr>
        <w:t xml:space="preserve">entered on </w:t>
      </w:r>
      <w:r>
        <w:rPr>
          <w:sz w:val="26"/>
          <w:szCs w:val="26"/>
        </w:rPr>
        <w:t>November 15, 2011</w:t>
      </w:r>
      <w:r w:rsidRPr="00324652">
        <w:rPr>
          <w:sz w:val="26"/>
          <w:szCs w:val="26"/>
        </w:rPr>
        <w:t>, in the above-captioned proceeding contain</w:t>
      </w:r>
      <w:r w:rsidR="008835E5">
        <w:rPr>
          <w:sz w:val="26"/>
          <w:szCs w:val="26"/>
        </w:rPr>
        <w:t>ed</w:t>
      </w:r>
      <w:r>
        <w:rPr>
          <w:sz w:val="26"/>
          <w:szCs w:val="26"/>
        </w:rPr>
        <w:t xml:space="preserve"> an</w:t>
      </w:r>
      <w:r w:rsidRPr="00324652">
        <w:rPr>
          <w:sz w:val="26"/>
          <w:szCs w:val="26"/>
        </w:rPr>
        <w:t xml:space="preserve"> error </w:t>
      </w:r>
      <w:r w:rsidRPr="001D196D">
        <w:rPr>
          <w:sz w:val="26"/>
          <w:szCs w:val="26"/>
        </w:rPr>
        <w:t>on Page 1</w:t>
      </w:r>
      <w:r w:rsidR="00BB02C4">
        <w:rPr>
          <w:sz w:val="26"/>
          <w:szCs w:val="26"/>
        </w:rPr>
        <w:t>1</w:t>
      </w:r>
      <w:r w:rsidRPr="001D196D">
        <w:rPr>
          <w:sz w:val="26"/>
          <w:szCs w:val="26"/>
        </w:rPr>
        <w:t>.</w:t>
      </w:r>
    </w:p>
    <w:p w:rsidR="00324652" w:rsidRPr="00324652" w:rsidRDefault="00324652" w:rsidP="00190AF1">
      <w:pPr>
        <w:spacing w:line="360" w:lineRule="auto"/>
        <w:ind w:firstLine="1440"/>
        <w:rPr>
          <w:sz w:val="26"/>
          <w:szCs w:val="26"/>
        </w:rPr>
      </w:pPr>
    </w:p>
    <w:p w:rsidR="00324652" w:rsidRDefault="008835E5" w:rsidP="00190AF1">
      <w:pPr>
        <w:spacing w:line="360" w:lineRule="auto"/>
        <w:ind w:firstLine="1440"/>
        <w:rPr>
          <w:sz w:val="26"/>
          <w:szCs w:val="26"/>
        </w:rPr>
      </w:pPr>
      <w:r>
        <w:rPr>
          <w:sz w:val="26"/>
          <w:szCs w:val="26"/>
        </w:rPr>
        <w:t xml:space="preserve">The discussion of items on the ECL in the </w:t>
      </w:r>
      <w:r w:rsidR="00476132">
        <w:rPr>
          <w:sz w:val="26"/>
          <w:szCs w:val="26"/>
        </w:rPr>
        <w:t>second</w:t>
      </w:r>
      <w:r>
        <w:rPr>
          <w:sz w:val="26"/>
          <w:szCs w:val="26"/>
        </w:rPr>
        <w:t xml:space="preserve"> paragraph </w:t>
      </w:r>
      <w:r w:rsidR="00324652">
        <w:rPr>
          <w:sz w:val="26"/>
          <w:szCs w:val="26"/>
        </w:rPr>
        <w:t>included “</w:t>
      </w:r>
      <w:r w:rsidR="00324652" w:rsidRPr="00F941B5">
        <w:rPr>
          <w:sz w:val="26"/>
          <w:szCs w:val="26"/>
        </w:rPr>
        <w:t>telephone number</w:t>
      </w:r>
      <w:r w:rsidR="00324652">
        <w:rPr>
          <w:sz w:val="26"/>
          <w:szCs w:val="26"/>
        </w:rPr>
        <w:t xml:space="preserve">” </w:t>
      </w:r>
      <w:r w:rsidR="00312E09">
        <w:rPr>
          <w:sz w:val="26"/>
          <w:szCs w:val="26"/>
        </w:rPr>
        <w:t>which</w:t>
      </w:r>
      <w:r w:rsidR="00F941B5">
        <w:rPr>
          <w:sz w:val="26"/>
          <w:szCs w:val="26"/>
        </w:rPr>
        <w:t xml:space="preserve"> shoul</w:t>
      </w:r>
      <w:r w:rsidR="00312E09">
        <w:rPr>
          <w:sz w:val="26"/>
          <w:szCs w:val="26"/>
        </w:rPr>
        <w:t>d not have appeared</w:t>
      </w:r>
      <w:r w:rsidR="001D196D">
        <w:rPr>
          <w:sz w:val="26"/>
          <w:szCs w:val="26"/>
        </w:rPr>
        <w:t xml:space="preserve">.  </w:t>
      </w:r>
      <w:r>
        <w:rPr>
          <w:sz w:val="26"/>
          <w:szCs w:val="26"/>
        </w:rPr>
        <w:t>A corrected page 1</w:t>
      </w:r>
      <w:r w:rsidR="00BB02C4">
        <w:rPr>
          <w:sz w:val="26"/>
          <w:szCs w:val="26"/>
        </w:rPr>
        <w:t>1</w:t>
      </w:r>
      <w:r>
        <w:rPr>
          <w:sz w:val="26"/>
          <w:szCs w:val="26"/>
        </w:rPr>
        <w:t xml:space="preserve"> i</w:t>
      </w:r>
      <w:r w:rsidR="00F86D00">
        <w:rPr>
          <w:sz w:val="26"/>
          <w:szCs w:val="26"/>
        </w:rPr>
        <w:t>s attached for your convenience.</w:t>
      </w:r>
    </w:p>
    <w:p w:rsidR="00F86D00" w:rsidRDefault="00F86D00" w:rsidP="00190AF1">
      <w:pPr>
        <w:spacing w:line="360" w:lineRule="auto"/>
        <w:ind w:firstLine="1440"/>
        <w:rPr>
          <w:sz w:val="26"/>
          <w:szCs w:val="26"/>
        </w:rPr>
      </w:pPr>
    </w:p>
    <w:p w:rsidR="00F86D00" w:rsidRDefault="00F86D00" w:rsidP="00190AF1">
      <w:pPr>
        <w:spacing w:line="360" w:lineRule="auto"/>
        <w:ind w:firstLine="1440"/>
        <w:rPr>
          <w:sz w:val="26"/>
          <w:szCs w:val="26"/>
        </w:rPr>
        <w:sectPr w:rsidR="00F86D00" w:rsidSect="00F86D00">
          <w:footerReference w:type="default" r:id="rId8"/>
          <w:pgSz w:w="12240" w:h="15840"/>
          <w:pgMar w:top="1440" w:right="1440" w:bottom="1440" w:left="1440" w:header="720" w:footer="720" w:gutter="0"/>
          <w:cols w:space="720"/>
          <w:titlePg/>
          <w:docGrid w:linePitch="360"/>
        </w:sectPr>
      </w:pPr>
    </w:p>
    <w:p w:rsidR="00F86D00" w:rsidRPr="00FB1329" w:rsidRDefault="00F86D00" w:rsidP="00F86D00">
      <w:pPr>
        <w:spacing w:line="360" w:lineRule="auto"/>
        <w:ind w:firstLine="720"/>
        <w:rPr>
          <w:sz w:val="26"/>
          <w:szCs w:val="26"/>
        </w:rPr>
      </w:pPr>
      <w:r w:rsidRPr="00FB1329">
        <w:rPr>
          <w:sz w:val="26"/>
          <w:szCs w:val="26"/>
        </w:rPr>
        <w:lastRenderedPageBreak/>
        <w:t xml:space="preserve">In addition, we agree with the observation that allowing customers to withhold all account information will not have a significant adverse effect on retail electric competition since, as noted by PPL, customers who would elect total non-disclosure would likely be unhappy about the disclosure of that information to marketers and, thus, not receptive to competitive offers.  PPL Comments, p. 4.  Rather, to the extent that the ECL contains only the account information of customers who have not elected to withhold their account and usage information from disclosure to marketers, the ECL is likely to be a more efficient and valuable tool for marketers.   </w:t>
      </w:r>
    </w:p>
    <w:p w:rsidR="00F86D00" w:rsidRPr="00FB1329" w:rsidRDefault="00F86D00" w:rsidP="00F86D00">
      <w:pPr>
        <w:spacing w:line="360" w:lineRule="auto"/>
        <w:rPr>
          <w:sz w:val="26"/>
          <w:szCs w:val="26"/>
        </w:rPr>
      </w:pPr>
      <w:r w:rsidRPr="00FB1329">
        <w:rPr>
          <w:sz w:val="26"/>
          <w:szCs w:val="26"/>
        </w:rPr>
        <w:tab/>
        <w:t xml:space="preserve"> </w:t>
      </w:r>
    </w:p>
    <w:p w:rsidR="00F86D00" w:rsidRPr="00FB1329" w:rsidRDefault="00F86D00" w:rsidP="00F86D00">
      <w:pPr>
        <w:spacing w:line="360" w:lineRule="auto"/>
        <w:rPr>
          <w:sz w:val="26"/>
          <w:szCs w:val="26"/>
        </w:rPr>
      </w:pPr>
      <w:r w:rsidRPr="00FB1329">
        <w:rPr>
          <w:sz w:val="26"/>
          <w:szCs w:val="26"/>
        </w:rPr>
        <w:tab/>
        <w:t xml:space="preserve">Accordingly, upon reconsideration, we shall revise our </w:t>
      </w:r>
      <w:r w:rsidRPr="00FB1329">
        <w:rPr>
          <w:b/>
          <w:sz w:val="26"/>
          <w:szCs w:val="26"/>
        </w:rPr>
        <w:t>interim guidelines</w:t>
      </w:r>
      <w:r w:rsidRPr="00FB1329">
        <w:rPr>
          <w:sz w:val="26"/>
          <w:szCs w:val="26"/>
        </w:rPr>
        <w:t xml:space="preserve"> to provide that EDCs should allow customers the option to withhold the disclosure of all customer account and usage information from the ECL.  Moreover, the option should be presented, in the EDC customer solicitation process, in a manner that discloses clearly what information is to be released to Commission-licensed marketers; namely, name, address, and historic usage data.  In this fashion, customers will be able to make an informed choice regarding whether their account and usage information held by the EDC can be disclosed.  In addition, we shall direct that the </w:t>
      </w:r>
      <w:r w:rsidRPr="00FB1329">
        <w:rPr>
          <w:i/>
          <w:sz w:val="26"/>
          <w:szCs w:val="26"/>
        </w:rPr>
        <w:t>PPL</w:t>
      </w:r>
      <w:r w:rsidRPr="00FB1329">
        <w:rPr>
          <w:sz w:val="26"/>
          <w:szCs w:val="26"/>
        </w:rPr>
        <w:t xml:space="preserve"> and </w:t>
      </w:r>
      <w:r w:rsidRPr="00FB1329">
        <w:rPr>
          <w:i/>
          <w:sz w:val="26"/>
          <w:szCs w:val="26"/>
        </w:rPr>
        <w:t>Duquesne</w:t>
      </w:r>
      <w:r w:rsidRPr="00FB1329">
        <w:rPr>
          <w:sz w:val="26"/>
          <w:szCs w:val="26"/>
        </w:rPr>
        <w:t xml:space="preserve"> orders subject to reconsideration be amended in this same fashion to allow their customers the option to withhold all customer information.  </w:t>
      </w:r>
    </w:p>
    <w:p w:rsidR="00F86D00" w:rsidRPr="00FB1329" w:rsidRDefault="00F86D00" w:rsidP="00F86D00">
      <w:pPr>
        <w:rPr>
          <w:sz w:val="26"/>
          <w:szCs w:val="26"/>
        </w:rPr>
      </w:pPr>
    </w:p>
    <w:p w:rsidR="00F86D00" w:rsidRPr="00FB1329" w:rsidRDefault="00F86D00" w:rsidP="00F86D00">
      <w:pPr>
        <w:rPr>
          <w:sz w:val="26"/>
          <w:szCs w:val="26"/>
        </w:rPr>
      </w:pPr>
    </w:p>
    <w:p w:rsidR="00F86D00" w:rsidRPr="00FB1329" w:rsidRDefault="00F86D00" w:rsidP="00F86D00">
      <w:pPr>
        <w:rPr>
          <w:sz w:val="26"/>
          <w:szCs w:val="26"/>
        </w:rPr>
      </w:pPr>
    </w:p>
    <w:p w:rsidR="00F86D00" w:rsidRPr="00FB1329" w:rsidRDefault="00F86D00" w:rsidP="00F86D00">
      <w:pPr>
        <w:pStyle w:val="ListParagraph"/>
        <w:numPr>
          <w:ilvl w:val="0"/>
          <w:numId w:val="2"/>
        </w:numPr>
        <w:spacing w:line="360" w:lineRule="auto"/>
        <w:ind w:left="720" w:hanging="720"/>
        <w:rPr>
          <w:rFonts w:ascii="Times New Roman" w:hAnsi="Times New Roman" w:cs="Times New Roman"/>
          <w:b/>
          <w:sz w:val="26"/>
          <w:szCs w:val="26"/>
        </w:rPr>
      </w:pPr>
      <w:r w:rsidRPr="00FB1329">
        <w:rPr>
          <w:rFonts w:ascii="Times New Roman" w:hAnsi="Times New Roman" w:cs="Times New Roman"/>
          <w:b/>
          <w:sz w:val="26"/>
          <w:szCs w:val="26"/>
        </w:rPr>
        <w:t>Use of the Opt-Out Process</w:t>
      </w:r>
    </w:p>
    <w:p w:rsidR="00F86D00" w:rsidRPr="00FB1329" w:rsidRDefault="00F86D00" w:rsidP="00F86D00">
      <w:pPr>
        <w:spacing w:line="360" w:lineRule="auto"/>
        <w:ind w:firstLine="720"/>
        <w:rPr>
          <w:sz w:val="26"/>
          <w:szCs w:val="26"/>
        </w:rPr>
      </w:pPr>
      <w:r w:rsidRPr="00FB1329">
        <w:rPr>
          <w:b/>
          <w:sz w:val="26"/>
          <w:szCs w:val="26"/>
        </w:rPr>
        <w:t>Comments of the Parties</w:t>
      </w:r>
    </w:p>
    <w:p w:rsidR="00696C9C" w:rsidRPr="00324652" w:rsidRDefault="00F86D00" w:rsidP="00F86D00">
      <w:pPr>
        <w:spacing w:line="360" w:lineRule="auto"/>
        <w:ind w:firstLine="720"/>
        <w:rPr>
          <w:sz w:val="26"/>
          <w:szCs w:val="26"/>
        </w:rPr>
      </w:pPr>
      <w:bookmarkStart w:id="0" w:name="_GoBack"/>
      <w:bookmarkEnd w:id="0"/>
      <w:r w:rsidRPr="00FB1329">
        <w:rPr>
          <w:sz w:val="26"/>
          <w:szCs w:val="26"/>
        </w:rPr>
        <w:t xml:space="preserve">The November 12 Order continued use of the “opt-out” process by which customers can restrict the information that would be included on the ECL and shared with marketers.  In an opt-out process, customers are able to restrict the release of information by affirmative customer action through a postal card check-off which identifies the information to be restricted.  </w:t>
      </w:r>
      <w:proofErr w:type="gramStart"/>
      <w:r w:rsidRPr="00FB1329">
        <w:rPr>
          <w:sz w:val="26"/>
          <w:szCs w:val="26"/>
        </w:rPr>
        <w:t>November 12 Order at 8.</w:t>
      </w:r>
      <w:proofErr w:type="gramEnd"/>
      <w:r w:rsidRPr="00FB1329">
        <w:rPr>
          <w:sz w:val="26"/>
          <w:szCs w:val="26"/>
        </w:rPr>
        <w:t xml:space="preserve">  Thus, if the customer is informed</w:t>
      </w:r>
    </w:p>
    <w:sectPr w:rsidR="00696C9C" w:rsidRPr="00324652" w:rsidSect="00F86D00">
      <w:headerReference w:type="default" r:id="rId9"/>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C3" w:rsidRDefault="001371C3" w:rsidP="00F86D00">
      <w:r>
        <w:separator/>
      </w:r>
    </w:p>
  </w:endnote>
  <w:endnote w:type="continuationSeparator" w:id="0">
    <w:p w:rsidR="001371C3" w:rsidRDefault="001371C3" w:rsidP="00F8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523050"/>
      <w:docPartObj>
        <w:docPartGallery w:val="Page Numbers (Bottom of Page)"/>
        <w:docPartUnique/>
      </w:docPartObj>
    </w:sdtPr>
    <w:sdtEndPr>
      <w:rPr>
        <w:noProof/>
      </w:rPr>
    </w:sdtEndPr>
    <w:sdtContent>
      <w:p w:rsidR="00F86D00" w:rsidRDefault="00F86D00" w:rsidP="00F86D0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C3" w:rsidRDefault="001371C3" w:rsidP="00F86D00">
      <w:r>
        <w:separator/>
      </w:r>
    </w:p>
  </w:footnote>
  <w:footnote w:type="continuationSeparator" w:id="0">
    <w:p w:rsidR="001371C3" w:rsidRDefault="001371C3" w:rsidP="00F86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D00" w:rsidRDefault="00F86D00">
    <w:pPr>
      <w:pStyle w:val="Header"/>
    </w:pPr>
    <w:r>
      <w:t>CORRECTED PAGE 11 FROM THE ORDER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863BA"/>
    <w:multiLevelType w:val="hybridMultilevel"/>
    <w:tmpl w:val="55E22414"/>
    <w:lvl w:ilvl="0" w:tplc="FAA4EBB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FA6895"/>
    <w:multiLevelType w:val="hybridMultilevel"/>
    <w:tmpl w:val="22B49A04"/>
    <w:lvl w:ilvl="0" w:tplc="DA0A4E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52"/>
    <w:rsid w:val="00021B8D"/>
    <w:rsid w:val="000F5696"/>
    <w:rsid w:val="001371C3"/>
    <w:rsid w:val="00190AF1"/>
    <w:rsid w:val="001D196D"/>
    <w:rsid w:val="002C1C4C"/>
    <w:rsid w:val="00312E09"/>
    <w:rsid w:val="00324652"/>
    <w:rsid w:val="00476132"/>
    <w:rsid w:val="00696C9C"/>
    <w:rsid w:val="008835E5"/>
    <w:rsid w:val="00BB02C4"/>
    <w:rsid w:val="00BC154F"/>
    <w:rsid w:val="00EF29F1"/>
    <w:rsid w:val="00F32BC0"/>
    <w:rsid w:val="00F86D00"/>
    <w:rsid w:val="00F9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5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324652"/>
    <w:pPr>
      <w:widowControl w:val="0"/>
      <w:tabs>
        <w:tab w:val="left" w:pos="391"/>
      </w:tabs>
      <w:autoSpaceDE w:val="0"/>
      <w:autoSpaceDN w:val="0"/>
      <w:adjustRightInd w:val="0"/>
      <w:ind w:left="1049"/>
    </w:pPr>
    <w:rPr>
      <w:rFonts w:eastAsiaTheme="minorHAnsi"/>
      <w:sz w:val="26"/>
    </w:rPr>
  </w:style>
  <w:style w:type="paragraph" w:styleId="ListParagraph">
    <w:name w:val="List Paragraph"/>
    <w:basedOn w:val="Normal"/>
    <w:uiPriority w:val="34"/>
    <w:qFormat/>
    <w:rsid w:val="00F86D0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86D00"/>
    <w:pPr>
      <w:tabs>
        <w:tab w:val="center" w:pos="4680"/>
        <w:tab w:val="right" w:pos="9360"/>
      </w:tabs>
    </w:pPr>
  </w:style>
  <w:style w:type="character" w:customStyle="1" w:styleId="HeaderChar">
    <w:name w:val="Header Char"/>
    <w:basedOn w:val="DefaultParagraphFont"/>
    <w:link w:val="Header"/>
    <w:uiPriority w:val="99"/>
    <w:rsid w:val="00F86D00"/>
    <w:rPr>
      <w:rFonts w:eastAsia="Times New Roman" w:cs="Times New Roman"/>
      <w:sz w:val="24"/>
      <w:szCs w:val="24"/>
    </w:rPr>
  </w:style>
  <w:style w:type="paragraph" w:styleId="Footer">
    <w:name w:val="footer"/>
    <w:basedOn w:val="Normal"/>
    <w:link w:val="FooterChar"/>
    <w:uiPriority w:val="99"/>
    <w:unhideWhenUsed/>
    <w:rsid w:val="00F86D00"/>
    <w:pPr>
      <w:tabs>
        <w:tab w:val="center" w:pos="4680"/>
        <w:tab w:val="right" w:pos="9360"/>
      </w:tabs>
    </w:pPr>
  </w:style>
  <w:style w:type="character" w:customStyle="1" w:styleId="FooterChar">
    <w:name w:val="Footer Char"/>
    <w:basedOn w:val="DefaultParagraphFont"/>
    <w:link w:val="Footer"/>
    <w:uiPriority w:val="99"/>
    <w:rsid w:val="00F86D00"/>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5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324652"/>
    <w:pPr>
      <w:widowControl w:val="0"/>
      <w:tabs>
        <w:tab w:val="left" w:pos="391"/>
      </w:tabs>
      <w:autoSpaceDE w:val="0"/>
      <w:autoSpaceDN w:val="0"/>
      <w:adjustRightInd w:val="0"/>
      <w:ind w:left="1049"/>
    </w:pPr>
    <w:rPr>
      <w:rFonts w:eastAsiaTheme="minorHAnsi"/>
      <w:sz w:val="26"/>
    </w:rPr>
  </w:style>
  <w:style w:type="paragraph" w:styleId="ListParagraph">
    <w:name w:val="List Paragraph"/>
    <w:basedOn w:val="Normal"/>
    <w:uiPriority w:val="34"/>
    <w:qFormat/>
    <w:rsid w:val="00F86D0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86D00"/>
    <w:pPr>
      <w:tabs>
        <w:tab w:val="center" w:pos="4680"/>
        <w:tab w:val="right" w:pos="9360"/>
      </w:tabs>
    </w:pPr>
  </w:style>
  <w:style w:type="character" w:customStyle="1" w:styleId="HeaderChar">
    <w:name w:val="Header Char"/>
    <w:basedOn w:val="DefaultParagraphFont"/>
    <w:link w:val="Header"/>
    <w:uiPriority w:val="99"/>
    <w:rsid w:val="00F86D00"/>
    <w:rPr>
      <w:rFonts w:eastAsia="Times New Roman" w:cs="Times New Roman"/>
      <w:sz w:val="24"/>
      <w:szCs w:val="24"/>
    </w:rPr>
  </w:style>
  <w:style w:type="paragraph" w:styleId="Footer">
    <w:name w:val="footer"/>
    <w:basedOn w:val="Normal"/>
    <w:link w:val="FooterChar"/>
    <w:uiPriority w:val="99"/>
    <w:unhideWhenUsed/>
    <w:rsid w:val="00F86D00"/>
    <w:pPr>
      <w:tabs>
        <w:tab w:val="center" w:pos="4680"/>
        <w:tab w:val="right" w:pos="9360"/>
      </w:tabs>
    </w:pPr>
  </w:style>
  <w:style w:type="character" w:customStyle="1" w:styleId="FooterChar">
    <w:name w:val="Footer Char"/>
    <w:basedOn w:val="DefaultParagraphFont"/>
    <w:link w:val="Footer"/>
    <w:uiPriority w:val="99"/>
    <w:rsid w:val="00F86D0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lmilburn</cp:lastModifiedBy>
  <cp:revision>2</cp:revision>
  <dcterms:created xsi:type="dcterms:W3CDTF">2011-12-13T13:04:00Z</dcterms:created>
  <dcterms:modified xsi:type="dcterms:W3CDTF">2011-12-13T13:04:00Z</dcterms:modified>
</cp:coreProperties>
</file>