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55" w:type="dxa"/>
        <w:tblLayout w:type="fixed"/>
        <w:tblLook w:val="04A0" w:firstRow="1" w:lastRow="0" w:firstColumn="1" w:lastColumn="0" w:noHBand="0" w:noVBand="1"/>
      </w:tblPr>
      <w:tblGrid>
        <w:gridCol w:w="2447"/>
        <w:gridCol w:w="4229"/>
        <w:gridCol w:w="2879"/>
      </w:tblGrid>
      <w:tr w:rsidR="005D585C" w:rsidTr="0071125F">
        <w:tc>
          <w:tcPr>
            <w:tcW w:w="2448" w:type="dxa"/>
          </w:tcPr>
          <w:p w:rsidR="005D585C" w:rsidRDefault="005D585C" w:rsidP="0071125F">
            <w:pPr>
              <w:rPr>
                <w:color w:val="auto"/>
                <w:sz w:val="26"/>
                <w:szCs w:val="26"/>
              </w:rPr>
            </w:pPr>
          </w:p>
        </w:tc>
        <w:tc>
          <w:tcPr>
            <w:tcW w:w="4230" w:type="dxa"/>
            <w:hideMark/>
          </w:tcPr>
          <w:p w:rsidR="005D585C" w:rsidRDefault="005D585C" w:rsidP="0071125F">
            <w:pPr>
              <w:tabs>
                <w:tab w:val="left" w:pos="990"/>
                <w:tab w:val="center" w:pos="2007"/>
              </w:tabs>
              <w:rPr>
                <w:b/>
                <w:color w:val="auto"/>
                <w:sz w:val="26"/>
                <w:szCs w:val="26"/>
              </w:rPr>
            </w:pPr>
            <w:r>
              <w:rPr>
                <w:b/>
                <w:color w:val="auto"/>
                <w:sz w:val="26"/>
                <w:szCs w:val="26"/>
              </w:rPr>
              <w:tab/>
              <w:t>PENNSYLVANIA</w:t>
            </w:r>
          </w:p>
          <w:p w:rsidR="005D585C" w:rsidRDefault="005D585C" w:rsidP="0071125F">
            <w:pPr>
              <w:jc w:val="center"/>
              <w:rPr>
                <w:b/>
                <w:color w:val="auto"/>
                <w:sz w:val="26"/>
                <w:szCs w:val="26"/>
              </w:rPr>
            </w:pPr>
            <w:r>
              <w:rPr>
                <w:b/>
                <w:color w:val="auto"/>
                <w:sz w:val="26"/>
                <w:szCs w:val="26"/>
              </w:rPr>
              <w:t>PUBLIC UTILITY COMMISSION</w:t>
            </w:r>
          </w:p>
          <w:p w:rsidR="005D585C" w:rsidRDefault="005D585C" w:rsidP="0071125F">
            <w:pPr>
              <w:jc w:val="center"/>
              <w:rPr>
                <w:color w:val="auto"/>
                <w:sz w:val="26"/>
                <w:szCs w:val="26"/>
              </w:rPr>
            </w:pPr>
            <w:r>
              <w:rPr>
                <w:b/>
                <w:color w:val="auto"/>
                <w:sz w:val="26"/>
                <w:szCs w:val="26"/>
              </w:rPr>
              <w:t>Harrisburg, PA  17105-3265</w:t>
            </w:r>
          </w:p>
        </w:tc>
        <w:tc>
          <w:tcPr>
            <w:tcW w:w="2880" w:type="dxa"/>
          </w:tcPr>
          <w:p w:rsidR="005D585C" w:rsidRDefault="005D585C" w:rsidP="0071125F">
            <w:pPr>
              <w:jc w:val="center"/>
              <w:rPr>
                <w:color w:val="auto"/>
                <w:sz w:val="26"/>
                <w:szCs w:val="26"/>
              </w:rPr>
            </w:pPr>
          </w:p>
        </w:tc>
      </w:tr>
      <w:tr w:rsidR="005D585C" w:rsidTr="0071125F">
        <w:tc>
          <w:tcPr>
            <w:tcW w:w="2448" w:type="dxa"/>
          </w:tcPr>
          <w:p w:rsidR="005D585C" w:rsidRDefault="005D585C" w:rsidP="0071125F">
            <w:pPr>
              <w:rPr>
                <w:color w:val="auto"/>
                <w:sz w:val="26"/>
                <w:szCs w:val="26"/>
              </w:rPr>
            </w:pPr>
          </w:p>
        </w:tc>
        <w:tc>
          <w:tcPr>
            <w:tcW w:w="4230" w:type="dxa"/>
          </w:tcPr>
          <w:p w:rsidR="005D585C" w:rsidRDefault="005D585C" w:rsidP="0071125F">
            <w:pPr>
              <w:rPr>
                <w:color w:val="auto"/>
                <w:sz w:val="26"/>
                <w:szCs w:val="26"/>
              </w:rPr>
            </w:pPr>
          </w:p>
        </w:tc>
        <w:tc>
          <w:tcPr>
            <w:tcW w:w="2880" w:type="dxa"/>
          </w:tcPr>
          <w:p w:rsidR="005D585C" w:rsidRDefault="005D585C" w:rsidP="0071125F">
            <w:pPr>
              <w:rPr>
                <w:color w:val="auto"/>
                <w:sz w:val="26"/>
                <w:szCs w:val="26"/>
              </w:rPr>
            </w:pPr>
          </w:p>
        </w:tc>
      </w:tr>
    </w:tbl>
    <w:p w:rsidR="005D585C" w:rsidRDefault="005D585C" w:rsidP="005D585C">
      <w:pPr>
        <w:rPr>
          <w:color w:val="auto"/>
          <w:sz w:val="26"/>
          <w:szCs w:val="26"/>
        </w:rPr>
      </w:pPr>
    </w:p>
    <w:tbl>
      <w:tblPr>
        <w:tblW w:w="9555" w:type="dxa"/>
        <w:tblLayout w:type="fixed"/>
        <w:tblLook w:val="04A0" w:firstRow="1" w:lastRow="0" w:firstColumn="1" w:lastColumn="0" w:noHBand="0" w:noVBand="1"/>
      </w:tblPr>
      <w:tblGrid>
        <w:gridCol w:w="4247"/>
        <w:gridCol w:w="5308"/>
      </w:tblGrid>
      <w:tr w:rsidR="005D585C" w:rsidTr="0071125F">
        <w:tc>
          <w:tcPr>
            <w:tcW w:w="4248" w:type="dxa"/>
          </w:tcPr>
          <w:p w:rsidR="005D585C" w:rsidRDefault="005D585C" w:rsidP="0071125F">
            <w:pPr>
              <w:rPr>
                <w:color w:val="auto"/>
                <w:sz w:val="26"/>
                <w:szCs w:val="26"/>
              </w:rPr>
            </w:pPr>
          </w:p>
        </w:tc>
        <w:tc>
          <w:tcPr>
            <w:tcW w:w="5310" w:type="dxa"/>
            <w:hideMark/>
          </w:tcPr>
          <w:p w:rsidR="005D585C" w:rsidRDefault="00D65A45" w:rsidP="0071125F">
            <w:pPr>
              <w:ind w:left="720"/>
              <w:rPr>
                <w:color w:val="auto"/>
                <w:sz w:val="26"/>
                <w:szCs w:val="26"/>
              </w:rPr>
            </w:pPr>
            <w:r>
              <w:rPr>
                <w:color w:val="auto"/>
                <w:sz w:val="26"/>
                <w:szCs w:val="26"/>
              </w:rPr>
              <w:t>Public Meeting held December 1</w:t>
            </w:r>
            <w:r w:rsidR="00F35805">
              <w:rPr>
                <w:color w:val="auto"/>
                <w:sz w:val="26"/>
                <w:szCs w:val="26"/>
              </w:rPr>
              <w:t>5</w:t>
            </w:r>
            <w:r w:rsidR="005D585C" w:rsidRPr="00D64C5C">
              <w:rPr>
                <w:color w:val="auto"/>
                <w:sz w:val="26"/>
                <w:szCs w:val="26"/>
              </w:rPr>
              <w:t>, 2011</w:t>
            </w:r>
          </w:p>
        </w:tc>
      </w:tr>
      <w:tr w:rsidR="005D585C" w:rsidTr="0071125F">
        <w:tc>
          <w:tcPr>
            <w:tcW w:w="4248" w:type="dxa"/>
            <w:hideMark/>
          </w:tcPr>
          <w:p w:rsidR="005D585C" w:rsidRDefault="005D585C" w:rsidP="0071125F">
            <w:pPr>
              <w:rPr>
                <w:color w:val="auto"/>
                <w:sz w:val="26"/>
                <w:szCs w:val="26"/>
              </w:rPr>
            </w:pPr>
            <w:r>
              <w:rPr>
                <w:color w:val="auto"/>
                <w:sz w:val="26"/>
                <w:szCs w:val="26"/>
              </w:rPr>
              <w:t>Commissioners Present:</w:t>
            </w:r>
          </w:p>
        </w:tc>
        <w:tc>
          <w:tcPr>
            <w:tcW w:w="5310" w:type="dxa"/>
          </w:tcPr>
          <w:p w:rsidR="005D585C" w:rsidRDefault="005D585C" w:rsidP="0071125F">
            <w:pPr>
              <w:rPr>
                <w:color w:val="auto"/>
                <w:sz w:val="26"/>
                <w:szCs w:val="26"/>
              </w:rPr>
            </w:pPr>
          </w:p>
        </w:tc>
      </w:tr>
    </w:tbl>
    <w:p w:rsidR="005D585C" w:rsidRDefault="005D585C" w:rsidP="005D585C">
      <w:pPr>
        <w:rPr>
          <w:color w:val="auto"/>
          <w:sz w:val="26"/>
          <w:szCs w:val="26"/>
        </w:rPr>
      </w:pPr>
    </w:p>
    <w:tbl>
      <w:tblPr>
        <w:tblW w:w="9555" w:type="dxa"/>
        <w:tblLayout w:type="fixed"/>
        <w:tblLook w:val="04A0" w:firstRow="1" w:lastRow="0" w:firstColumn="1" w:lastColumn="0" w:noHBand="0" w:noVBand="1"/>
      </w:tblPr>
      <w:tblGrid>
        <w:gridCol w:w="5776"/>
        <w:gridCol w:w="3779"/>
      </w:tblGrid>
      <w:tr w:rsidR="005D585C" w:rsidTr="0071125F">
        <w:tc>
          <w:tcPr>
            <w:tcW w:w="9558" w:type="dxa"/>
            <w:gridSpan w:val="2"/>
            <w:hideMark/>
          </w:tcPr>
          <w:p w:rsidR="005D585C" w:rsidRDefault="005D585C" w:rsidP="0071125F">
            <w:pPr>
              <w:rPr>
                <w:color w:val="auto"/>
                <w:sz w:val="26"/>
                <w:szCs w:val="26"/>
              </w:rPr>
            </w:pPr>
            <w:r>
              <w:rPr>
                <w:color w:val="auto"/>
                <w:sz w:val="26"/>
                <w:szCs w:val="26"/>
              </w:rPr>
              <w:tab/>
              <w:t>Robert F. Powelson, Chairman</w:t>
            </w:r>
          </w:p>
        </w:tc>
      </w:tr>
      <w:tr w:rsidR="005D585C" w:rsidTr="0071125F">
        <w:tc>
          <w:tcPr>
            <w:tcW w:w="9558" w:type="dxa"/>
            <w:gridSpan w:val="2"/>
            <w:hideMark/>
          </w:tcPr>
          <w:p w:rsidR="005D585C" w:rsidRDefault="005D585C" w:rsidP="0071125F">
            <w:pPr>
              <w:rPr>
                <w:color w:val="auto"/>
                <w:sz w:val="26"/>
                <w:szCs w:val="26"/>
              </w:rPr>
            </w:pPr>
            <w:r>
              <w:rPr>
                <w:color w:val="auto"/>
                <w:sz w:val="26"/>
                <w:szCs w:val="26"/>
              </w:rPr>
              <w:tab/>
              <w:t>John F. Coleman, Jr., Vice Chairman</w:t>
            </w:r>
          </w:p>
          <w:p w:rsidR="005D585C" w:rsidRDefault="005D585C" w:rsidP="0071125F">
            <w:pPr>
              <w:rPr>
                <w:color w:val="auto"/>
                <w:sz w:val="26"/>
                <w:szCs w:val="26"/>
              </w:rPr>
            </w:pPr>
            <w:r>
              <w:rPr>
                <w:color w:val="auto"/>
                <w:sz w:val="26"/>
                <w:szCs w:val="26"/>
              </w:rPr>
              <w:tab/>
              <w:t xml:space="preserve">Wayne E. Gardner </w:t>
            </w:r>
          </w:p>
        </w:tc>
      </w:tr>
      <w:tr w:rsidR="005D585C" w:rsidTr="0071125F">
        <w:tc>
          <w:tcPr>
            <w:tcW w:w="9558" w:type="dxa"/>
            <w:gridSpan w:val="2"/>
            <w:hideMark/>
          </w:tcPr>
          <w:p w:rsidR="005D585C" w:rsidRDefault="005D585C" w:rsidP="0071125F">
            <w:pPr>
              <w:tabs>
                <w:tab w:val="left" w:pos="0"/>
              </w:tabs>
              <w:suppressAutoHyphens/>
              <w:ind w:left="720"/>
              <w:rPr>
                <w:color w:val="auto"/>
                <w:sz w:val="26"/>
              </w:rPr>
            </w:pPr>
            <w:r>
              <w:rPr>
                <w:color w:val="auto"/>
                <w:sz w:val="26"/>
              </w:rPr>
              <w:t>James H. Cawley</w:t>
            </w:r>
          </w:p>
          <w:p w:rsidR="005D585C" w:rsidRDefault="005D585C" w:rsidP="0071125F">
            <w:pPr>
              <w:tabs>
                <w:tab w:val="left" w:pos="0"/>
              </w:tabs>
              <w:suppressAutoHyphens/>
              <w:ind w:left="720"/>
              <w:rPr>
                <w:color w:val="auto"/>
                <w:sz w:val="26"/>
              </w:rPr>
            </w:pPr>
            <w:r>
              <w:rPr>
                <w:color w:val="auto"/>
                <w:sz w:val="26"/>
              </w:rPr>
              <w:t>Pamela A. Witmer</w:t>
            </w:r>
          </w:p>
        </w:tc>
      </w:tr>
      <w:tr w:rsidR="005D585C" w:rsidTr="0071125F">
        <w:tc>
          <w:tcPr>
            <w:tcW w:w="9558" w:type="dxa"/>
            <w:gridSpan w:val="2"/>
            <w:hideMark/>
          </w:tcPr>
          <w:p w:rsidR="005D585C" w:rsidRDefault="005D585C" w:rsidP="0071125F">
            <w:pPr>
              <w:tabs>
                <w:tab w:val="left" w:pos="-720"/>
              </w:tabs>
              <w:suppressAutoHyphens/>
              <w:rPr>
                <w:color w:val="auto"/>
                <w:sz w:val="26"/>
              </w:rPr>
            </w:pPr>
            <w:r>
              <w:rPr>
                <w:color w:val="auto"/>
                <w:sz w:val="26"/>
              </w:rPr>
              <w:tab/>
            </w:r>
          </w:p>
        </w:tc>
      </w:tr>
      <w:tr w:rsidR="005D585C" w:rsidTr="0071125F">
        <w:tc>
          <w:tcPr>
            <w:tcW w:w="9558" w:type="dxa"/>
            <w:gridSpan w:val="2"/>
          </w:tcPr>
          <w:p w:rsidR="005D585C" w:rsidRDefault="005D585C" w:rsidP="0071125F">
            <w:pPr>
              <w:rPr>
                <w:color w:val="auto"/>
                <w:sz w:val="26"/>
                <w:szCs w:val="26"/>
              </w:rPr>
            </w:pPr>
          </w:p>
          <w:p w:rsidR="005D585C" w:rsidRDefault="005D585C" w:rsidP="0071125F">
            <w:pPr>
              <w:rPr>
                <w:color w:val="auto"/>
                <w:sz w:val="26"/>
                <w:szCs w:val="26"/>
              </w:rPr>
            </w:pPr>
          </w:p>
        </w:tc>
      </w:tr>
      <w:tr w:rsidR="005D585C" w:rsidTr="0071125F">
        <w:tc>
          <w:tcPr>
            <w:tcW w:w="5778" w:type="dxa"/>
            <w:hideMark/>
          </w:tcPr>
          <w:p w:rsidR="005D585C" w:rsidRDefault="005D585C" w:rsidP="0071125F">
            <w:pPr>
              <w:rPr>
                <w:color w:val="auto"/>
                <w:sz w:val="26"/>
                <w:szCs w:val="26"/>
              </w:rPr>
            </w:pPr>
            <w:r>
              <w:rPr>
                <w:color w:val="auto"/>
                <w:sz w:val="26"/>
                <w:szCs w:val="26"/>
              </w:rPr>
              <w:t>License Appli</w:t>
            </w:r>
            <w:r w:rsidR="009F2560">
              <w:rPr>
                <w:color w:val="auto"/>
                <w:sz w:val="26"/>
                <w:szCs w:val="26"/>
              </w:rPr>
              <w:t>cation of GDF Suez Energy Retail Solutions</w:t>
            </w:r>
            <w:r>
              <w:rPr>
                <w:color w:val="auto"/>
                <w:sz w:val="26"/>
                <w:szCs w:val="26"/>
              </w:rPr>
              <w:t>, LLC</w:t>
            </w:r>
            <w:r w:rsidR="00CB3734">
              <w:rPr>
                <w:color w:val="auto"/>
                <w:sz w:val="26"/>
                <w:szCs w:val="26"/>
              </w:rPr>
              <w:t xml:space="preserve"> d/b/a Think Energy</w:t>
            </w:r>
            <w:r>
              <w:rPr>
                <w:color w:val="auto"/>
                <w:sz w:val="26"/>
                <w:szCs w:val="26"/>
              </w:rPr>
              <w:t xml:space="preserve"> for Approval to Offer, Render, Furnish or Supply Electricity or Electric Generation Services as a Supplier of Retail Electric Power</w:t>
            </w:r>
          </w:p>
        </w:tc>
        <w:tc>
          <w:tcPr>
            <w:tcW w:w="3780" w:type="dxa"/>
          </w:tcPr>
          <w:p w:rsidR="005D585C" w:rsidRDefault="005D585C" w:rsidP="0071125F">
            <w:pPr>
              <w:rPr>
                <w:color w:val="auto"/>
                <w:sz w:val="26"/>
                <w:szCs w:val="26"/>
              </w:rPr>
            </w:pPr>
          </w:p>
          <w:p w:rsidR="005D585C" w:rsidRDefault="005D585C" w:rsidP="0071125F">
            <w:pPr>
              <w:pStyle w:val="BodyTextIndent2"/>
              <w:ind w:left="1440"/>
              <w:jc w:val="left"/>
              <w:rPr>
                <w:color w:val="auto"/>
                <w:szCs w:val="26"/>
              </w:rPr>
            </w:pPr>
            <w:r>
              <w:rPr>
                <w:color w:val="auto"/>
              </w:rPr>
              <w:t xml:space="preserve">Docket </w:t>
            </w:r>
            <w:r w:rsidR="00761569">
              <w:rPr>
                <w:color w:val="auto"/>
              </w:rPr>
              <w:t>Number:           A-20</w:t>
            </w:r>
            <w:r w:rsidR="00503168">
              <w:rPr>
                <w:color w:val="auto"/>
              </w:rPr>
              <w:t>11-2268361</w:t>
            </w:r>
          </w:p>
        </w:tc>
      </w:tr>
    </w:tbl>
    <w:p w:rsidR="005D585C" w:rsidRDefault="005D585C" w:rsidP="005D585C">
      <w:pPr>
        <w:jc w:val="center"/>
        <w:rPr>
          <w:b/>
          <w:color w:val="auto"/>
          <w:sz w:val="26"/>
          <w:szCs w:val="26"/>
        </w:rPr>
      </w:pPr>
    </w:p>
    <w:p w:rsidR="005D585C" w:rsidRDefault="005D585C" w:rsidP="005D585C">
      <w:pPr>
        <w:pStyle w:val="Heading1"/>
        <w:rPr>
          <w:color w:val="auto"/>
          <w:szCs w:val="26"/>
        </w:rPr>
      </w:pPr>
      <w:r>
        <w:rPr>
          <w:color w:val="auto"/>
          <w:szCs w:val="26"/>
        </w:rPr>
        <w:t>ORDER</w:t>
      </w:r>
    </w:p>
    <w:p w:rsidR="005D585C" w:rsidRDefault="005D585C" w:rsidP="005D585C">
      <w:pPr>
        <w:spacing w:line="360" w:lineRule="auto"/>
        <w:jc w:val="center"/>
        <w:rPr>
          <w:b/>
          <w:color w:val="auto"/>
          <w:sz w:val="26"/>
          <w:szCs w:val="26"/>
        </w:rPr>
      </w:pPr>
    </w:p>
    <w:p w:rsidR="005D585C" w:rsidRDefault="005D585C" w:rsidP="005D585C">
      <w:pPr>
        <w:spacing w:line="360" w:lineRule="auto"/>
        <w:rPr>
          <w:b/>
          <w:color w:val="auto"/>
          <w:sz w:val="26"/>
          <w:szCs w:val="26"/>
        </w:rPr>
      </w:pPr>
      <w:r>
        <w:rPr>
          <w:b/>
          <w:color w:val="auto"/>
          <w:sz w:val="26"/>
          <w:szCs w:val="26"/>
        </w:rPr>
        <w:t>BY THE COMMISSION:</w:t>
      </w:r>
    </w:p>
    <w:p w:rsidR="00CC60F4" w:rsidRDefault="00CC60F4" w:rsidP="005D585C">
      <w:pPr>
        <w:tabs>
          <w:tab w:val="left" w:pos="-1440"/>
          <w:tab w:val="left" w:pos="-720"/>
        </w:tabs>
        <w:suppressAutoHyphens/>
        <w:spacing w:line="360" w:lineRule="auto"/>
        <w:ind w:firstLine="1440"/>
        <w:rPr>
          <w:color w:val="auto"/>
          <w:sz w:val="26"/>
          <w:szCs w:val="26"/>
        </w:rPr>
      </w:pPr>
    </w:p>
    <w:p w:rsidR="005D585C" w:rsidRDefault="009F2560" w:rsidP="005D585C">
      <w:pPr>
        <w:tabs>
          <w:tab w:val="left" w:pos="-1440"/>
          <w:tab w:val="left" w:pos="-720"/>
        </w:tabs>
        <w:suppressAutoHyphens/>
        <w:spacing w:line="360" w:lineRule="auto"/>
        <w:ind w:firstLine="1440"/>
        <w:rPr>
          <w:color w:val="auto"/>
          <w:sz w:val="26"/>
          <w:szCs w:val="26"/>
        </w:rPr>
      </w:pPr>
      <w:r>
        <w:rPr>
          <w:color w:val="auto"/>
          <w:sz w:val="26"/>
          <w:szCs w:val="26"/>
        </w:rPr>
        <w:t>On October 19, 2011, GDF Suez Energy Retail Solutions, LLC</w:t>
      </w:r>
      <w:r w:rsidR="00CB3734">
        <w:rPr>
          <w:color w:val="auto"/>
          <w:sz w:val="26"/>
          <w:szCs w:val="26"/>
        </w:rPr>
        <w:t xml:space="preserve"> d/b/a Think Energy</w:t>
      </w:r>
      <w:r>
        <w:rPr>
          <w:color w:val="auto"/>
          <w:sz w:val="26"/>
          <w:szCs w:val="26"/>
        </w:rPr>
        <w:t xml:space="preserve"> (GDF Suez) </w:t>
      </w:r>
      <w:r w:rsidR="005D585C">
        <w:rPr>
          <w:color w:val="auto"/>
          <w:sz w:val="26"/>
          <w:szCs w:val="26"/>
        </w:rPr>
        <w:t>filed an application seeking to become a licensed electric generation supplier (EGS)</w:t>
      </w:r>
      <w:r w:rsidR="00761569">
        <w:rPr>
          <w:color w:val="auto"/>
          <w:sz w:val="26"/>
          <w:szCs w:val="26"/>
        </w:rPr>
        <w:t xml:space="preserve"> in the PECO Energy Company, PPL Electric Utilities, Penelec, </w:t>
      </w:r>
      <w:r w:rsidR="00515D86">
        <w:rPr>
          <w:color w:val="auto"/>
          <w:sz w:val="26"/>
          <w:szCs w:val="26"/>
        </w:rPr>
        <w:t>West Penn</w:t>
      </w:r>
      <w:r w:rsidR="002F5F6C">
        <w:rPr>
          <w:color w:val="auto"/>
          <w:sz w:val="26"/>
          <w:szCs w:val="26"/>
        </w:rPr>
        <w:t xml:space="preserve"> Power</w:t>
      </w:r>
      <w:r w:rsidR="00515D86">
        <w:rPr>
          <w:color w:val="auto"/>
          <w:sz w:val="26"/>
          <w:szCs w:val="26"/>
        </w:rPr>
        <w:t>, Duquesne</w:t>
      </w:r>
      <w:r w:rsidR="00B80B10">
        <w:rPr>
          <w:color w:val="auto"/>
          <w:sz w:val="26"/>
          <w:szCs w:val="26"/>
        </w:rPr>
        <w:t xml:space="preserve"> Light</w:t>
      </w:r>
      <w:r w:rsidR="00515D86">
        <w:rPr>
          <w:color w:val="auto"/>
          <w:sz w:val="26"/>
          <w:szCs w:val="26"/>
        </w:rPr>
        <w:t>, Met-Ed and Penn Powe</w:t>
      </w:r>
      <w:r w:rsidR="00503168">
        <w:rPr>
          <w:color w:val="auto"/>
          <w:sz w:val="26"/>
          <w:szCs w:val="26"/>
        </w:rPr>
        <w:t xml:space="preserve">r service territories </w:t>
      </w:r>
      <w:r w:rsidR="00CC60F4">
        <w:rPr>
          <w:color w:val="auto"/>
          <w:sz w:val="26"/>
          <w:szCs w:val="26"/>
        </w:rPr>
        <w:t>within</w:t>
      </w:r>
      <w:r w:rsidR="005D585C">
        <w:rPr>
          <w:color w:val="auto"/>
          <w:sz w:val="26"/>
          <w:szCs w:val="26"/>
        </w:rPr>
        <w:t xml:space="preserve"> the Commonwealth of Pennsylvania.  The application was filed pursuant to the Commission’s regulations at 52 Pa. Code §§54.31-54.43, which became effective on August 8, 1998, and which were established under Section 2809 of the Public Utility Code, 66 Pa. C.S. §2809.</w:t>
      </w:r>
    </w:p>
    <w:p w:rsidR="005D585C" w:rsidRDefault="005D585C" w:rsidP="005D585C">
      <w:pPr>
        <w:tabs>
          <w:tab w:val="left" w:pos="-1440"/>
          <w:tab w:val="left" w:pos="-720"/>
        </w:tabs>
        <w:suppressAutoHyphens/>
        <w:spacing w:line="360" w:lineRule="auto"/>
        <w:rPr>
          <w:color w:val="auto"/>
          <w:spacing w:val="-3"/>
          <w:kern w:val="2"/>
          <w:sz w:val="26"/>
          <w:szCs w:val="26"/>
        </w:rPr>
      </w:pPr>
    </w:p>
    <w:p w:rsidR="001D327C" w:rsidRDefault="001D327C" w:rsidP="005D585C">
      <w:pPr>
        <w:tabs>
          <w:tab w:val="left" w:pos="-1440"/>
          <w:tab w:val="left" w:pos="-720"/>
        </w:tabs>
        <w:suppressAutoHyphens/>
        <w:spacing w:line="360" w:lineRule="auto"/>
        <w:rPr>
          <w:color w:val="auto"/>
          <w:spacing w:val="-3"/>
          <w:kern w:val="2"/>
          <w:sz w:val="26"/>
          <w:szCs w:val="26"/>
        </w:rPr>
      </w:pPr>
    </w:p>
    <w:p w:rsidR="005D585C" w:rsidRDefault="005D585C" w:rsidP="005D585C">
      <w:pPr>
        <w:tabs>
          <w:tab w:val="left" w:pos="-720"/>
        </w:tabs>
        <w:suppressAutoHyphens/>
        <w:spacing w:line="480" w:lineRule="auto"/>
        <w:ind w:firstLine="1440"/>
        <w:rPr>
          <w:color w:val="auto"/>
          <w:spacing w:val="-3"/>
          <w:kern w:val="2"/>
          <w:sz w:val="26"/>
          <w:szCs w:val="26"/>
        </w:rPr>
      </w:pPr>
      <w:r>
        <w:rPr>
          <w:color w:val="auto"/>
          <w:spacing w:val="-3"/>
          <w:kern w:val="2"/>
          <w:sz w:val="26"/>
          <w:szCs w:val="26"/>
        </w:rPr>
        <w:lastRenderedPageBreak/>
        <w:t>§2809 provides in pertinent part that:</w:t>
      </w:r>
    </w:p>
    <w:p w:rsidR="005D585C" w:rsidRPr="00BA16B1" w:rsidRDefault="005D585C" w:rsidP="005D585C">
      <w:pPr>
        <w:pStyle w:val="BlockText"/>
        <w:ind w:left="1440" w:firstLine="0"/>
        <w:jc w:val="left"/>
        <w:rPr>
          <w:color w:val="auto"/>
          <w:szCs w:val="26"/>
        </w:rPr>
      </w:pPr>
      <w:r w:rsidRPr="00BA16B1">
        <w:rPr>
          <w:color w:val="auto"/>
          <w:szCs w:val="26"/>
        </w:rPr>
        <w:t>License Requirement.--No person or corporation, including municipal corporations which choose to provide service outside their municipal limits except to the extent provided prior to the effective date of this chapter, brokers and marketers, aggregators and other entities, shall engage in the business of an electric generation supplier in this Commonwealth unless the person or corporation holds a license issued by the Commission.  66 Pa. C.S. §2809.</w:t>
      </w:r>
    </w:p>
    <w:p w:rsidR="005D585C" w:rsidRDefault="005D585C" w:rsidP="005D585C">
      <w:pPr>
        <w:tabs>
          <w:tab w:val="left" w:pos="0"/>
        </w:tabs>
        <w:suppressAutoHyphens/>
        <w:jc w:val="both"/>
        <w:rPr>
          <w:color w:val="auto"/>
          <w:spacing w:val="-3"/>
          <w:kern w:val="2"/>
          <w:sz w:val="26"/>
          <w:szCs w:val="26"/>
        </w:rPr>
      </w:pPr>
    </w:p>
    <w:p w:rsidR="005D585C" w:rsidRDefault="005D585C" w:rsidP="005D585C">
      <w:pPr>
        <w:tabs>
          <w:tab w:val="left" w:pos="0"/>
        </w:tabs>
        <w:suppressAutoHyphens/>
        <w:ind w:left="720" w:hanging="720"/>
        <w:jc w:val="both"/>
        <w:rPr>
          <w:color w:val="auto"/>
          <w:spacing w:val="-3"/>
          <w:kern w:val="2"/>
          <w:sz w:val="26"/>
          <w:szCs w:val="26"/>
        </w:rPr>
      </w:pPr>
      <w:r>
        <w:rPr>
          <w:color w:val="auto"/>
          <w:spacing w:val="-3"/>
          <w:kern w:val="2"/>
          <w:sz w:val="26"/>
          <w:szCs w:val="26"/>
        </w:rPr>
        <w:t>An electric generation supplier is defined as:</w:t>
      </w:r>
    </w:p>
    <w:p w:rsidR="005D585C" w:rsidRDefault="005D585C" w:rsidP="005D585C">
      <w:pPr>
        <w:tabs>
          <w:tab w:val="left" w:pos="0"/>
        </w:tabs>
        <w:suppressAutoHyphens/>
        <w:ind w:left="720" w:hanging="720"/>
        <w:jc w:val="both"/>
        <w:rPr>
          <w:color w:val="auto"/>
          <w:spacing w:val="-3"/>
          <w:kern w:val="2"/>
          <w:sz w:val="26"/>
          <w:szCs w:val="26"/>
        </w:rPr>
      </w:pPr>
    </w:p>
    <w:p w:rsidR="005D585C" w:rsidRDefault="005D585C" w:rsidP="005D585C">
      <w:pPr>
        <w:tabs>
          <w:tab w:val="left" w:pos="0"/>
        </w:tabs>
        <w:suppressAutoHyphens/>
        <w:ind w:left="1440" w:right="806"/>
        <w:rPr>
          <w:color w:val="auto"/>
          <w:spacing w:val="-3"/>
          <w:kern w:val="2"/>
          <w:sz w:val="26"/>
          <w:szCs w:val="26"/>
        </w:rPr>
      </w:pPr>
      <w:r>
        <w:rPr>
          <w:color w:val="auto"/>
          <w:spacing w:val="-3"/>
          <w:kern w:val="2"/>
          <w:sz w:val="26"/>
          <w:szCs w:val="26"/>
        </w:rPr>
        <w:t>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 electricity or related services utilizing the jurisdictional transmission or distribution facilities of an electric distribution company, or that purchases, brokers, arranges or markets electricity or related services for sale to end-use customers utilizing the jurisdictional transmission and distribution facilities of an electric distribution company.  66 Pa. C.S. §2803.</w:t>
      </w:r>
    </w:p>
    <w:p w:rsidR="005D585C" w:rsidRDefault="005D585C" w:rsidP="005D585C">
      <w:pPr>
        <w:tabs>
          <w:tab w:val="left" w:pos="0"/>
        </w:tabs>
        <w:suppressAutoHyphens/>
        <w:spacing w:line="360" w:lineRule="auto"/>
        <w:jc w:val="both"/>
        <w:rPr>
          <w:color w:val="auto"/>
          <w:spacing w:val="-3"/>
          <w:kern w:val="2"/>
          <w:sz w:val="26"/>
          <w:szCs w:val="26"/>
        </w:rPr>
      </w:pPr>
    </w:p>
    <w:p w:rsidR="005D585C" w:rsidRDefault="009F2560" w:rsidP="005D585C">
      <w:pPr>
        <w:tabs>
          <w:tab w:val="left" w:pos="0"/>
        </w:tabs>
        <w:suppressAutoHyphens/>
        <w:spacing w:line="360" w:lineRule="auto"/>
        <w:ind w:firstLine="1440"/>
        <w:rPr>
          <w:color w:val="auto"/>
          <w:sz w:val="26"/>
          <w:szCs w:val="26"/>
        </w:rPr>
      </w:pPr>
      <w:r>
        <w:rPr>
          <w:color w:val="auto"/>
          <w:sz w:val="26"/>
          <w:szCs w:val="26"/>
        </w:rPr>
        <w:t>GDF Suez</w:t>
      </w:r>
      <w:r w:rsidR="005D585C">
        <w:rPr>
          <w:color w:val="auto"/>
          <w:sz w:val="26"/>
          <w:szCs w:val="26"/>
        </w:rPr>
        <w:t xml:space="preserve"> is a foreign limited liability company</w:t>
      </w:r>
      <w:r w:rsidR="00E80B13">
        <w:rPr>
          <w:color w:val="auto"/>
          <w:sz w:val="26"/>
          <w:szCs w:val="26"/>
        </w:rPr>
        <w:t>, formed in th</w:t>
      </w:r>
      <w:r w:rsidR="00503168">
        <w:rPr>
          <w:color w:val="auto"/>
          <w:sz w:val="26"/>
          <w:szCs w:val="26"/>
        </w:rPr>
        <w:t>e State of Delaware on</w:t>
      </w:r>
      <w:r w:rsidR="00E80B13">
        <w:rPr>
          <w:color w:val="auto"/>
          <w:sz w:val="26"/>
          <w:szCs w:val="26"/>
        </w:rPr>
        <w:t xml:space="preserve"> April 18, 2011</w:t>
      </w:r>
      <w:r w:rsidR="005D585C">
        <w:rPr>
          <w:color w:val="auto"/>
          <w:sz w:val="26"/>
          <w:szCs w:val="26"/>
        </w:rPr>
        <w:t>, and registered to do business in Pennsylvania as o</w:t>
      </w:r>
      <w:r w:rsidR="001D327C">
        <w:rPr>
          <w:color w:val="auto"/>
          <w:sz w:val="26"/>
          <w:szCs w:val="26"/>
        </w:rPr>
        <w:t>f August </w:t>
      </w:r>
      <w:r w:rsidR="00E80B13">
        <w:rPr>
          <w:color w:val="auto"/>
          <w:sz w:val="26"/>
          <w:szCs w:val="26"/>
        </w:rPr>
        <w:t>15</w:t>
      </w:r>
      <w:r w:rsidR="00CB3734">
        <w:rPr>
          <w:color w:val="auto"/>
          <w:sz w:val="26"/>
          <w:szCs w:val="26"/>
        </w:rPr>
        <w:t xml:space="preserve">, 2011. </w:t>
      </w:r>
      <w:r w:rsidR="005D585C">
        <w:rPr>
          <w:color w:val="auto"/>
          <w:sz w:val="26"/>
          <w:szCs w:val="26"/>
        </w:rPr>
        <w:t xml:space="preserve"> </w:t>
      </w:r>
      <w:r w:rsidR="00F35805">
        <w:rPr>
          <w:color w:val="auto"/>
          <w:sz w:val="26"/>
          <w:szCs w:val="26"/>
        </w:rPr>
        <w:t xml:space="preserve">GDSF Suez </w:t>
      </w:r>
      <w:r w:rsidR="005D585C">
        <w:rPr>
          <w:color w:val="auto"/>
          <w:sz w:val="26"/>
          <w:szCs w:val="26"/>
        </w:rPr>
        <w:t>proposes to act as a supplier of retai</w:t>
      </w:r>
      <w:r w:rsidR="00E80B13">
        <w:rPr>
          <w:color w:val="auto"/>
          <w:sz w:val="26"/>
          <w:szCs w:val="26"/>
        </w:rPr>
        <w:t>l electric power to</w:t>
      </w:r>
      <w:r w:rsidR="005D585C">
        <w:rPr>
          <w:color w:val="auto"/>
          <w:sz w:val="26"/>
          <w:szCs w:val="26"/>
        </w:rPr>
        <w:t xml:space="preserve"> large com</w:t>
      </w:r>
      <w:r w:rsidR="00732170">
        <w:rPr>
          <w:color w:val="auto"/>
          <w:sz w:val="26"/>
          <w:szCs w:val="26"/>
        </w:rPr>
        <w:t>mercia</w:t>
      </w:r>
      <w:r w:rsidR="00E80B13">
        <w:rPr>
          <w:color w:val="auto"/>
          <w:sz w:val="26"/>
          <w:szCs w:val="26"/>
        </w:rPr>
        <w:t>l (over 25 kw demand) and</w:t>
      </w:r>
      <w:r w:rsidR="00732170">
        <w:rPr>
          <w:color w:val="auto"/>
          <w:sz w:val="26"/>
          <w:szCs w:val="26"/>
        </w:rPr>
        <w:t xml:space="preserve"> </w:t>
      </w:r>
      <w:r w:rsidR="005D585C">
        <w:rPr>
          <w:color w:val="auto"/>
          <w:sz w:val="26"/>
          <w:szCs w:val="26"/>
        </w:rPr>
        <w:t xml:space="preserve">small commercial (25 kw and </w:t>
      </w:r>
      <w:r w:rsidR="00E80B13">
        <w:rPr>
          <w:color w:val="auto"/>
          <w:sz w:val="26"/>
          <w:szCs w:val="26"/>
        </w:rPr>
        <w:t>under demand)</w:t>
      </w:r>
      <w:r w:rsidR="005D585C">
        <w:rPr>
          <w:color w:val="auto"/>
          <w:sz w:val="26"/>
          <w:szCs w:val="26"/>
        </w:rPr>
        <w:t xml:space="preserve"> customer</w:t>
      </w:r>
      <w:r w:rsidR="00831679">
        <w:rPr>
          <w:color w:val="auto"/>
          <w:sz w:val="26"/>
          <w:szCs w:val="26"/>
        </w:rPr>
        <w:t>s</w:t>
      </w:r>
      <w:r w:rsidR="00184F29">
        <w:rPr>
          <w:color w:val="auto"/>
          <w:sz w:val="26"/>
          <w:szCs w:val="26"/>
        </w:rPr>
        <w:t>.</w:t>
      </w:r>
      <w:r w:rsidR="00CB3734">
        <w:rPr>
          <w:color w:val="auto"/>
          <w:sz w:val="26"/>
          <w:szCs w:val="26"/>
        </w:rPr>
        <w:t xml:space="preserve">  GDF Suez will be doing business as Think </w:t>
      </w:r>
      <w:r w:rsidR="001D327C">
        <w:rPr>
          <w:color w:val="auto"/>
          <w:sz w:val="26"/>
          <w:szCs w:val="26"/>
        </w:rPr>
        <w:t>Energy and has complied with 54 </w:t>
      </w:r>
      <w:r w:rsidR="002921FE">
        <w:rPr>
          <w:color w:val="auto"/>
          <w:sz w:val="26"/>
          <w:szCs w:val="26"/>
        </w:rPr>
        <w:t>Pa. C.S. § 311 regarding</w:t>
      </w:r>
      <w:r w:rsidR="009E15C2">
        <w:rPr>
          <w:color w:val="auto"/>
          <w:sz w:val="26"/>
          <w:szCs w:val="26"/>
        </w:rPr>
        <w:t xml:space="preserve"> the </w:t>
      </w:r>
      <w:r w:rsidR="002921FE">
        <w:rPr>
          <w:color w:val="auto"/>
          <w:sz w:val="26"/>
          <w:szCs w:val="26"/>
        </w:rPr>
        <w:t>registration of ficti</w:t>
      </w:r>
      <w:r w:rsidR="00D0782D">
        <w:rPr>
          <w:color w:val="auto"/>
          <w:sz w:val="26"/>
          <w:szCs w:val="26"/>
        </w:rPr>
        <w:t>ti</w:t>
      </w:r>
      <w:r w:rsidR="002921FE">
        <w:rPr>
          <w:color w:val="auto"/>
          <w:sz w:val="26"/>
          <w:szCs w:val="26"/>
        </w:rPr>
        <w:t>ous names.</w:t>
      </w:r>
      <w:r w:rsidR="00CB3734">
        <w:rPr>
          <w:color w:val="auto"/>
          <w:sz w:val="26"/>
          <w:szCs w:val="26"/>
        </w:rPr>
        <w:t xml:space="preserve"> </w:t>
      </w:r>
    </w:p>
    <w:p w:rsidR="00184F29" w:rsidRDefault="00184F29" w:rsidP="005D585C">
      <w:pPr>
        <w:tabs>
          <w:tab w:val="left" w:pos="0"/>
        </w:tabs>
        <w:suppressAutoHyphens/>
        <w:spacing w:line="360" w:lineRule="auto"/>
        <w:ind w:firstLine="1440"/>
        <w:rPr>
          <w:color w:val="auto"/>
          <w:sz w:val="26"/>
          <w:szCs w:val="26"/>
        </w:rPr>
      </w:pPr>
    </w:p>
    <w:p w:rsidR="00F35805" w:rsidRDefault="00E80B13" w:rsidP="005D585C">
      <w:pPr>
        <w:tabs>
          <w:tab w:val="left" w:pos="0"/>
        </w:tabs>
        <w:suppressAutoHyphens/>
        <w:spacing w:line="360" w:lineRule="auto"/>
        <w:ind w:firstLine="1440"/>
        <w:rPr>
          <w:color w:val="auto"/>
          <w:sz w:val="26"/>
          <w:szCs w:val="26"/>
        </w:rPr>
      </w:pPr>
      <w:r>
        <w:rPr>
          <w:color w:val="auto"/>
          <w:sz w:val="26"/>
          <w:szCs w:val="26"/>
        </w:rPr>
        <w:t>GDF Suez</w:t>
      </w:r>
      <w:r w:rsidR="005D585C">
        <w:rPr>
          <w:color w:val="auto"/>
          <w:sz w:val="26"/>
          <w:szCs w:val="26"/>
        </w:rPr>
        <w:t xml:space="preserve"> will be using indep</w:t>
      </w:r>
      <w:r>
        <w:rPr>
          <w:color w:val="auto"/>
          <w:sz w:val="26"/>
          <w:szCs w:val="26"/>
        </w:rPr>
        <w:t>endent marketers.  GDF Suez</w:t>
      </w:r>
      <w:r w:rsidR="004C6E6A">
        <w:rPr>
          <w:color w:val="auto"/>
          <w:sz w:val="26"/>
          <w:szCs w:val="26"/>
        </w:rPr>
        <w:t xml:space="preserve"> </w:t>
      </w:r>
      <w:r w:rsidR="005D585C">
        <w:rPr>
          <w:color w:val="auto"/>
          <w:sz w:val="26"/>
          <w:szCs w:val="26"/>
        </w:rPr>
        <w:t xml:space="preserve">is directed to inform any current or future independent consultants, which arrange for the sale of </w:t>
      </w:r>
      <w:r w:rsidR="001D327C">
        <w:rPr>
          <w:color w:val="auto"/>
          <w:sz w:val="26"/>
          <w:szCs w:val="26"/>
        </w:rPr>
        <w:t>GDF </w:t>
      </w:r>
      <w:r>
        <w:rPr>
          <w:color w:val="auto"/>
          <w:sz w:val="26"/>
          <w:szCs w:val="26"/>
        </w:rPr>
        <w:t>Suez</w:t>
      </w:r>
      <w:r w:rsidR="004C6E6A">
        <w:rPr>
          <w:color w:val="auto"/>
          <w:sz w:val="26"/>
          <w:szCs w:val="26"/>
        </w:rPr>
        <w:t xml:space="preserve">’s </w:t>
      </w:r>
      <w:r w:rsidR="005D585C">
        <w:rPr>
          <w:color w:val="auto"/>
          <w:sz w:val="26"/>
          <w:szCs w:val="26"/>
        </w:rPr>
        <w:t xml:space="preserve">energy products to end-users, that they will be required to be licensed as an EGS if they arrange for the sale of energy products to end-users from another </w:t>
      </w:r>
      <w:r w:rsidR="004C6E6A">
        <w:rPr>
          <w:color w:val="auto"/>
          <w:sz w:val="26"/>
          <w:szCs w:val="26"/>
        </w:rPr>
        <w:t>s</w:t>
      </w:r>
      <w:r>
        <w:rPr>
          <w:color w:val="auto"/>
          <w:sz w:val="26"/>
          <w:szCs w:val="26"/>
        </w:rPr>
        <w:t>upplier, in addition to GDF Suez</w:t>
      </w:r>
      <w:r w:rsidR="005D585C">
        <w:rPr>
          <w:color w:val="auto"/>
          <w:sz w:val="26"/>
          <w:szCs w:val="26"/>
        </w:rPr>
        <w:t>.</w:t>
      </w:r>
    </w:p>
    <w:p w:rsidR="005D585C" w:rsidRDefault="005D585C" w:rsidP="005D585C">
      <w:pPr>
        <w:tabs>
          <w:tab w:val="left" w:pos="0"/>
        </w:tabs>
        <w:suppressAutoHyphens/>
        <w:spacing w:line="360" w:lineRule="auto"/>
        <w:ind w:right="90"/>
        <w:rPr>
          <w:color w:val="auto"/>
          <w:spacing w:val="-3"/>
          <w:kern w:val="2"/>
          <w:sz w:val="26"/>
        </w:rPr>
      </w:pPr>
      <w:r>
        <w:rPr>
          <w:color w:val="auto"/>
          <w:spacing w:val="-3"/>
          <w:kern w:val="2"/>
          <w:sz w:val="26"/>
        </w:rPr>
        <w:lastRenderedPageBreak/>
        <w:tab/>
      </w:r>
      <w:r>
        <w:rPr>
          <w:color w:val="auto"/>
          <w:spacing w:val="-3"/>
          <w:kern w:val="2"/>
          <w:sz w:val="26"/>
        </w:rPr>
        <w:tab/>
      </w:r>
      <w:r w:rsidR="00E80B13">
        <w:rPr>
          <w:color w:val="auto"/>
          <w:sz w:val="26"/>
          <w:szCs w:val="26"/>
        </w:rPr>
        <w:t>GDF Suez</w:t>
      </w:r>
      <w:r w:rsidR="009E15C2">
        <w:rPr>
          <w:color w:val="auto"/>
          <w:sz w:val="26"/>
          <w:szCs w:val="26"/>
        </w:rPr>
        <w:t xml:space="preserve"> does not currently</w:t>
      </w:r>
      <w:r w:rsidR="009E15C2">
        <w:rPr>
          <w:color w:val="auto"/>
          <w:spacing w:val="-3"/>
          <w:kern w:val="2"/>
          <w:sz w:val="26"/>
        </w:rPr>
        <w:t xml:space="preserve"> propose</w:t>
      </w:r>
      <w:r>
        <w:rPr>
          <w:color w:val="auto"/>
          <w:spacing w:val="-3"/>
          <w:kern w:val="2"/>
          <w:sz w:val="26"/>
        </w:rPr>
        <w:t xml:space="preserve"> to provide electric generation supplier services to residential customers</w:t>
      </w:r>
      <w:r w:rsidR="009E15C2">
        <w:rPr>
          <w:color w:val="auto"/>
          <w:spacing w:val="-3"/>
          <w:kern w:val="2"/>
          <w:sz w:val="26"/>
        </w:rPr>
        <w:t xml:space="preserve">.  </w:t>
      </w:r>
      <w:r w:rsidR="00173C7F">
        <w:rPr>
          <w:color w:val="auto"/>
          <w:spacing w:val="-3"/>
          <w:kern w:val="2"/>
          <w:sz w:val="26"/>
        </w:rPr>
        <w:t xml:space="preserve">If GDF Suez does apply to provide services to residential customers in the future, </w:t>
      </w:r>
      <w:r>
        <w:rPr>
          <w:color w:val="auto"/>
          <w:spacing w:val="-3"/>
          <w:kern w:val="2"/>
          <w:sz w:val="26"/>
        </w:rPr>
        <w:t>it is required to comply with, and be governed by,</w:t>
      </w:r>
      <w:r w:rsidR="00783969">
        <w:rPr>
          <w:color w:val="auto"/>
          <w:spacing w:val="-3"/>
          <w:kern w:val="2"/>
          <w:sz w:val="26"/>
        </w:rPr>
        <w:t xml:space="preserve"> applicable Chapter </w:t>
      </w:r>
      <w:r>
        <w:rPr>
          <w:color w:val="auto"/>
          <w:spacing w:val="-3"/>
          <w:kern w:val="2"/>
          <w:sz w:val="26"/>
        </w:rPr>
        <w:t xml:space="preserve">56 residential service regulations as set forth in the Commission Order </w:t>
      </w:r>
      <w:r>
        <w:rPr>
          <w:i/>
          <w:color w:val="auto"/>
          <w:spacing w:val="-3"/>
          <w:kern w:val="2"/>
          <w:sz w:val="26"/>
        </w:rPr>
        <w:t>Guidelines for Maintaining Customer Service at the Same Level of Quality Pursuant to 66 Pa. C.S. §2807(d), and Assuring Conformance with 52 Pa. Code Chapter 56 Pursuant to 66 Pa. C.S. §2809(e) and (f)</w:t>
      </w:r>
      <w:r>
        <w:rPr>
          <w:color w:val="auto"/>
          <w:spacing w:val="-3"/>
          <w:kern w:val="2"/>
          <w:sz w:val="26"/>
        </w:rPr>
        <w:t>, at Docket No. M-00960890 F0011, Order entered July 11, 1997</w:t>
      </w:r>
      <w:r>
        <w:rPr>
          <w:i/>
          <w:color w:val="auto"/>
          <w:spacing w:val="-3"/>
          <w:kern w:val="2"/>
          <w:sz w:val="26"/>
        </w:rPr>
        <w:t>.</w:t>
      </w:r>
      <w:r>
        <w:rPr>
          <w:color w:val="auto"/>
          <w:spacing w:val="-3"/>
          <w:kern w:val="2"/>
          <w:sz w:val="26"/>
        </w:rPr>
        <w:t xml:space="preserve">  Thus, we deem it appropriate to reiterate certain items with respect to Chapter 56 of our regulations.  Chapter 56 (52 Pa Code Chapter 56) is applicable to residential accounts.  An electric generation supplier cannot physically disconnect a residential customer from the electricity grid; therefore, the rules relating to residential service termination are not applicable to electric generation suppliers.  An electric generation supplier may seek to terminate its generation service through an appropriate written notice to the customer and the distribution company.  The residential customer can then attempt to repair their relationship with the supplier, seek a new supplier, or return to utility service at default service rates in accordance with the utility's obligations under Section 2807(e), 66 Pa. C.S. §2807(e).  The customer would only be disconnected from the electricity grid pursuant to appropriate regulations if the customer failed to meet its obligations to the utility or the electric generation supplier that has been designated by the Commission as the provider of last resort.</w:t>
      </w:r>
    </w:p>
    <w:p w:rsidR="005D585C" w:rsidRDefault="005D585C" w:rsidP="005D585C">
      <w:pPr>
        <w:tabs>
          <w:tab w:val="left" w:pos="0"/>
        </w:tabs>
        <w:suppressAutoHyphens/>
        <w:spacing w:line="360" w:lineRule="auto"/>
        <w:ind w:right="90"/>
        <w:rPr>
          <w:color w:val="auto"/>
          <w:spacing w:val="-3"/>
          <w:kern w:val="2"/>
          <w:sz w:val="26"/>
          <w:szCs w:val="26"/>
        </w:rPr>
      </w:pPr>
    </w:p>
    <w:p w:rsidR="005D585C" w:rsidRDefault="005D585C" w:rsidP="005D585C">
      <w:pPr>
        <w:tabs>
          <w:tab w:val="left" w:pos="0"/>
        </w:tabs>
        <w:suppressAutoHyphens/>
        <w:spacing w:line="360" w:lineRule="auto"/>
        <w:ind w:firstLine="1440"/>
        <w:rPr>
          <w:color w:val="auto"/>
          <w:spacing w:val="-3"/>
          <w:kern w:val="2"/>
          <w:sz w:val="26"/>
          <w:szCs w:val="26"/>
        </w:rPr>
      </w:pPr>
      <w:r>
        <w:rPr>
          <w:color w:val="auto"/>
          <w:spacing w:val="-3"/>
          <w:kern w:val="2"/>
          <w:sz w:val="26"/>
          <w:szCs w:val="26"/>
        </w:rPr>
        <w:t xml:space="preserve">Additionally, we specifically note that the licensee must comply with, and ensure that its employees, agents, representatives and independent contractors comply with the standards of conduct and disclosure for licensees set out in Commission regulations at 52 Pa. Code §54.43 that were enacted to protect consumers of this Commonwealth.  These standards include, </w:t>
      </w:r>
      <w:r>
        <w:rPr>
          <w:i/>
          <w:color w:val="auto"/>
          <w:spacing w:val="-3"/>
          <w:kern w:val="2"/>
          <w:sz w:val="26"/>
          <w:szCs w:val="26"/>
        </w:rPr>
        <w:t xml:space="preserve">inter alia, </w:t>
      </w:r>
      <w:r>
        <w:rPr>
          <w:color w:val="auto"/>
          <w:spacing w:val="-3"/>
          <w:kern w:val="2"/>
          <w:sz w:val="26"/>
          <w:szCs w:val="26"/>
        </w:rPr>
        <w:t xml:space="preserve">the provision of timely and accurate information about the services offered by the licensee, the practice of nondiscrimination in service in regard to race, color, religion, national origin, marital status, etc., the safeguarding of a consumer’s personal information, and compliance with applicable state and federal consumer protection </w:t>
      </w:r>
      <w:r>
        <w:rPr>
          <w:color w:val="auto"/>
          <w:spacing w:val="-3"/>
          <w:kern w:val="2"/>
          <w:sz w:val="26"/>
          <w:szCs w:val="26"/>
        </w:rPr>
        <w:lastRenderedPageBreak/>
        <w:t>laws.  Also, we take this opportunity to remind the licensee of its agreement to abide by, and to ensure that its employees, representatives, agents and independent contractors abide by all applicable federal and state laws, and Commission regulations, procedures and orders, including Emergency Orders, which may be issued verbally or in writing during any emergency situations that may unexpectedly develop from time to time in the course of doing business in Pennsylvania.</w:t>
      </w:r>
    </w:p>
    <w:p w:rsidR="001E0D1F" w:rsidRDefault="001E0D1F" w:rsidP="005D585C">
      <w:pPr>
        <w:tabs>
          <w:tab w:val="left" w:pos="0"/>
        </w:tabs>
        <w:suppressAutoHyphens/>
        <w:spacing w:line="360" w:lineRule="auto"/>
        <w:rPr>
          <w:color w:val="auto"/>
          <w:spacing w:val="-3"/>
          <w:kern w:val="2"/>
          <w:sz w:val="26"/>
          <w:szCs w:val="26"/>
        </w:rPr>
      </w:pPr>
    </w:p>
    <w:p w:rsidR="005D585C" w:rsidRDefault="001D327C" w:rsidP="001E0D1F">
      <w:pPr>
        <w:tabs>
          <w:tab w:val="left" w:pos="0"/>
        </w:tabs>
        <w:suppressAutoHyphens/>
        <w:spacing w:line="360" w:lineRule="auto"/>
        <w:rPr>
          <w:color w:val="auto"/>
          <w:kern w:val="2"/>
          <w:sz w:val="26"/>
          <w:szCs w:val="26"/>
        </w:rPr>
      </w:pPr>
      <w:r>
        <w:rPr>
          <w:color w:val="auto"/>
          <w:spacing w:val="-3"/>
          <w:kern w:val="1"/>
          <w:sz w:val="26"/>
          <w:szCs w:val="26"/>
        </w:rPr>
        <w:tab/>
      </w:r>
      <w:r>
        <w:rPr>
          <w:color w:val="auto"/>
          <w:spacing w:val="-3"/>
          <w:kern w:val="1"/>
          <w:sz w:val="26"/>
          <w:szCs w:val="26"/>
        </w:rPr>
        <w:tab/>
      </w:r>
      <w:r w:rsidR="00F35805">
        <w:rPr>
          <w:color w:val="auto"/>
          <w:spacing w:val="-3"/>
          <w:kern w:val="1"/>
          <w:sz w:val="26"/>
          <w:szCs w:val="26"/>
        </w:rPr>
        <w:t xml:space="preserve">GDF Suez has complied comply </w:t>
      </w:r>
      <w:r w:rsidR="00346137">
        <w:rPr>
          <w:color w:val="auto"/>
          <w:spacing w:val="-3"/>
          <w:kern w:val="1"/>
          <w:sz w:val="26"/>
          <w:szCs w:val="26"/>
        </w:rPr>
        <w:t>with our decision in Docket                  No. </w:t>
      </w:r>
      <w:r w:rsidR="00F35805">
        <w:rPr>
          <w:color w:val="auto"/>
          <w:spacing w:val="-3"/>
          <w:kern w:val="1"/>
          <w:sz w:val="26"/>
          <w:szCs w:val="26"/>
        </w:rPr>
        <w:t>M-2010-2157431, Motion adopted at the February 11, 2010, Public Meeting, r</w:t>
      </w:r>
      <w:r w:rsidR="006E7402">
        <w:rPr>
          <w:color w:val="auto"/>
          <w:spacing w:val="-3"/>
          <w:kern w:val="1"/>
          <w:sz w:val="26"/>
          <w:szCs w:val="26"/>
        </w:rPr>
        <w:t xml:space="preserve">egarding supplying proof of </w:t>
      </w:r>
      <w:r w:rsidR="00F35805">
        <w:rPr>
          <w:color w:val="auto"/>
          <w:spacing w:val="-3"/>
          <w:kern w:val="1"/>
          <w:sz w:val="26"/>
          <w:szCs w:val="26"/>
        </w:rPr>
        <w:t xml:space="preserve">membership in the PJM Interconnection (PJM) as a Load Serving Entity.  </w:t>
      </w:r>
      <w:r w:rsidR="00E80B13">
        <w:rPr>
          <w:color w:val="auto"/>
          <w:sz w:val="26"/>
          <w:szCs w:val="26"/>
        </w:rPr>
        <w:t>GDF Suez</w:t>
      </w:r>
      <w:r w:rsidR="005D585C">
        <w:rPr>
          <w:color w:val="auto"/>
          <w:sz w:val="26"/>
          <w:szCs w:val="26"/>
        </w:rPr>
        <w:t xml:space="preserve"> has</w:t>
      </w:r>
      <w:r w:rsidR="00F35805">
        <w:rPr>
          <w:color w:val="auto"/>
          <w:sz w:val="26"/>
          <w:szCs w:val="26"/>
        </w:rPr>
        <w:t xml:space="preserve"> also</w:t>
      </w:r>
      <w:r w:rsidR="005D585C">
        <w:rPr>
          <w:color w:val="auto"/>
          <w:sz w:val="26"/>
          <w:szCs w:val="26"/>
        </w:rPr>
        <w:t xml:space="preserve"> provided </w:t>
      </w:r>
      <w:r w:rsidR="005D585C">
        <w:rPr>
          <w:color w:val="auto"/>
          <w:kern w:val="2"/>
          <w:sz w:val="26"/>
          <w:szCs w:val="26"/>
        </w:rPr>
        <w:t xml:space="preserve">proofs of publication in Pennsylvania newspapers and proofs of service to the interested parties as required by the Commission.  </w:t>
      </w:r>
    </w:p>
    <w:p w:rsidR="005D585C" w:rsidRDefault="005D585C" w:rsidP="005D585C">
      <w:pPr>
        <w:tabs>
          <w:tab w:val="left" w:pos="-720"/>
        </w:tabs>
        <w:suppressAutoHyphens/>
        <w:spacing w:line="360" w:lineRule="auto"/>
        <w:rPr>
          <w:color w:val="auto"/>
          <w:sz w:val="26"/>
          <w:szCs w:val="26"/>
        </w:rPr>
      </w:pPr>
    </w:p>
    <w:p w:rsidR="005D585C" w:rsidRDefault="005D585C" w:rsidP="005D585C">
      <w:pPr>
        <w:tabs>
          <w:tab w:val="left" w:pos="-720"/>
        </w:tabs>
        <w:suppressAutoHyphens/>
        <w:spacing w:line="360" w:lineRule="auto"/>
        <w:ind w:firstLine="1440"/>
        <w:rPr>
          <w:color w:val="auto"/>
          <w:kern w:val="2"/>
          <w:sz w:val="26"/>
          <w:szCs w:val="26"/>
        </w:rPr>
      </w:pPr>
      <w:r>
        <w:rPr>
          <w:color w:val="auto"/>
          <w:kern w:val="2"/>
          <w:sz w:val="26"/>
          <w:szCs w:val="26"/>
        </w:rPr>
        <w:t>Regarding the financial and technical requirements of the li</w:t>
      </w:r>
      <w:r w:rsidR="004C6E6A">
        <w:rPr>
          <w:color w:val="auto"/>
          <w:kern w:val="2"/>
          <w:sz w:val="26"/>
          <w:szCs w:val="26"/>
        </w:rPr>
        <w:t xml:space="preserve">cense application, </w:t>
      </w:r>
      <w:r w:rsidR="00940822">
        <w:rPr>
          <w:color w:val="auto"/>
          <w:sz w:val="26"/>
          <w:szCs w:val="26"/>
        </w:rPr>
        <w:t>GDF Suez</w:t>
      </w:r>
      <w:r w:rsidR="004C6E6A">
        <w:rPr>
          <w:color w:val="auto"/>
          <w:kern w:val="2"/>
          <w:sz w:val="26"/>
          <w:szCs w:val="26"/>
        </w:rPr>
        <w:t xml:space="preserve"> submitted</w:t>
      </w:r>
      <w:r>
        <w:rPr>
          <w:color w:val="auto"/>
          <w:kern w:val="2"/>
          <w:sz w:val="26"/>
          <w:szCs w:val="26"/>
        </w:rPr>
        <w:t xml:space="preserve"> independently aud</w:t>
      </w:r>
      <w:r w:rsidR="004C6E6A">
        <w:rPr>
          <w:color w:val="auto"/>
          <w:kern w:val="2"/>
          <w:sz w:val="26"/>
          <w:szCs w:val="26"/>
        </w:rPr>
        <w:t>ited</w:t>
      </w:r>
      <w:r w:rsidR="00940822">
        <w:rPr>
          <w:color w:val="auto"/>
          <w:kern w:val="2"/>
          <w:sz w:val="26"/>
          <w:szCs w:val="26"/>
        </w:rPr>
        <w:t xml:space="preserve"> Consolidated Statements of Financial Position </w:t>
      </w:r>
      <w:r>
        <w:rPr>
          <w:color w:val="auto"/>
          <w:kern w:val="2"/>
          <w:sz w:val="26"/>
          <w:szCs w:val="26"/>
        </w:rPr>
        <w:t>for the year</w:t>
      </w:r>
      <w:r w:rsidR="000E3B9A">
        <w:rPr>
          <w:color w:val="auto"/>
          <w:kern w:val="2"/>
          <w:sz w:val="26"/>
          <w:szCs w:val="26"/>
        </w:rPr>
        <w:t>s</w:t>
      </w:r>
      <w:r>
        <w:rPr>
          <w:color w:val="auto"/>
          <w:kern w:val="2"/>
          <w:sz w:val="26"/>
          <w:szCs w:val="26"/>
        </w:rPr>
        <w:t xml:space="preserve"> ended December 2009</w:t>
      </w:r>
      <w:r w:rsidR="00940822">
        <w:rPr>
          <w:color w:val="auto"/>
          <w:kern w:val="2"/>
          <w:sz w:val="26"/>
          <w:szCs w:val="26"/>
        </w:rPr>
        <w:t xml:space="preserve"> and 2010.  </w:t>
      </w:r>
      <w:r w:rsidR="00940822">
        <w:rPr>
          <w:color w:val="auto"/>
          <w:sz w:val="26"/>
          <w:szCs w:val="26"/>
        </w:rPr>
        <w:t>GDF Suez</w:t>
      </w:r>
      <w:r>
        <w:rPr>
          <w:color w:val="auto"/>
          <w:kern w:val="2"/>
          <w:sz w:val="26"/>
          <w:szCs w:val="26"/>
        </w:rPr>
        <w:t xml:space="preserve"> has also supplied extensive resume data for its chief managerial officers.  Sufficient information ha</w:t>
      </w:r>
      <w:r w:rsidR="00940822">
        <w:rPr>
          <w:color w:val="auto"/>
          <w:kern w:val="2"/>
          <w:sz w:val="26"/>
          <w:szCs w:val="26"/>
        </w:rPr>
        <w:t xml:space="preserve">s been provided by </w:t>
      </w:r>
      <w:r w:rsidR="00940822">
        <w:rPr>
          <w:color w:val="auto"/>
          <w:sz w:val="26"/>
          <w:szCs w:val="26"/>
        </w:rPr>
        <w:t>GDF Suez</w:t>
      </w:r>
      <w:r>
        <w:rPr>
          <w:color w:val="auto"/>
          <w:kern w:val="2"/>
          <w:sz w:val="26"/>
          <w:szCs w:val="26"/>
        </w:rPr>
        <w:t xml:space="preserve"> to demonstrate its financial and technical fitness in order to be licensed as a supplier of retail electric power in the</w:t>
      </w:r>
      <w:r w:rsidR="000E3B9A">
        <w:rPr>
          <w:color w:val="auto"/>
          <w:kern w:val="2"/>
          <w:sz w:val="26"/>
          <w:szCs w:val="26"/>
        </w:rPr>
        <w:t xml:space="preserve"> </w:t>
      </w:r>
      <w:r w:rsidR="000E3B9A">
        <w:rPr>
          <w:color w:val="auto"/>
          <w:sz w:val="26"/>
          <w:szCs w:val="26"/>
        </w:rPr>
        <w:t>PECO Energy Company, PPL Electric Utilities, Penelec, West Penn</w:t>
      </w:r>
      <w:r w:rsidR="00E96A67">
        <w:rPr>
          <w:color w:val="auto"/>
          <w:sz w:val="26"/>
          <w:szCs w:val="26"/>
        </w:rPr>
        <w:t xml:space="preserve"> Power</w:t>
      </w:r>
      <w:r w:rsidR="000E3B9A">
        <w:rPr>
          <w:color w:val="auto"/>
          <w:sz w:val="26"/>
          <w:szCs w:val="26"/>
        </w:rPr>
        <w:t>, Duquesne</w:t>
      </w:r>
      <w:r w:rsidR="00B80B10">
        <w:rPr>
          <w:color w:val="auto"/>
          <w:sz w:val="26"/>
          <w:szCs w:val="26"/>
        </w:rPr>
        <w:t xml:space="preserve"> Light</w:t>
      </w:r>
      <w:r w:rsidR="000E3B9A">
        <w:rPr>
          <w:color w:val="auto"/>
          <w:sz w:val="26"/>
          <w:szCs w:val="26"/>
        </w:rPr>
        <w:t>, Met-Ed and Penn Power</w:t>
      </w:r>
      <w:r>
        <w:rPr>
          <w:color w:val="auto"/>
          <w:sz w:val="26"/>
          <w:szCs w:val="26"/>
        </w:rPr>
        <w:t xml:space="preserve"> </w:t>
      </w:r>
      <w:r w:rsidR="00503168">
        <w:rPr>
          <w:color w:val="auto"/>
          <w:kern w:val="2"/>
          <w:sz w:val="26"/>
          <w:szCs w:val="26"/>
        </w:rPr>
        <w:t>service territories throughout</w:t>
      </w:r>
      <w:r>
        <w:rPr>
          <w:color w:val="auto"/>
          <w:kern w:val="2"/>
          <w:sz w:val="26"/>
          <w:szCs w:val="26"/>
        </w:rPr>
        <w:t xml:space="preserve"> the Commonwealth of Pennsylvania.</w:t>
      </w:r>
    </w:p>
    <w:p w:rsidR="00E67844" w:rsidRDefault="00E67844" w:rsidP="005D585C">
      <w:pPr>
        <w:tabs>
          <w:tab w:val="left" w:pos="-720"/>
        </w:tabs>
        <w:suppressAutoHyphens/>
        <w:spacing w:line="360" w:lineRule="auto"/>
        <w:ind w:firstLine="1440"/>
        <w:rPr>
          <w:color w:val="auto"/>
          <w:kern w:val="2"/>
          <w:sz w:val="26"/>
          <w:szCs w:val="26"/>
        </w:rPr>
      </w:pPr>
    </w:p>
    <w:p w:rsidR="00E67844" w:rsidRDefault="00E67844" w:rsidP="005D585C">
      <w:pPr>
        <w:tabs>
          <w:tab w:val="left" w:pos="-720"/>
        </w:tabs>
        <w:suppressAutoHyphens/>
        <w:spacing w:line="360" w:lineRule="auto"/>
        <w:ind w:firstLine="1440"/>
        <w:rPr>
          <w:color w:val="auto"/>
          <w:kern w:val="2"/>
          <w:sz w:val="26"/>
          <w:szCs w:val="26"/>
        </w:rPr>
      </w:pPr>
      <w:r>
        <w:rPr>
          <w:color w:val="auto"/>
          <w:kern w:val="2"/>
          <w:sz w:val="26"/>
          <w:szCs w:val="26"/>
        </w:rPr>
        <w:t xml:space="preserve">Additionally, we note that GDF Suez </w:t>
      </w:r>
      <w:r w:rsidR="00D425C8">
        <w:rPr>
          <w:color w:val="auto"/>
          <w:kern w:val="2"/>
          <w:sz w:val="26"/>
          <w:szCs w:val="26"/>
        </w:rPr>
        <w:t xml:space="preserve">indicated in its application that its parent, </w:t>
      </w:r>
      <w:r w:rsidR="00D425C8" w:rsidRPr="00D425C8">
        <w:rPr>
          <w:color w:val="auto"/>
          <w:kern w:val="2"/>
          <w:sz w:val="26"/>
          <w:szCs w:val="26"/>
        </w:rPr>
        <w:t>GDF Suez Energy Resources NA, Inc</w:t>
      </w:r>
      <w:r w:rsidR="00D425C8">
        <w:rPr>
          <w:color w:val="auto"/>
          <w:kern w:val="2"/>
          <w:sz w:val="26"/>
          <w:szCs w:val="26"/>
        </w:rPr>
        <w:t>., also has a license as an electric generation supplier in Pennsylvania, at Docket No. A-110156.  GDF Suez states that GDF Suez Energy Resources NA, Inc. serves medium and large commercial and industrial customers, and GDF Suez was formed to primarily serve the small commercial market.</w:t>
      </w:r>
    </w:p>
    <w:p w:rsidR="005D585C" w:rsidRDefault="005D585C" w:rsidP="005D585C">
      <w:pPr>
        <w:tabs>
          <w:tab w:val="left" w:pos="0"/>
        </w:tabs>
        <w:suppressAutoHyphens/>
        <w:spacing w:line="360" w:lineRule="auto"/>
        <w:rPr>
          <w:color w:val="auto"/>
          <w:sz w:val="26"/>
          <w:szCs w:val="26"/>
        </w:rPr>
      </w:pPr>
    </w:p>
    <w:p w:rsidR="005D585C" w:rsidRDefault="005D585C" w:rsidP="005D585C">
      <w:pPr>
        <w:tabs>
          <w:tab w:val="left" w:pos="0"/>
        </w:tabs>
        <w:suppressAutoHyphens/>
        <w:spacing w:line="360" w:lineRule="auto"/>
        <w:rPr>
          <w:color w:val="auto"/>
          <w:sz w:val="26"/>
          <w:szCs w:val="26"/>
        </w:rPr>
      </w:pPr>
      <w:r>
        <w:rPr>
          <w:color w:val="auto"/>
          <w:sz w:val="26"/>
          <w:szCs w:val="26"/>
        </w:rPr>
        <w:lastRenderedPageBreak/>
        <w:tab/>
      </w:r>
      <w:r>
        <w:rPr>
          <w:color w:val="auto"/>
          <w:sz w:val="26"/>
          <w:szCs w:val="26"/>
        </w:rPr>
        <w:tab/>
      </w:r>
      <w:r w:rsidR="00940822">
        <w:rPr>
          <w:color w:val="auto"/>
          <w:sz w:val="26"/>
          <w:szCs w:val="26"/>
        </w:rPr>
        <w:t>GDF Suez</w:t>
      </w:r>
      <w:r>
        <w:rPr>
          <w:color w:val="auto"/>
          <w:sz w:val="26"/>
          <w:szCs w:val="26"/>
        </w:rPr>
        <w:t xml:space="preserve"> has provided a $250,000 surety bond as required by the license application.</w:t>
      </w:r>
    </w:p>
    <w:p w:rsidR="005D585C" w:rsidRDefault="005D585C" w:rsidP="005D585C">
      <w:pPr>
        <w:tabs>
          <w:tab w:val="left" w:pos="0"/>
        </w:tabs>
        <w:suppressAutoHyphens/>
        <w:spacing w:line="360" w:lineRule="auto"/>
        <w:rPr>
          <w:color w:val="auto"/>
          <w:sz w:val="26"/>
          <w:szCs w:val="26"/>
        </w:rPr>
      </w:pPr>
    </w:p>
    <w:p w:rsidR="005D585C" w:rsidRDefault="00173C7F" w:rsidP="005D585C">
      <w:pPr>
        <w:tabs>
          <w:tab w:val="left" w:pos="0"/>
        </w:tabs>
        <w:suppressAutoHyphens/>
        <w:spacing w:line="360" w:lineRule="auto"/>
        <w:rPr>
          <w:color w:val="auto"/>
          <w:sz w:val="26"/>
          <w:szCs w:val="26"/>
        </w:rPr>
      </w:pPr>
      <w:r>
        <w:rPr>
          <w:color w:val="auto"/>
          <w:kern w:val="2"/>
          <w:sz w:val="26"/>
          <w:szCs w:val="26"/>
        </w:rPr>
        <w:tab/>
      </w:r>
      <w:r>
        <w:rPr>
          <w:color w:val="auto"/>
          <w:kern w:val="2"/>
          <w:sz w:val="26"/>
          <w:szCs w:val="26"/>
        </w:rPr>
        <w:tab/>
        <w:t>As of December 6</w:t>
      </w:r>
      <w:r w:rsidR="005D585C">
        <w:rPr>
          <w:color w:val="auto"/>
          <w:kern w:val="2"/>
          <w:sz w:val="26"/>
          <w:szCs w:val="26"/>
        </w:rPr>
        <w:t>, 2011, no protests have been filed.</w:t>
      </w:r>
    </w:p>
    <w:p w:rsidR="001D327C" w:rsidRDefault="001D327C">
      <w:pPr>
        <w:spacing w:after="200" w:line="276" w:lineRule="auto"/>
        <w:rPr>
          <w:color w:val="auto"/>
          <w:spacing w:val="-3"/>
          <w:kern w:val="2"/>
          <w:sz w:val="26"/>
          <w:szCs w:val="26"/>
        </w:rPr>
      </w:pPr>
    </w:p>
    <w:p w:rsidR="005D585C" w:rsidRDefault="005D585C" w:rsidP="005D585C">
      <w:pPr>
        <w:pStyle w:val="BodyText2"/>
        <w:tabs>
          <w:tab w:val="clear" w:pos="0"/>
          <w:tab w:val="left" w:pos="720"/>
        </w:tabs>
        <w:ind w:firstLine="1440"/>
        <w:rPr>
          <w:color w:val="auto"/>
          <w:spacing w:val="-3"/>
          <w:kern w:val="2"/>
          <w:szCs w:val="26"/>
        </w:rPr>
      </w:pPr>
      <w:r>
        <w:rPr>
          <w:color w:val="auto"/>
          <w:spacing w:val="-3"/>
          <w:kern w:val="2"/>
          <w:szCs w:val="26"/>
        </w:rPr>
        <w:t>We find that the applicant:</w:t>
      </w:r>
    </w:p>
    <w:p w:rsidR="005D585C" w:rsidRDefault="005D585C" w:rsidP="005D585C">
      <w:pPr>
        <w:pStyle w:val="BodyText2"/>
        <w:tabs>
          <w:tab w:val="clear" w:pos="0"/>
          <w:tab w:val="left" w:pos="720"/>
        </w:tabs>
        <w:ind w:firstLine="1440"/>
        <w:rPr>
          <w:color w:val="auto"/>
          <w:spacing w:val="-3"/>
          <w:kern w:val="2"/>
          <w:szCs w:val="26"/>
        </w:rPr>
      </w:pPr>
    </w:p>
    <w:p w:rsidR="005D585C" w:rsidRDefault="005D585C" w:rsidP="005D585C">
      <w:pPr>
        <w:numPr>
          <w:ilvl w:val="0"/>
          <w:numId w:val="1"/>
        </w:numPr>
        <w:tabs>
          <w:tab w:val="left" w:pos="0"/>
        </w:tabs>
        <w:suppressAutoHyphens/>
        <w:spacing w:line="360" w:lineRule="auto"/>
        <w:ind w:left="2160" w:hanging="720"/>
        <w:rPr>
          <w:color w:val="auto"/>
          <w:sz w:val="26"/>
          <w:szCs w:val="26"/>
        </w:rPr>
      </w:pPr>
      <w:r>
        <w:rPr>
          <w:color w:val="auto"/>
          <w:spacing w:val="-3"/>
          <w:kern w:val="2"/>
          <w:sz w:val="26"/>
          <w:szCs w:val="26"/>
        </w:rPr>
        <w:t xml:space="preserve">Is fit, willing and able to properly perform the service proposed in </w:t>
      </w:r>
      <w:r>
        <w:rPr>
          <w:color w:val="auto"/>
          <w:sz w:val="26"/>
          <w:szCs w:val="26"/>
        </w:rPr>
        <w:t>conformance with applicable provisions of the Public Utility Code and lawful Commission orders and regulations</w:t>
      </w:r>
      <w:r w:rsidR="003F13B3">
        <w:rPr>
          <w:color w:val="auto"/>
          <w:sz w:val="26"/>
          <w:szCs w:val="26"/>
        </w:rPr>
        <w:t xml:space="preserve">. </w:t>
      </w:r>
    </w:p>
    <w:p w:rsidR="005D585C" w:rsidRDefault="005D585C" w:rsidP="005D585C">
      <w:pPr>
        <w:tabs>
          <w:tab w:val="left" w:pos="0"/>
          <w:tab w:val="left" w:pos="720"/>
          <w:tab w:val="left" w:pos="1080"/>
          <w:tab w:val="left" w:pos="1440"/>
        </w:tabs>
        <w:suppressAutoHyphens/>
        <w:spacing w:line="360" w:lineRule="auto"/>
        <w:ind w:left="1080" w:hanging="1080"/>
        <w:jc w:val="both"/>
        <w:rPr>
          <w:color w:val="auto"/>
          <w:spacing w:val="-3"/>
          <w:kern w:val="2"/>
          <w:sz w:val="26"/>
          <w:szCs w:val="26"/>
        </w:rPr>
      </w:pPr>
    </w:p>
    <w:p w:rsidR="005D585C" w:rsidRDefault="005D585C" w:rsidP="005D585C">
      <w:pPr>
        <w:suppressAutoHyphens/>
        <w:spacing w:line="360" w:lineRule="auto"/>
        <w:ind w:left="2160" w:hanging="720"/>
        <w:rPr>
          <w:color w:val="auto"/>
          <w:spacing w:val="-3"/>
          <w:kern w:val="2"/>
          <w:sz w:val="26"/>
          <w:szCs w:val="26"/>
        </w:rPr>
      </w:pPr>
      <w:r>
        <w:rPr>
          <w:color w:val="auto"/>
          <w:spacing w:val="-3"/>
          <w:kern w:val="2"/>
          <w:sz w:val="26"/>
          <w:szCs w:val="26"/>
        </w:rPr>
        <w:t>2.</w:t>
      </w:r>
      <w:r>
        <w:rPr>
          <w:color w:val="auto"/>
          <w:spacing w:val="-3"/>
          <w:kern w:val="2"/>
          <w:sz w:val="26"/>
          <w:szCs w:val="26"/>
        </w:rPr>
        <w:tab/>
        <w:t>Has agreed to lawfully abide by all Commission regulations, procedures and orders, including Emergency Orders, which may be issued verbally or in writing during any emergency situations that may unexpectedly develop from time to time in the course of doing business in Pennsylvania.</w:t>
      </w:r>
    </w:p>
    <w:p w:rsidR="005D585C" w:rsidRDefault="005D585C" w:rsidP="005D585C">
      <w:pPr>
        <w:spacing w:line="360" w:lineRule="auto"/>
        <w:rPr>
          <w:color w:val="auto"/>
          <w:spacing w:val="-3"/>
          <w:kern w:val="2"/>
          <w:sz w:val="26"/>
          <w:szCs w:val="26"/>
        </w:rPr>
      </w:pPr>
    </w:p>
    <w:p w:rsidR="005D585C" w:rsidRDefault="005D585C" w:rsidP="005D585C">
      <w:pPr>
        <w:spacing w:line="360" w:lineRule="auto"/>
        <w:ind w:left="2160" w:hanging="720"/>
        <w:rPr>
          <w:color w:val="auto"/>
          <w:sz w:val="26"/>
          <w:szCs w:val="26"/>
        </w:rPr>
      </w:pPr>
      <w:r>
        <w:rPr>
          <w:color w:val="auto"/>
          <w:sz w:val="26"/>
          <w:szCs w:val="26"/>
        </w:rPr>
        <w:t>3.</w:t>
      </w:r>
      <w:r>
        <w:rPr>
          <w:color w:val="auto"/>
          <w:sz w:val="26"/>
          <w:szCs w:val="26"/>
        </w:rPr>
        <w:tab/>
        <w:t>That the proposed service, to the extent authorized by the license, will be consistent with the public interest and the policy declared in the Electricity Generation Customer Choice and Competition Act.</w:t>
      </w:r>
    </w:p>
    <w:p w:rsidR="005D585C" w:rsidRDefault="005D585C" w:rsidP="005D585C">
      <w:pPr>
        <w:suppressAutoHyphens/>
        <w:spacing w:line="360" w:lineRule="auto"/>
        <w:ind w:firstLine="1440"/>
        <w:jc w:val="both"/>
        <w:rPr>
          <w:color w:val="auto"/>
          <w:spacing w:val="-3"/>
          <w:kern w:val="2"/>
          <w:sz w:val="26"/>
          <w:szCs w:val="26"/>
        </w:rPr>
      </w:pPr>
    </w:p>
    <w:p w:rsidR="005D585C" w:rsidRDefault="005D585C" w:rsidP="005D585C">
      <w:pPr>
        <w:suppressAutoHyphens/>
        <w:spacing w:line="360" w:lineRule="auto"/>
        <w:ind w:firstLine="1440"/>
        <w:jc w:val="both"/>
        <w:rPr>
          <w:b/>
          <w:color w:val="auto"/>
          <w:spacing w:val="-3"/>
          <w:kern w:val="2"/>
          <w:sz w:val="26"/>
          <w:szCs w:val="26"/>
        </w:rPr>
      </w:pPr>
      <w:r>
        <w:rPr>
          <w:color w:val="auto"/>
          <w:spacing w:val="-3"/>
          <w:kern w:val="2"/>
          <w:sz w:val="26"/>
          <w:szCs w:val="26"/>
        </w:rPr>
        <w:t xml:space="preserve">Upon full consideration of all matters of record, we find that approval of this application is necessary and proper for the service, accommodation and convenience of the public; </w:t>
      </w:r>
      <w:r>
        <w:rPr>
          <w:b/>
          <w:color w:val="auto"/>
          <w:spacing w:val="-3"/>
          <w:kern w:val="2"/>
          <w:sz w:val="26"/>
          <w:szCs w:val="26"/>
        </w:rPr>
        <w:t>THEREFORE,</w:t>
      </w:r>
    </w:p>
    <w:p w:rsidR="005D585C" w:rsidRDefault="005D585C" w:rsidP="005D585C">
      <w:pPr>
        <w:suppressAutoHyphens/>
        <w:spacing w:line="360" w:lineRule="auto"/>
        <w:ind w:firstLine="1440"/>
        <w:jc w:val="both"/>
        <w:rPr>
          <w:b/>
          <w:color w:val="auto"/>
          <w:spacing w:val="-3"/>
          <w:kern w:val="2"/>
          <w:sz w:val="26"/>
          <w:szCs w:val="26"/>
        </w:rPr>
      </w:pPr>
    </w:p>
    <w:p w:rsidR="005D585C" w:rsidRDefault="005D585C" w:rsidP="005D585C">
      <w:pPr>
        <w:suppressAutoHyphens/>
        <w:spacing w:line="360" w:lineRule="auto"/>
        <w:ind w:firstLine="1440"/>
        <w:jc w:val="both"/>
        <w:rPr>
          <w:b/>
          <w:color w:val="auto"/>
          <w:spacing w:val="-3"/>
          <w:kern w:val="2"/>
          <w:sz w:val="26"/>
          <w:szCs w:val="26"/>
        </w:rPr>
      </w:pPr>
      <w:r>
        <w:rPr>
          <w:b/>
          <w:color w:val="auto"/>
          <w:spacing w:val="-3"/>
          <w:kern w:val="2"/>
          <w:sz w:val="26"/>
          <w:szCs w:val="26"/>
        </w:rPr>
        <w:t>IT IS ORDERED:</w:t>
      </w:r>
    </w:p>
    <w:p w:rsidR="005D585C" w:rsidRDefault="005D585C" w:rsidP="005D585C">
      <w:pPr>
        <w:tabs>
          <w:tab w:val="left" w:pos="0"/>
        </w:tabs>
        <w:suppressAutoHyphens/>
        <w:spacing w:line="360" w:lineRule="auto"/>
        <w:jc w:val="both"/>
        <w:rPr>
          <w:color w:val="auto"/>
          <w:spacing w:val="-3"/>
          <w:kern w:val="2"/>
          <w:sz w:val="26"/>
          <w:szCs w:val="26"/>
        </w:rPr>
      </w:pPr>
    </w:p>
    <w:p w:rsidR="005D585C" w:rsidRDefault="005D585C" w:rsidP="005D585C">
      <w:pPr>
        <w:pStyle w:val="BodyText"/>
        <w:tabs>
          <w:tab w:val="clear" w:pos="0"/>
          <w:tab w:val="left" w:pos="2160"/>
        </w:tabs>
        <w:spacing w:line="360" w:lineRule="auto"/>
        <w:ind w:firstLine="1440"/>
        <w:rPr>
          <w:color w:val="auto"/>
          <w:szCs w:val="26"/>
        </w:rPr>
      </w:pPr>
      <w:r>
        <w:rPr>
          <w:color w:val="auto"/>
          <w:szCs w:val="26"/>
        </w:rPr>
        <w:t>1.</w:t>
      </w:r>
      <w:r>
        <w:rPr>
          <w:color w:val="auto"/>
          <w:szCs w:val="26"/>
        </w:rPr>
        <w:tab/>
        <w:t xml:space="preserve">That the application of </w:t>
      </w:r>
      <w:r w:rsidR="00E11459">
        <w:rPr>
          <w:color w:val="auto"/>
          <w:szCs w:val="26"/>
        </w:rPr>
        <w:t>GDF Suez Energy Retail Solutions, LLC</w:t>
      </w:r>
      <w:r w:rsidR="002921FE">
        <w:rPr>
          <w:color w:val="auto"/>
          <w:szCs w:val="26"/>
        </w:rPr>
        <w:t xml:space="preserve"> d/b/a Think Energy</w:t>
      </w:r>
      <w:r w:rsidR="00933A69">
        <w:rPr>
          <w:color w:val="auto"/>
          <w:szCs w:val="26"/>
        </w:rPr>
        <w:t xml:space="preserve"> </w:t>
      </w:r>
      <w:r>
        <w:rPr>
          <w:color w:val="auto"/>
          <w:szCs w:val="26"/>
        </w:rPr>
        <w:t>is hereby approved, consistent with this Order.</w:t>
      </w:r>
    </w:p>
    <w:p w:rsidR="005D585C" w:rsidRDefault="005D585C" w:rsidP="005D585C">
      <w:pPr>
        <w:suppressAutoHyphens/>
        <w:spacing w:line="360" w:lineRule="auto"/>
        <w:rPr>
          <w:color w:val="auto"/>
          <w:sz w:val="26"/>
          <w:szCs w:val="26"/>
        </w:rPr>
      </w:pPr>
      <w:r>
        <w:rPr>
          <w:color w:val="auto"/>
          <w:sz w:val="26"/>
          <w:szCs w:val="26"/>
        </w:rPr>
        <w:lastRenderedPageBreak/>
        <w:tab/>
      </w:r>
      <w:r>
        <w:rPr>
          <w:color w:val="auto"/>
          <w:sz w:val="26"/>
          <w:szCs w:val="26"/>
        </w:rPr>
        <w:tab/>
        <w:t>2.</w:t>
      </w:r>
      <w:r>
        <w:rPr>
          <w:color w:val="auto"/>
          <w:sz w:val="26"/>
          <w:szCs w:val="26"/>
        </w:rPr>
        <w:tab/>
        <w:t xml:space="preserve">That a license be issued authorizing </w:t>
      </w:r>
      <w:r w:rsidR="00E11459">
        <w:rPr>
          <w:color w:val="auto"/>
          <w:sz w:val="26"/>
          <w:szCs w:val="26"/>
        </w:rPr>
        <w:t>GDF Suez Energy Retail Solutions, LLC</w:t>
      </w:r>
      <w:r w:rsidR="002921FE">
        <w:rPr>
          <w:color w:val="auto"/>
          <w:sz w:val="26"/>
          <w:szCs w:val="26"/>
        </w:rPr>
        <w:t xml:space="preserve"> d/b/a Think Energy</w:t>
      </w:r>
      <w:r w:rsidR="00BC5820">
        <w:rPr>
          <w:color w:val="auto"/>
          <w:sz w:val="26"/>
          <w:szCs w:val="26"/>
        </w:rPr>
        <w:t xml:space="preserve"> </w:t>
      </w:r>
      <w:r>
        <w:rPr>
          <w:color w:val="auto"/>
          <w:sz w:val="26"/>
          <w:szCs w:val="26"/>
        </w:rPr>
        <w:t>to begin to offer, render, furnish or supply electric generation supplier servic</w:t>
      </w:r>
      <w:r w:rsidR="00173C7F">
        <w:rPr>
          <w:color w:val="auto"/>
          <w:sz w:val="26"/>
          <w:szCs w:val="26"/>
        </w:rPr>
        <w:t xml:space="preserve">es as a supplier to </w:t>
      </w:r>
      <w:r>
        <w:rPr>
          <w:color w:val="auto"/>
          <w:sz w:val="26"/>
          <w:szCs w:val="26"/>
        </w:rPr>
        <w:t>large</w:t>
      </w:r>
      <w:r w:rsidR="00503168">
        <w:rPr>
          <w:color w:val="auto"/>
          <w:sz w:val="26"/>
          <w:szCs w:val="26"/>
        </w:rPr>
        <w:t xml:space="preserve"> commercial (over 25 kw demand) and</w:t>
      </w:r>
      <w:r>
        <w:rPr>
          <w:color w:val="auto"/>
          <w:sz w:val="26"/>
          <w:szCs w:val="26"/>
        </w:rPr>
        <w:t xml:space="preserve"> small commercial (25 kw and </w:t>
      </w:r>
      <w:r w:rsidR="00503168">
        <w:rPr>
          <w:color w:val="auto"/>
          <w:sz w:val="26"/>
          <w:szCs w:val="26"/>
        </w:rPr>
        <w:t>under demand</w:t>
      </w:r>
      <w:r w:rsidR="0093369B">
        <w:rPr>
          <w:color w:val="auto"/>
          <w:sz w:val="26"/>
          <w:szCs w:val="26"/>
        </w:rPr>
        <w:t>)</w:t>
      </w:r>
      <w:r>
        <w:rPr>
          <w:color w:val="auto"/>
          <w:sz w:val="26"/>
          <w:szCs w:val="26"/>
        </w:rPr>
        <w:t xml:space="preserve"> customers in the service territories of</w:t>
      </w:r>
      <w:r w:rsidR="0058214E">
        <w:rPr>
          <w:color w:val="auto"/>
          <w:sz w:val="26"/>
          <w:szCs w:val="26"/>
        </w:rPr>
        <w:t xml:space="preserve"> PECO Energy Company, PPL Electric Utilities, Penelec, West Penn</w:t>
      </w:r>
      <w:r w:rsidR="00666F2A">
        <w:rPr>
          <w:color w:val="auto"/>
          <w:sz w:val="26"/>
          <w:szCs w:val="26"/>
        </w:rPr>
        <w:t xml:space="preserve"> Power</w:t>
      </w:r>
      <w:r w:rsidR="0058214E">
        <w:rPr>
          <w:color w:val="auto"/>
          <w:sz w:val="26"/>
          <w:szCs w:val="26"/>
        </w:rPr>
        <w:t>, Duquesne, Met-Ed and Penn Power</w:t>
      </w:r>
      <w:r w:rsidR="00925F90">
        <w:rPr>
          <w:color w:val="auto"/>
          <w:sz w:val="26"/>
          <w:szCs w:val="26"/>
        </w:rPr>
        <w:t xml:space="preserve"> </w:t>
      </w:r>
      <w:r w:rsidR="00AF6AFD">
        <w:rPr>
          <w:color w:val="auto"/>
          <w:sz w:val="26"/>
          <w:szCs w:val="26"/>
        </w:rPr>
        <w:t>within</w:t>
      </w:r>
      <w:r>
        <w:rPr>
          <w:color w:val="auto"/>
          <w:sz w:val="26"/>
          <w:szCs w:val="26"/>
        </w:rPr>
        <w:t xml:space="preserve"> the Commonwealth of Pennsylvania.</w:t>
      </w:r>
    </w:p>
    <w:p w:rsidR="005D585C" w:rsidRDefault="0070304B" w:rsidP="005D585C">
      <w:pPr>
        <w:suppressAutoHyphens/>
        <w:spacing w:line="360" w:lineRule="auto"/>
        <w:rPr>
          <w:color w:val="auto"/>
          <w:sz w:val="26"/>
          <w:szCs w:val="26"/>
        </w:rPr>
      </w:pPr>
      <w:r>
        <w:rPr>
          <w:color w:val="auto"/>
          <w:sz w:val="26"/>
          <w:szCs w:val="26"/>
        </w:rPr>
        <w:tab/>
      </w:r>
      <w:r w:rsidR="005D585C">
        <w:rPr>
          <w:color w:val="auto"/>
          <w:sz w:val="26"/>
          <w:szCs w:val="26"/>
        </w:rPr>
        <w:tab/>
      </w:r>
      <w:r w:rsidR="005D585C">
        <w:rPr>
          <w:color w:val="auto"/>
          <w:sz w:val="26"/>
          <w:szCs w:val="26"/>
        </w:rPr>
        <w:tab/>
      </w:r>
    </w:p>
    <w:p w:rsidR="005D585C" w:rsidRPr="00007373" w:rsidRDefault="005D585C" w:rsidP="005D585C">
      <w:pPr>
        <w:suppressAutoHyphens/>
        <w:spacing w:line="360" w:lineRule="auto"/>
        <w:rPr>
          <w:color w:val="auto"/>
          <w:sz w:val="26"/>
          <w:szCs w:val="26"/>
        </w:rPr>
      </w:pPr>
      <w:r w:rsidRPr="00007373">
        <w:rPr>
          <w:color w:val="auto"/>
          <w:sz w:val="26"/>
          <w:szCs w:val="26"/>
        </w:rPr>
        <w:t xml:space="preserve"> </w:t>
      </w:r>
      <w:r w:rsidRPr="00007373">
        <w:rPr>
          <w:color w:val="auto"/>
          <w:sz w:val="26"/>
          <w:szCs w:val="26"/>
        </w:rPr>
        <w:tab/>
      </w:r>
      <w:r w:rsidR="00503168">
        <w:rPr>
          <w:color w:val="auto"/>
          <w:sz w:val="26"/>
          <w:szCs w:val="26"/>
        </w:rPr>
        <w:tab/>
        <w:t>3</w:t>
      </w:r>
      <w:r>
        <w:rPr>
          <w:color w:val="auto"/>
          <w:sz w:val="26"/>
          <w:szCs w:val="26"/>
        </w:rPr>
        <w:t>.</w:t>
      </w:r>
      <w:r>
        <w:rPr>
          <w:color w:val="auto"/>
          <w:sz w:val="26"/>
          <w:szCs w:val="26"/>
        </w:rPr>
        <w:tab/>
      </w:r>
      <w:r w:rsidRPr="00007373">
        <w:rPr>
          <w:color w:val="auto"/>
          <w:sz w:val="26"/>
          <w:szCs w:val="26"/>
        </w:rPr>
        <w:t>That a copy of this Order be served on the Department of Revenue, Bureau of Corporation Taxes.</w:t>
      </w:r>
    </w:p>
    <w:p w:rsidR="005D585C" w:rsidRPr="00371262" w:rsidRDefault="005D585C" w:rsidP="005D585C"/>
    <w:p w:rsidR="005D585C" w:rsidRDefault="00503168" w:rsidP="005D585C">
      <w:pPr>
        <w:suppressAutoHyphens/>
        <w:spacing w:line="360" w:lineRule="auto"/>
        <w:rPr>
          <w:color w:val="auto"/>
          <w:sz w:val="26"/>
          <w:szCs w:val="26"/>
        </w:rPr>
      </w:pPr>
      <w:r>
        <w:rPr>
          <w:color w:val="auto"/>
          <w:sz w:val="26"/>
          <w:szCs w:val="26"/>
        </w:rPr>
        <w:tab/>
      </w:r>
      <w:r>
        <w:rPr>
          <w:color w:val="auto"/>
          <w:sz w:val="26"/>
          <w:szCs w:val="26"/>
        </w:rPr>
        <w:tab/>
        <w:t>4</w:t>
      </w:r>
      <w:r w:rsidR="005D585C">
        <w:rPr>
          <w:color w:val="auto"/>
          <w:sz w:val="26"/>
          <w:szCs w:val="26"/>
        </w:rPr>
        <w:t>.</w:t>
      </w:r>
      <w:r w:rsidR="005D585C">
        <w:rPr>
          <w:color w:val="auto"/>
          <w:sz w:val="26"/>
          <w:szCs w:val="26"/>
        </w:rPr>
        <w:tab/>
        <w:t xml:space="preserve">That this proceeding at Docket No. </w:t>
      </w:r>
      <w:r w:rsidR="00E11459">
        <w:rPr>
          <w:color w:val="auto"/>
        </w:rPr>
        <w:t>A-2011-2268361</w:t>
      </w:r>
      <w:r w:rsidR="005D585C">
        <w:rPr>
          <w:color w:val="auto"/>
        </w:rPr>
        <w:t xml:space="preserve"> </w:t>
      </w:r>
      <w:r w:rsidR="005D585C">
        <w:rPr>
          <w:color w:val="auto"/>
          <w:sz w:val="26"/>
          <w:szCs w:val="26"/>
        </w:rPr>
        <w:t>be closed.</w:t>
      </w:r>
    </w:p>
    <w:p w:rsidR="005D585C" w:rsidRDefault="005D585C" w:rsidP="005D585C">
      <w:pPr>
        <w:tabs>
          <w:tab w:val="left" w:pos="0"/>
        </w:tabs>
        <w:suppressAutoHyphens/>
        <w:spacing w:line="360" w:lineRule="auto"/>
        <w:jc w:val="both"/>
        <w:rPr>
          <w:color w:val="auto"/>
          <w:spacing w:val="-3"/>
          <w:sz w:val="26"/>
          <w:szCs w:val="26"/>
        </w:rPr>
      </w:pPr>
    </w:p>
    <w:p w:rsidR="005D585C" w:rsidRDefault="00B55917" w:rsidP="005D585C">
      <w:pPr>
        <w:tabs>
          <w:tab w:val="left" w:pos="4320"/>
        </w:tabs>
        <w:rPr>
          <w:color w:val="auto"/>
          <w:sz w:val="26"/>
          <w:szCs w:val="26"/>
        </w:rPr>
      </w:pPr>
      <w:r>
        <w:rPr>
          <w:noProof/>
        </w:rPr>
        <w:drawing>
          <wp:anchor distT="0" distB="0" distL="114300" distR="114300" simplePos="0" relativeHeight="251658240" behindDoc="1" locked="0" layoutInCell="1" allowOverlap="1" wp14:anchorId="43DE9F76" wp14:editId="4E98597E">
            <wp:simplePos x="0" y="0"/>
            <wp:positionH relativeFrom="column">
              <wp:posOffset>2609850</wp:posOffset>
            </wp:positionH>
            <wp:positionV relativeFrom="paragraph">
              <wp:posOffset>76835</wp:posOffset>
            </wp:positionV>
            <wp:extent cx="2200275" cy="838200"/>
            <wp:effectExtent l="0" t="0" r="9525" b="0"/>
            <wp:wrapNone/>
            <wp:docPr id="29" name="Picture 29"/>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5D585C">
        <w:rPr>
          <w:color w:val="auto"/>
          <w:sz w:val="26"/>
          <w:szCs w:val="26"/>
        </w:rPr>
        <w:tab/>
      </w:r>
      <w:r w:rsidR="005D585C">
        <w:rPr>
          <w:b/>
          <w:color w:val="auto"/>
          <w:sz w:val="26"/>
          <w:szCs w:val="26"/>
        </w:rPr>
        <w:t>BY THE COMMISSION,</w:t>
      </w:r>
    </w:p>
    <w:p w:rsidR="005D585C" w:rsidRDefault="005D585C" w:rsidP="005D585C">
      <w:pPr>
        <w:tabs>
          <w:tab w:val="left" w:pos="4320"/>
        </w:tabs>
        <w:rPr>
          <w:color w:val="auto"/>
          <w:sz w:val="26"/>
          <w:szCs w:val="26"/>
        </w:rPr>
      </w:pPr>
    </w:p>
    <w:p w:rsidR="005D585C" w:rsidRDefault="005D585C" w:rsidP="005D585C">
      <w:pPr>
        <w:tabs>
          <w:tab w:val="left" w:pos="4320"/>
        </w:tabs>
        <w:rPr>
          <w:color w:val="auto"/>
          <w:sz w:val="26"/>
          <w:szCs w:val="26"/>
        </w:rPr>
      </w:pPr>
    </w:p>
    <w:p w:rsidR="005D585C" w:rsidRDefault="005D585C" w:rsidP="005D585C">
      <w:pPr>
        <w:tabs>
          <w:tab w:val="left" w:pos="4320"/>
        </w:tabs>
        <w:rPr>
          <w:color w:val="auto"/>
          <w:sz w:val="26"/>
          <w:szCs w:val="26"/>
        </w:rPr>
      </w:pPr>
    </w:p>
    <w:p w:rsidR="005D585C" w:rsidRDefault="005D585C" w:rsidP="005D585C">
      <w:pPr>
        <w:tabs>
          <w:tab w:val="left" w:pos="4320"/>
        </w:tabs>
        <w:rPr>
          <w:color w:val="auto"/>
          <w:sz w:val="26"/>
          <w:szCs w:val="26"/>
        </w:rPr>
      </w:pPr>
      <w:r>
        <w:rPr>
          <w:color w:val="auto"/>
          <w:sz w:val="26"/>
          <w:szCs w:val="26"/>
        </w:rPr>
        <w:tab/>
        <w:t>Rosemary Chiavetta</w:t>
      </w:r>
    </w:p>
    <w:p w:rsidR="005D585C" w:rsidRDefault="005D585C" w:rsidP="005D585C">
      <w:pPr>
        <w:tabs>
          <w:tab w:val="left" w:pos="4320"/>
        </w:tabs>
        <w:rPr>
          <w:color w:val="auto"/>
          <w:sz w:val="26"/>
          <w:szCs w:val="26"/>
        </w:rPr>
      </w:pPr>
      <w:r>
        <w:rPr>
          <w:color w:val="auto"/>
          <w:sz w:val="26"/>
          <w:szCs w:val="26"/>
        </w:rPr>
        <w:tab/>
        <w:t>Secretary</w:t>
      </w:r>
    </w:p>
    <w:p w:rsidR="005D585C" w:rsidRDefault="005D585C" w:rsidP="005D585C">
      <w:pPr>
        <w:tabs>
          <w:tab w:val="left" w:pos="4320"/>
        </w:tabs>
        <w:rPr>
          <w:color w:val="auto"/>
          <w:sz w:val="26"/>
          <w:szCs w:val="26"/>
        </w:rPr>
      </w:pPr>
    </w:p>
    <w:p w:rsidR="005D585C" w:rsidRDefault="005D585C" w:rsidP="005D585C">
      <w:pPr>
        <w:tabs>
          <w:tab w:val="left" w:pos="4320"/>
        </w:tabs>
        <w:rPr>
          <w:color w:val="auto"/>
          <w:sz w:val="26"/>
          <w:szCs w:val="26"/>
        </w:rPr>
      </w:pPr>
      <w:r>
        <w:rPr>
          <w:color w:val="auto"/>
          <w:sz w:val="26"/>
          <w:szCs w:val="26"/>
        </w:rPr>
        <w:t>(SEAL)</w:t>
      </w:r>
    </w:p>
    <w:p w:rsidR="005D585C" w:rsidRDefault="005D585C" w:rsidP="005D585C">
      <w:pPr>
        <w:tabs>
          <w:tab w:val="left" w:pos="4320"/>
        </w:tabs>
        <w:rPr>
          <w:color w:val="auto"/>
          <w:sz w:val="26"/>
          <w:szCs w:val="26"/>
        </w:rPr>
      </w:pPr>
    </w:p>
    <w:p w:rsidR="005D585C" w:rsidRDefault="005D585C" w:rsidP="005D585C">
      <w:pPr>
        <w:tabs>
          <w:tab w:val="left" w:pos="4320"/>
        </w:tabs>
        <w:rPr>
          <w:color w:val="auto"/>
          <w:sz w:val="26"/>
          <w:szCs w:val="26"/>
        </w:rPr>
      </w:pPr>
    </w:p>
    <w:p w:rsidR="005D585C" w:rsidRDefault="00503168" w:rsidP="005D585C">
      <w:pPr>
        <w:tabs>
          <w:tab w:val="left" w:pos="4320"/>
        </w:tabs>
        <w:rPr>
          <w:color w:val="auto"/>
          <w:sz w:val="26"/>
          <w:szCs w:val="26"/>
        </w:rPr>
      </w:pPr>
      <w:r>
        <w:rPr>
          <w:color w:val="auto"/>
          <w:sz w:val="26"/>
          <w:szCs w:val="26"/>
        </w:rPr>
        <w:t>ORDER ADOPTED:  December 15</w:t>
      </w:r>
      <w:r w:rsidR="005D585C">
        <w:rPr>
          <w:color w:val="auto"/>
          <w:sz w:val="26"/>
          <w:szCs w:val="26"/>
        </w:rPr>
        <w:t>, 2011</w:t>
      </w:r>
    </w:p>
    <w:p w:rsidR="005D585C" w:rsidRDefault="005D585C" w:rsidP="005D585C">
      <w:pPr>
        <w:tabs>
          <w:tab w:val="left" w:pos="4320"/>
        </w:tabs>
        <w:rPr>
          <w:color w:val="auto"/>
          <w:sz w:val="26"/>
          <w:szCs w:val="26"/>
        </w:rPr>
      </w:pPr>
    </w:p>
    <w:p w:rsidR="005D585C" w:rsidRDefault="005D585C" w:rsidP="005D585C">
      <w:pPr>
        <w:tabs>
          <w:tab w:val="left" w:pos="4320"/>
        </w:tabs>
        <w:rPr>
          <w:color w:val="auto"/>
          <w:sz w:val="26"/>
          <w:szCs w:val="26"/>
        </w:rPr>
      </w:pPr>
      <w:r>
        <w:rPr>
          <w:color w:val="auto"/>
          <w:sz w:val="26"/>
          <w:szCs w:val="26"/>
        </w:rPr>
        <w:t xml:space="preserve">ORDER ENTERED:  </w:t>
      </w:r>
      <w:r w:rsidR="00B55917">
        <w:rPr>
          <w:color w:val="auto"/>
          <w:sz w:val="26"/>
          <w:szCs w:val="26"/>
        </w:rPr>
        <w:t>December 16, 2011</w:t>
      </w:r>
      <w:bookmarkStart w:id="0" w:name="_GoBack"/>
      <w:bookmarkEnd w:id="0"/>
    </w:p>
    <w:sectPr w:rsidR="005D585C" w:rsidSect="002B7B86">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2FA3" w:rsidRDefault="00372FA3" w:rsidP="002B7B86">
      <w:r>
        <w:separator/>
      </w:r>
    </w:p>
  </w:endnote>
  <w:endnote w:type="continuationSeparator" w:id="0">
    <w:p w:rsidR="00372FA3" w:rsidRDefault="00372FA3" w:rsidP="002B7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1411733"/>
      <w:docPartObj>
        <w:docPartGallery w:val="Page Numbers (Bottom of Page)"/>
        <w:docPartUnique/>
      </w:docPartObj>
    </w:sdtPr>
    <w:sdtEndPr>
      <w:rPr>
        <w:noProof/>
      </w:rPr>
    </w:sdtEndPr>
    <w:sdtContent>
      <w:p w:rsidR="002B7B86" w:rsidRDefault="002B7B86">
        <w:pPr>
          <w:pStyle w:val="Footer"/>
          <w:jc w:val="center"/>
        </w:pPr>
        <w:r>
          <w:fldChar w:fldCharType="begin"/>
        </w:r>
        <w:r>
          <w:instrText xml:space="preserve"> PAGE   \* MERGEFORMAT </w:instrText>
        </w:r>
        <w:r>
          <w:fldChar w:fldCharType="separate"/>
        </w:r>
        <w:r w:rsidR="00B55917">
          <w:rPr>
            <w:noProof/>
          </w:rPr>
          <w:t>6</w:t>
        </w:r>
        <w:r>
          <w:rPr>
            <w:noProof/>
          </w:rPr>
          <w:fldChar w:fldCharType="end"/>
        </w:r>
      </w:p>
    </w:sdtContent>
  </w:sdt>
  <w:p w:rsidR="002B7B86" w:rsidRDefault="002B7B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2FA3" w:rsidRDefault="00372FA3" w:rsidP="002B7B86">
      <w:r>
        <w:separator/>
      </w:r>
    </w:p>
  </w:footnote>
  <w:footnote w:type="continuationSeparator" w:id="0">
    <w:p w:rsidR="00372FA3" w:rsidRDefault="00372FA3" w:rsidP="002B7B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F340E2"/>
    <w:multiLevelType w:val="singleLevel"/>
    <w:tmpl w:val="387C36EC"/>
    <w:lvl w:ilvl="0">
      <w:start w:val="1"/>
      <w:numFmt w:val="decimal"/>
      <w:lvlText w:val="%1."/>
      <w:lvlJc w:val="left"/>
      <w:pPr>
        <w:tabs>
          <w:tab w:val="num" w:pos="1080"/>
        </w:tabs>
        <w:ind w:left="10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85C"/>
    <w:rsid w:val="00044D50"/>
    <w:rsid w:val="000A7872"/>
    <w:rsid w:val="000E3B9A"/>
    <w:rsid w:val="000E42B5"/>
    <w:rsid w:val="00173C7F"/>
    <w:rsid w:val="00184F29"/>
    <w:rsid w:val="001D327C"/>
    <w:rsid w:val="001E0D1F"/>
    <w:rsid w:val="002921FE"/>
    <w:rsid w:val="002A225C"/>
    <w:rsid w:val="002B7B86"/>
    <w:rsid w:val="002C433B"/>
    <w:rsid w:val="002F5F6C"/>
    <w:rsid w:val="00346137"/>
    <w:rsid w:val="00372FA3"/>
    <w:rsid w:val="003F13B3"/>
    <w:rsid w:val="0042169F"/>
    <w:rsid w:val="004B73E7"/>
    <w:rsid w:val="004C6E6A"/>
    <w:rsid w:val="00503168"/>
    <w:rsid w:val="00515D86"/>
    <w:rsid w:val="0058214E"/>
    <w:rsid w:val="005D585C"/>
    <w:rsid w:val="005E301E"/>
    <w:rsid w:val="006122EE"/>
    <w:rsid w:val="00666F2A"/>
    <w:rsid w:val="006E7402"/>
    <w:rsid w:val="0070304B"/>
    <w:rsid w:val="00732170"/>
    <w:rsid w:val="00761569"/>
    <w:rsid w:val="00783969"/>
    <w:rsid w:val="007F4B1E"/>
    <w:rsid w:val="008145C1"/>
    <w:rsid w:val="00831679"/>
    <w:rsid w:val="008609A7"/>
    <w:rsid w:val="00860CB6"/>
    <w:rsid w:val="008F2895"/>
    <w:rsid w:val="00907F91"/>
    <w:rsid w:val="00925F90"/>
    <w:rsid w:val="0093369B"/>
    <w:rsid w:val="00933A69"/>
    <w:rsid w:val="00940822"/>
    <w:rsid w:val="009E15C2"/>
    <w:rsid w:val="009F2560"/>
    <w:rsid w:val="00A86FF0"/>
    <w:rsid w:val="00AA58B4"/>
    <w:rsid w:val="00AF6AFD"/>
    <w:rsid w:val="00B55917"/>
    <w:rsid w:val="00B67403"/>
    <w:rsid w:val="00B80B10"/>
    <w:rsid w:val="00B84E07"/>
    <w:rsid w:val="00BC5820"/>
    <w:rsid w:val="00BE3163"/>
    <w:rsid w:val="00C61A8A"/>
    <w:rsid w:val="00CB3734"/>
    <w:rsid w:val="00CC60F4"/>
    <w:rsid w:val="00CF0911"/>
    <w:rsid w:val="00D0782D"/>
    <w:rsid w:val="00D425C8"/>
    <w:rsid w:val="00D65A45"/>
    <w:rsid w:val="00DC32B8"/>
    <w:rsid w:val="00E11459"/>
    <w:rsid w:val="00E67844"/>
    <w:rsid w:val="00E70B3E"/>
    <w:rsid w:val="00E80B13"/>
    <w:rsid w:val="00E92AAD"/>
    <w:rsid w:val="00E96A67"/>
    <w:rsid w:val="00F35805"/>
    <w:rsid w:val="00F86C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585C"/>
    <w:pPr>
      <w:spacing w:after="0" w:line="240" w:lineRule="auto"/>
    </w:pPr>
    <w:rPr>
      <w:rFonts w:ascii="Times New Roman" w:eastAsia="Times New Roman" w:hAnsi="Times New Roman" w:cs="Times New Roman"/>
      <w:color w:val="0000FF"/>
      <w:sz w:val="24"/>
      <w:szCs w:val="20"/>
    </w:rPr>
  </w:style>
  <w:style w:type="paragraph" w:styleId="Heading1">
    <w:name w:val="heading 1"/>
    <w:basedOn w:val="Normal"/>
    <w:next w:val="Normal"/>
    <w:link w:val="Heading1Char"/>
    <w:qFormat/>
    <w:rsid w:val="005D585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D585C"/>
    <w:rPr>
      <w:rFonts w:ascii="Times New Roman" w:eastAsia="Times New Roman" w:hAnsi="Times New Roman" w:cs="Times New Roman"/>
      <w:b/>
      <w:color w:val="0000FF"/>
      <w:sz w:val="26"/>
      <w:szCs w:val="20"/>
    </w:rPr>
  </w:style>
  <w:style w:type="paragraph" w:styleId="BodyText">
    <w:name w:val="Body Text"/>
    <w:basedOn w:val="Normal"/>
    <w:link w:val="BodyTextChar"/>
    <w:semiHidden/>
    <w:unhideWhenUsed/>
    <w:rsid w:val="005D585C"/>
    <w:pPr>
      <w:tabs>
        <w:tab w:val="left" w:pos="0"/>
      </w:tabs>
      <w:suppressAutoHyphens/>
      <w:spacing w:line="480" w:lineRule="auto"/>
    </w:pPr>
    <w:rPr>
      <w:spacing w:val="-3"/>
      <w:kern w:val="2"/>
      <w:sz w:val="26"/>
    </w:rPr>
  </w:style>
  <w:style w:type="character" w:customStyle="1" w:styleId="BodyTextChar">
    <w:name w:val="Body Text Char"/>
    <w:basedOn w:val="DefaultParagraphFont"/>
    <w:link w:val="BodyText"/>
    <w:semiHidden/>
    <w:rsid w:val="005D585C"/>
    <w:rPr>
      <w:rFonts w:ascii="Times New Roman" w:eastAsia="Times New Roman" w:hAnsi="Times New Roman" w:cs="Times New Roman"/>
      <w:color w:val="0000FF"/>
      <w:spacing w:val="-3"/>
      <w:kern w:val="2"/>
      <w:sz w:val="26"/>
      <w:szCs w:val="20"/>
    </w:rPr>
  </w:style>
  <w:style w:type="paragraph" w:styleId="BodyText2">
    <w:name w:val="Body Text 2"/>
    <w:basedOn w:val="Normal"/>
    <w:link w:val="BodyText2Char"/>
    <w:semiHidden/>
    <w:unhideWhenUsed/>
    <w:rsid w:val="005D585C"/>
    <w:pPr>
      <w:tabs>
        <w:tab w:val="left" w:pos="0"/>
        <w:tab w:val="left" w:pos="1440"/>
      </w:tabs>
      <w:suppressAutoHyphens/>
      <w:spacing w:line="360" w:lineRule="auto"/>
      <w:jc w:val="both"/>
    </w:pPr>
    <w:rPr>
      <w:sz w:val="26"/>
    </w:rPr>
  </w:style>
  <w:style w:type="character" w:customStyle="1" w:styleId="BodyText2Char">
    <w:name w:val="Body Text 2 Char"/>
    <w:basedOn w:val="DefaultParagraphFont"/>
    <w:link w:val="BodyText2"/>
    <w:semiHidden/>
    <w:rsid w:val="005D585C"/>
    <w:rPr>
      <w:rFonts w:ascii="Times New Roman" w:eastAsia="Times New Roman" w:hAnsi="Times New Roman" w:cs="Times New Roman"/>
      <w:color w:val="0000FF"/>
      <w:sz w:val="26"/>
      <w:szCs w:val="20"/>
    </w:rPr>
  </w:style>
  <w:style w:type="paragraph" w:styleId="BodyTextIndent2">
    <w:name w:val="Body Text Indent 2"/>
    <w:basedOn w:val="Normal"/>
    <w:link w:val="BodyTextIndent2Char"/>
    <w:unhideWhenUsed/>
    <w:rsid w:val="005D585C"/>
    <w:pPr>
      <w:ind w:left="720"/>
      <w:jc w:val="center"/>
    </w:pPr>
    <w:rPr>
      <w:sz w:val="26"/>
    </w:rPr>
  </w:style>
  <w:style w:type="character" w:customStyle="1" w:styleId="BodyTextIndent2Char">
    <w:name w:val="Body Text Indent 2 Char"/>
    <w:basedOn w:val="DefaultParagraphFont"/>
    <w:link w:val="BodyTextIndent2"/>
    <w:rsid w:val="005D585C"/>
    <w:rPr>
      <w:rFonts w:ascii="Times New Roman" w:eastAsia="Times New Roman" w:hAnsi="Times New Roman" w:cs="Times New Roman"/>
      <w:color w:val="0000FF"/>
      <w:sz w:val="26"/>
      <w:szCs w:val="20"/>
    </w:rPr>
  </w:style>
  <w:style w:type="paragraph" w:styleId="BlockText">
    <w:name w:val="Block Text"/>
    <w:basedOn w:val="Normal"/>
    <w:unhideWhenUsed/>
    <w:rsid w:val="005D585C"/>
    <w:pPr>
      <w:tabs>
        <w:tab w:val="left" w:pos="0"/>
      </w:tabs>
      <w:suppressAutoHyphens/>
      <w:ind w:left="720" w:right="1440" w:hanging="720"/>
      <w:jc w:val="both"/>
    </w:pPr>
    <w:rPr>
      <w:spacing w:val="-3"/>
      <w:kern w:val="2"/>
      <w:sz w:val="26"/>
    </w:rPr>
  </w:style>
  <w:style w:type="paragraph" w:styleId="Header">
    <w:name w:val="header"/>
    <w:basedOn w:val="Normal"/>
    <w:link w:val="HeaderChar"/>
    <w:uiPriority w:val="99"/>
    <w:unhideWhenUsed/>
    <w:rsid w:val="002B7B86"/>
    <w:pPr>
      <w:tabs>
        <w:tab w:val="center" w:pos="4680"/>
        <w:tab w:val="right" w:pos="9360"/>
      </w:tabs>
    </w:pPr>
  </w:style>
  <w:style w:type="character" w:customStyle="1" w:styleId="HeaderChar">
    <w:name w:val="Header Char"/>
    <w:basedOn w:val="DefaultParagraphFont"/>
    <w:link w:val="Header"/>
    <w:uiPriority w:val="99"/>
    <w:rsid w:val="002B7B86"/>
    <w:rPr>
      <w:rFonts w:ascii="Times New Roman" w:eastAsia="Times New Roman" w:hAnsi="Times New Roman" w:cs="Times New Roman"/>
      <w:color w:val="0000FF"/>
      <w:sz w:val="24"/>
      <w:szCs w:val="20"/>
    </w:rPr>
  </w:style>
  <w:style w:type="paragraph" w:styleId="Footer">
    <w:name w:val="footer"/>
    <w:basedOn w:val="Normal"/>
    <w:link w:val="FooterChar"/>
    <w:uiPriority w:val="99"/>
    <w:unhideWhenUsed/>
    <w:rsid w:val="002B7B86"/>
    <w:pPr>
      <w:tabs>
        <w:tab w:val="center" w:pos="4680"/>
        <w:tab w:val="right" w:pos="9360"/>
      </w:tabs>
    </w:pPr>
  </w:style>
  <w:style w:type="character" w:customStyle="1" w:styleId="FooterChar">
    <w:name w:val="Footer Char"/>
    <w:basedOn w:val="DefaultParagraphFont"/>
    <w:link w:val="Footer"/>
    <w:uiPriority w:val="99"/>
    <w:rsid w:val="002B7B86"/>
    <w:rPr>
      <w:rFonts w:ascii="Times New Roman" w:eastAsia="Times New Roman" w:hAnsi="Times New Roman" w:cs="Times New Roman"/>
      <w:color w:val="0000FF"/>
      <w:sz w:val="24"/>
      <w:szCs w:val="20"/>
    </w:rPr>
  </w:style>
  <w:style w:type="character" w:styleId="Strong">
    <w:name w:val="Strong"/>
    <w:basedOn w:val="DefaultParagraphFont"/>
    <w:uiPriority w:val="22"/>
    <w:qFormat/>
    <w:rsid w:val="002921FE"/>
    <w:rPr>
      <w:b/>
      <w:bCs/>
    </w:rPr>
  </w:style>
  <w:style w:type="paragraph" w:styleId="BalloonText">
    <w:name w:val="Balloon Text"/>
    <w:basedOn w:val="Normal"/>
    <w:link w:val="BalloonTextChar"/>
    <w:uiPriority w:val="99"/>
    <w:semiHidden/>
    <w:unhideWhenUsed/>
    <w:rsid w:val="00B55917"/>
    <w:rPr>
      <w:rFonts w:ascii="Tahoma" w:hAnsi="Tahoma" w:cs="Tahoma"/>
      <w:sz w:val="16"/>
      <w:szCs w:val="16"/>
    </w:rPr>
  </w:style>
  <w:style w:type="character" w:customStyle="1" w:styleId="BalloonTextChar">
    <w:name w:val="Balloon Text Char"/>
    <w:basedOn w:val="DefaultParagraphFont"/>
    <w:link w:val="BalloonText"/>
    <w:uiPriority w:val="99"/>
    <w:semiHidden/>
    <w:rsid w:val="00B55917"/>
    <w:rPr>
      <w:rFonts w:ascii="Tahoma" w:eastAsia="Times New Roman" w:hAnsi="Tahoma" w:cs="Tahoma"/>
      <w:color w:val="0000FF"/>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585C"/>
    <w:pPr>
      <w:spacing w:after="0" w:line="240" w:lineRule="auto"/>
    </w:pPr>
    <w:rPr>
      <w:rFonts w:ascii="Times New Roman" w:eastAsia="Times New Roman" w:hAnsi="Times New Roman" w:cs="Times New Roman"/>
      <w:color w:val="0000FF"/>
      <w:sz w:val="24"/>
      <w:szCs w:val="20"/>
    </w:rPr>
  </w:style>
  <w:style w:type="paragraph" w:styleId="Heading1">
    <w:name w:val="heading 1"/>
    <w:basedOn w:val="Normal"/>
    <w:next w:val="Normal"/>
    <w:link w:val="Heading1Char"/>
    <w:qFormat/>
    <w:rsid w:val="005D585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D585C"/>
    <w:rPr>
      <w:rFonts w:ascii="Times New Roman" w:eastAsia="Times New Roman" w:hAnsi="Times New Roman" w:cs="Times New Roman"/>
      <w:b/>
      <w:color w:val="0000FF"/>
      <w:sz w:val="26"/>
      <w:szCs w:val="20"/>
    </w:rPr>
  </w:style>
  <w:style w:type="paragraph" w:styleId="BodyText">
    <w:name w:val="Body Text"/>
    <w:basedOn w:val="Normal"/>
    <w:link w:val="BodyTextChar"/>
    <w:semiHidden/>
    <w:unhideWhenUsed/>
    <w:rsid w:val="005D585C"/>
    <w:pPr>
      <w:tabs>
        <w:tab w:val="left" w:pos="0"/>
      </w:tabs>
      <w:suppressAutoHyphens/>
      <w:spacing w:line="480" w:lineRule="auto"/>
    </w:pPr>
    <w:rPr>
      <w:spacing w:val="-3"/>
      <w:kern w:val="2"/>
      <w:sz w:val="26"/>
    </w:rPr>
  </w:style>
  <w:style w:type="character" w:customStyle="1" w:styleId="BodyTextChar">
    <w:name w:val="Body Text Char"/>
    <w:basedOn w:val="DefaultParagraphFont"/>
    <w:link w:val="BodyText"/>
    <w:semiHidden/>
    <w:rsid w:val="005D585C"/>
    <w:rPr>
      <w:rFonts w:ascii="Times New Roman" w:eastAsia="Times New Roman" w:hAnsi="Times New Roman" w:cs="Times New Roman"/>
      <w:color w:val="0000FF"/>
      <w:spacing w:val="-3"/>
      <w:kern w:val="2"/>
      <w:sz w:val="26"/>
      <w:szCs w:val="20"/>
    </w:rPr>
  </w:style>
  <w:style w:type="paragraph" w:styleId="BodyText2">
    <w:name w:val="Body Text 2"/>
    <w:basedOn w:val="Normal"/>
    <w:link w:val="BodyText2Char"/>
    <w:semiHidden/>
    <w:unhideWhenUsed/>
    <w:rsid w:val="005D585C"/>
    <w:pPr>
      <w:tabs>
        <w:tab w:val="left" w:pos="0"/>
        <w:tab w:val="left" w:pos="1440"/>
      </w:tabs>
      <w:suppressAutoHyphens/>
      <w:spacing w:line="360" w:lineRule="auto"/>
      <w:jc w:val="both"/>
    </w:pPr>
    <w:rPr>
      <w:sz w:val="26"/>
    </w:rPr>
  </w:style>
  <w:style w:type="character" w:customStyle="1" w:styleId="BodyText2Char">
    <w:name w:val="Body Text 2 Char"/>
    <w:basedOn w:val="DefaultParagraphFont"/>
    <w:link w:val="BodyText2"/>
    <w:semiHidden/>
    <w:rsid w:val="005D585C"/>
    <w:rPr>
      <w:rFonts w:ascii="Times New Roman" w:eastAsia="Times New Roman" w:hAnsi="Times New Roman" w:cs="Times New Roman"/>
      <w:color w:val="0000FF"/>
      <w:sz w:val="26"/>
      <w:szCs w:val="20"/>
    </w:rPr>
  </w:style>
  <w:style w:type="paragraph" w:styleId="BodyTextIndent2">
    <w:name w:val="Body Text Indent 2"/>
    <w:basedOn w:val="Normal"/>
    <w:link w:val="BodyTextIndent2Char"/>
    <w:unhideWhenUsed/>
    <w:rsid w:val="005D585C"/>
    <w:pPr>
      <w:ind w:left="720"/>
      <w:jc w:val="center"/>
    </w:pPr>
    <w:rPr>
      <w:sz w:val="26"/>
    </w:rPr>
  </w:style>
  <w:style w:type="character" w:customStyle="1" w:styleId="BodyTextIndent2Char">
    <w:name w:val="Body Text Indent 2 Char"/>
    <w:basedOn w:val="DefaultParagraphFont"/>
    <w:link w:val="BodyTextIndent2"/>
    <w:rsid w:val="005D585C"/>
    <w:rPr>
      <w:rFonts w:ascii="Times New Roman" w:eastAsia="Times New Roman" w:hAnsi="Times New Roman" w:cs="Times New Roman"/>
      <w:color w:val="0000FF"/>
      <w:sz w:val="26"/>
      <w:szCs w:val="20"/>
    </w:rPr>
  </w:style>
  <w:style w:type="paragraph" w:styleId="BlockText">
    <w:name w:val="Block Text"/>
    <w:basedOn w:val="Normal"/>
    <w:unhideWhenUsed/>
    <w:rsid w:val="005D585C"/>
    <w:pPr>
      <w:tabs>
        <w:tab w:val="left" w:pos="0"/>
      </w:tabs>
      <w:suppressAutoHyphens/>
      <w:ind w:left="720" w:right="1440" w:hanging="720"/>
      <w:jc w:val="both"/>
    </w:pPr>
    <w:rPr>
      <w:spacing w:val="-3"/>
      <w:kern w:val="2"/>
      <w:sz w:val="26"/>
    </w:rPr>
  </w:style>
  <w:style w:type="paragraph" w:styleId="Header">
    <w:name w:val="header"/>
    <w:basedOn w:val="Normal"/>
    <w:link w:val="HeaderChar"/>
    <w:uiPriority w:val="99"/>
    <w:unhideWhenUsed/>
    <w:rsid w:val="002B7B86"/>
    <w:pPr>
      <w:tabs>
        <w:tab w:val="center" w:pos="4680"/>
        <w:tab w:val="right" w:pos="9360"/>
      </w:tabs>
    </w:pPr>
  </w:style>
  <w:style w:type="character" w:customStyle="1" w:styleId="HeaderChar">
    <w:name w:val="Header Char"/>
    <w:basedOn w:val="DefaultParagraphFont"/>
    <w:link w:val="Header"/>
    <w:uiPriority w:val="99"/>
    <w:rsid w:val="002B7B86"/>
    <w:rPr>
      <w:rFonts w:ascii="Times New Roman" w:eastAsia="Times New Roman" w:hAnsi="Times New Roman" w:cs="Times New Roman"/>
      <w:color w:val="0000FF"/>
      <w:sz w:val="24"/>
      <w:szCs w:val="20"/>
    </w:rPr>
  </w:style>
  <w:style w:type="paragraph" w:styleId="Footer">
    <w:name w:val="footer"/>
    <w:basedOn w:val="Normal"/>
    <w:link w:val="FooterChar"/>
    <w:uiPriority w:val="99"/>
    <w:unhideWhenUsed/>
    <w:rsid w:val="002B7B86"/>
    <w:pPr>
      <w:tabs>
        <w:tab w:val="center" w:pos="4680"/>
        <w:tab w:val="right" w:pos="9360"/>
      </w:tabs>
    </w:pPr>
  </w:style>
  <w:style w:type="character" w:customStyle="1" w:styleId="FooterChar">
    <w:name w:val="Footer Char"/>
    <w:basedOn w:val="DefaultParagraphFont"/>
    <w:link w:val="Footer"/>
    <w:uiPriority w:val="99"/>
    <w:rsid w:val="002B7B86"/>
    <w:rPr>
      <w:rFonts w:ascii="Times New Roman" w:eastAsia="Times New Roman" w:hAnsi="Times New Roman" w:cs="Times New Roman"/>
      <w:color w:val="0000FF"/>
      <w:sz w:val="24"/>
      <w:szCs w:val="20"/>
    </w:rPr>
  </w:style>
  <w:style w:type="character" w:styleId="Strong">
    <w:name w:val="Strong"/>
    <w:basedOn w:val="DefaultParagraphFont"/>
    <w:uiPriority w:val="22"/>
    <w:qFormat/>
    <w:rsid w:val="002921FE"/>
    <w:rPr>
      <w:b/>
      <w:bCs/>
    </w:rPr>
  </w:style>
  <w:style w:type="paragraph" w:styleId="BalloonText">
    <w:name w:val="Balloon Text"/>
    <w:basedOn w:val="Normal"/>
    <w:link w:val="BalloonTextChar"/>
    <w:uiPriority w:val="99"/>
    <w:semiHidden/>
    <w:unhideWhenUsed/>
    <w:rsid w:val="00B55917"/>
    <w:rPr>
      <w:rFonts w:ascii="Tahoma" w:hAnsi="Tahoma" w:cs="Tahoma"/>
      <w:sz w:val="16"/>
      <w:szCs w:val="16"/>
    </w:rPr>
  </w:style>
  <w:style w:type="character" w:customStyle="1" w:styleId="BalloonTextChar">
    <w:name w:val="Balloon Text Char"/>
    <w:basedOn w:val="DefaultParagraphFont"/>
    <w:link w:val="BalloonText"/>
    <w:uiPriority w:val="99"/>
    <w:semiHidden/>
    <w:rsid w:val="00B55917"/>
    <w:rPr>
      <w:rFonts w:ascii="Tahoma" w:eastAsia="Times New Roman" w:hAnsi="Tahoma" w:cs="Tahoma"/>
      <w:color w:val="0000F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6</Pages>
  <Words>1415</Words>
  <Characters>8070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9467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kgermick</dc:creator>
  <cp:lastModifiedBy>Hinds, Margaret</cp:lastModifiedBy>
  <cp:revision>13</cp:revision>
  <cp:lastPrinted>2011-12-16T14:52:00Z</cp:lastPrinted>
  <dcterms:created xsi:type="dcterms:W3CDTF">2011-11-28T16:32:00Z</dcterms:created>
  <dcterms:modified xsi:type="dcterms:W3CDTF">2011-12-16T14:52:00Z</dcterms:modified>
</cp:coreProperties>
</file>