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2C" w:rsidRDefault="0035562C" w:rsidP="0035562C">
      <w:pPr>
        <w:spacing w:line="240" w:lineRule="auto"/>
        <w:contextualSpacing/>
        <w:rPr>
          <w:b/>
        </w:rPr>
      </w:pPr>
      <w:r>
        <w:rPr>
          <w:b/>
        </w:rPr>
        <w:t>BEFORE THE</w:t>
      </w:r>
    </w:p>
    <w:p w:rsidR="0035562C" w:rsidRDefault="0035562C" w:rsidP="0035562C">
      <w:pPr>
        <w:spacing w:line="240" w:lineRule="auto"/>
        <w:contextualSpacing/>
        <w:rPr>
          <w:b/>
        </w:rPr>
      </w:pPr>
      <w:r>
        <w:rPr>
          <w:b/>
        </w:rPr>
        <w:t>PENNSYLVANIA PUBLIC UTILITY COMMISSION</w:t>
      </w:r>
    </w:p>
    <w:p w:rsidR="0035562C" w:rsidRDefault="0035562C" w:rsidP="0035562C">
      <w:pPr>
        <w:spacing w:line="240" w:lineRule="auto"/>
        <w:contextualSpacing/>
        <w:rPr>
          <w:b/>
        </w:rPr>
      </w:pPr>
    </w:p>
    <w:p w:rsidR="0035562C" w:rsidRDefault="0035562C" w:rsidP="0035562C">
      <w:pPr>
        <w:spacing w:line="240" w:lineRule="auto"/>
        <w:contextualSpacing/>
        <w:rPr>
          <w:b/>
        </w:rPr>
      </w:pPr>
    </w:p>
    <w:p w:rsidR="0035562C" w:rsidRDefault="0035562C" w:rsidP="0035562C">
      <w:pPr>
        <w:spacing w:line="240" w:lineRule="auto"/>
        <w:contextualSpacing/>
        <w:jc w:val="left"/>
      </w:pPr>
      <w:r>
        <w:t>William R. Lloyd, Jr</w:t>
      </w:r>
      <w:proofErr w:type="gramStart"/>
      <w:r>
        <w:t xml:space="preserve">., </w:t>
      </w:r>
      <w:r>
        <w:tab/>
      </w:r>
      <w:r>
        <w:tab/>
      </w:r>
      <w:r>
        <w:tab/>
        <w:t>:</w:t>
      </w:r>
      <w:proofErr w:type="gramEnd"/>
    </w:p>
    <w:p w:rsidR="0035562C" w:rsidRDefault="0035562C" w:rsidP="0035562C">
      <w:pPr>
        <w:spacing w:line="240" w:lineRule="auto"/>
        <w:contextualSpacing/>
        <w:jc w:val="left"/>
      </w:pPr>
      <w:r>
        <w:t>Small Business Advocate</w:t>
      </w:r>
      <w:r>
        <w:tab/>
      </w:r>
      <w:r>
        <w:tab/>
      </w:r>
      <w:r>
        <w:tab/>
        <w:t>:</w:t>
      </w:r>
    </w:p>
    <w:p w:rsidR="0035562C" w:rsidRDefault="0035562C" w:rsidP="0035562C">
      <w:pPr>
        <w:spacing w:line="240" w:lineRule="auto"/>
        <w:contextualSpacing/>
        <w:jc w:val="left"/>
      </w:pPr>
      <w:r>
        <w:tab/>
      </w:r>
      <w:r>
        <w:tab/>
      </w:r>
      <w:r>
        <w:tab/>
      </w:r>
      <w:r>
        <w:tab/>
      </w:r>
      <w:r>
        <w:tab/>
      </w:r>
      <w:r>
        <w:tab/>
        <w:t>:</w:t>
      </w:r>
    </w:p>
    <w:p w:rsidR="0035562C" w:rsidRDefault="0035562C" w:rsidP="0035562C">
      <w:pPr>
        <w:spacing w:line="240" w:lineRule="auto"/>
        <w:contextualSpacing/>
        <w:jc w:val="left"/>
      </w:pPr>
      <w:r>
        <w:tab/>
        <w:t>v.</w:t>
      </w:r>
      <w:r>
        <w:tab/>
      </w:r>
      <w:r>
        <w:tab/>
      </w:r>
      <w:r>
        <w:tab/>
      </w:r>
      <w:r>
        <w:tab/>
      </w:r>
      <w:r>
        <w:tab/>
        <w:t>:</w:t>
      </w:r>
      <w:r>
        <w:tab/>
      </w:r>
      <w:r>
        <w:tab/>
      </w:r>
      <w:r>
        <w:tab/>
        <w:t>C-2011-2245906</w:t>
      </w:r>
    </w:p>
    <w:p w:rsidR="0035562C" w:rsidRDefault="0035562C" w:rsidP="0035562C">
      <w:pPr>
        <w:spacing w:line="240" w:lineRule="auto"/>
        <w:contextualSpacing/>
        <w:jc w:val="left"/>
      </w:pPr>
      <w:r>
        <w:tab/>
      </w:r>
      <w:r>
        <w:tab/>
      </w:r>
      <w:r>
        <w:tab/>
      </w:r>
      <w:r>
        <w:tab/>
      </w:r>
      <w:r>
        <w:tab/>
      </w:r>
      <w:r>
        <w:tab/>
        <w:t>:</w:t>
      </w:r>
    </w:p>
    <w:p w:rsidR="0035562C" w:rsidRDefault="0035562C" w:rsidP="0035562C">
      <w:pPr>
        <w:spacing w:line="240" w:lineRule="auto"/>
        <w:contextualSpacing/>
        <w:jc w:val="left"/>
      </w:pPr>
      <w:r>
        <w:t>PPL Electric Utilities Corporation</w:t>
      </w:r>
      <w:r>
        <w:tab/>
      </w:r>
      <w:r>
        <w:tab/>
        <w:t>:</w:t>
      </w:r>
    </w:p>
    <w:p w:rsidR="0035562C" w:rsidRDefault="0035562C" w:rsidP="0035562C">
      <w:pPr>
        <w:spacing w:line="240" w:lineRule="auto"/>
        <w:contextualSpacing/>
        <w:jc w:val="left"/>
      </w:pPr>
    </w:p>
    <w:p w:rsidR="0035562C" w:rsidRDefault="0035562C" w:rsidP="0035562C">
      <w:pPr>
        <w:spacing w:line="240" w:lineRule="auto"/>
        <w:contextualSpacing/>
        <w:jc w:val="left"/>
      </w:pPr>
      <w:r>
        <w:t>PPL Electric Utilities Corporation</w:t>
      </w:r>
      <w:r>
        <w:tab/>
      </w:r>
      <w:r>
        <w:tab/>
        <w:t>:</w:t>
      </w:r>
    </w:p>
    <w:p w:rsidR="0035562C" w:rsidRDefault="0035562C" w:rsidP="0035562C">
      <w:pPr>
        <w:spacing w:line="240" w:lineRule="auto"/>
        <w:contextualSpacing/>
        <w:jc w:val="left"/>
      </w:pPr>
      <w:r>
        <w:t>Proposed Generation Supply Charge-1</w:t>
      </w:r>
      <w:r>
        <w:tab/>
        <w:t>:</w:t>
      </w:r>
      <w:r>
        <w:tab/>
      </w:r>
      <w:r>
        <w:tab/>
      </w:r>
      <w:r>
        <w:tab/>
        <w:t>M-2011-2243137</w:t>
      </w:r>
    </w:p>
    <w:p w:rsidR="0035562C" w:rsidRDefault="0035562C" w:rsidP="0035562C">
      <w:pPr>
        <w:spacing w:line="240" w:lineRule="auto"/>
        <w:contextualSpacing/>
        <w:jc w:val="left"/>
      </w:pPr>
      <w:r>
        <w:t xml:space="preserve">For the period June 1, 2011 </w:t>
      </w:r>
      <w:r>
        <w:tab/>
      </w:r>
      <w:r>
        <w:tab/>
      </w:r>
      <w:r>
        <w:tab/>
        <w:t>:</w:t>
      </w:r>
    </w:p>
    <w:p w:rsidR="0035562C" w:rsidRDefault="0035562C" w:rsidP="0035562C">
      <w:pPr>
        <w:spacing w:line="240" w:lineRule="auto"/>
        <w:contextualSpacing/>
        <w:jc w:val="left"/>
      </w:pPr>
      <w:r>
        <w:t>Through August 31, 2011</w:t>
      </w:r>
      <w:r>
        <w:tab/>
      </w:r>
      <w:r>
        <w:tab/>
      </w:r>
      <w:r>
        <w:tab/>
        <w:t>:</w:t>
      </w:r>
    </w:p>
    <w:p w:rsidR="0035562C" w:rsidRDefault="0035562C" w:rsidP="0035562C">
      <w:pPr>
        <w:spacing w:line="240" w:lineRule="auto"/>
        <w:contextualSpacing/>
        <w:jc w:val="left"/>
      </w:pPr>
    </w:p>
    <w:p w:rsidR="0035562C" w:rsidRDefault="0035562C" w:rsidP="0035562C">
      <w:pPr>
        <w:spacing w:line="240" w:lineRule="auto"/>
        <w:contextualSpacing/>
        <w:jc w:val="left"/>
      </w:pPr>
    </w:p>
    <w:p w:rsidR="0035562C" w:rsidRDefault="0035562C" w:rsidP="0035562C">
      <w:pPr>
        <w:spacing w:line="240" w:lineRule="auto"/>
        <w:contextualSpacing/>
        <w:rPr>
          <w:b/>
        </w:rPr>
      </w:pPr>
      <w:r>
        <w:rPr>
          <w:b/>
        </w:rPr>
        <w:t xml:space="preserve">ORDER GRANTING MOTION TO STRIKE </w:t>
      </w:r>
    </w:p>
    <w:p w:rsidR="0035562C" w:rsidRDefault="0035562C" w:rsidP="0035562C">
      <w:pPr>
        <w:spacing w:line="240" w:lineRule="auto"/>
        <w:contextualSpacing/>
      </w:pPr>
    </w:p>
    <w:p w:rsidR="0035562C" w:rsidRDefault="0035562C" w:rsidP="0035562C">
      <w:pPr>
        <w:spacing w:line="240" w:lineRule="auto"/>
        <w:contextualSpacing/>
      </w:pPr>
    </w:p>
    <w:p w:rsidR="0035562C" w:rsidRDefault="0035562C" w:rsidP="0035562C">
      <w:pPr>
        <w:contextualSpacing/>
        <w:jc w:val="left"/>
      </w:pPr>
      <w:r>
        <w:tab/>
      </w:r>
      <w:r>
        <w:tab/>
        <w:t>The purpose of this Order is to: (1) grant the PPL Electric Motion to Strike Certain Portions of the Reply Brief of the Office of Small Business Advocate, and (2) grant the OSBA Motion to Reopen the Record for admittance of unopposed exhibits.</w:t>
      </w:r>
    </w:p>
    <w:p w:rsidR="0035562C" w:rsidRDefault="0035562C" w:rsidP="0035562C">
      <w:pPr>
        <w:spacing w:line="240" w:lineRule="auto"/>
        <w:contextualSpacing/>
      </w:pPr>
    </w:p>
    <w:p w:rsidR="0035562C" w:rsidRDefault="0035562C" w:rsidP="0035562C">
      <w:pPr>
        <w:spacing w:line="240" w:lineRule="auto"/>
        <w:contextualSpacing/>
        <w:rPr>
          <w:u w:val="single"/>
        </w:rPr>
      </w:pPr>
      <w:r>
        <w:rPr>
          <w:u w:val="single"/>
        </w:rPr>
        <w:t>HISTORY OF THE PROCEEDING</w:t>
      </w:r>
    </w:p>
    <w:p w:rsidR="0035562C" w:rsidRDefault="0035562C" w:rsidP="0035562C">
      <w:pPr>
        <w:spacing w:line="240" w:lineRule="auto"/>
        <w:contextualSpacing/>
        <w:rPr>
          <w:u w:val="single"/>
        </w:rPr>
      </w:pPr>
    </w:p>
    <w:p w:rsidR="0035562C" w:rsidRDefault="0035562C" w:rsidP="0035562C">
      <w:pPr>
        <w:spacing w:line="240" w:lineRule="auto"/>
        <w:contextualSpacing/>
        <w:rPr>
          <w:u w:val="single"/>
        </w:rPr>
      </w:pPr>
    </w:p>
    <w:p w:rsidR="0035562C" w:rsidRDefault="0035562C" w:rsidP="0035562C">
      <w:pPr>
        <w:contextualSpacing/>
        <w:jc w:val="left"/>
      </w:pPr>
      <w:r>
        <w:tab/>
      </w:r>
      <w:r>
        <w:tab/>
        <w:t>This subject of this case is a Complaint filed by the Office of Small Business Advocate (OSBA) against a Section 1307(e) reconciliation filed by PPL Electric Utilities Corporation (PPL Electric or Company) for its Generation Supply Charge – 1 for the period June 1, 2011 through August 31, 2011.  The generation supply charge was instituted in accordance with the Company's Competitive Bridge Plan (CBP) which was the plan to provide default service for calendar year 2010.  The GSC would be the mechanism for recovery and quarterly reconciliation of default service generation supply costs.</w:t>
      </w:r>
    </w:p>
    <w:p w:rsidR="0035562C" w:rsidRDefault="0035562C" w:rsidP="0035562C">
      <w:pPr>
        <w:contextualSpacing/>
        <w:jc w:val="left"/>
      </w:pPr>
    </w:p>
    <w:p w:rsidR="0035562C" w:rsidRDefault="0035562C" w:rsidP="0035562C">
      <w:pPr>
        <w:contextualSpacing/>
        <w:jc w:val="left"/>
      </w:pPr>
      <w:r>
        <w:tab/>
      </w:r>
      <w:r>
        <w:tab/>
        <w:t xml:space="preserve">The Company's default service plan (DSP) provided for default service from January 1, 2011 through May 31, 2013, and also included the GSC-1 for residential and small commercial and industrial customers, </w:t>
      </w:r>
      <w:proofErr w:type="gramStart"/>
      <w:r>
        <w:t>and  GSC</w:t>
      </w:r>
      <w:proofErr w:type="gramEnd"/>
      <w:r>
        <w:t xml:space="preserve">-2 for large commercial and industrial customers.  </w:t>
      </w:r>
    </w:p>
    <w:p w:rsidR="0035562C" w:rsidRDefault="0035562C" w:rsidP="0035562C">
      <w:pPr>
        <w:contextualSpacing/>
        <w:jc w:val="left"/>
      </w:pPr>
    </w:p>
    <w:p w:rsidR="0035562C" w:rsidRDefault="0035562C" w:rsidP="0035562C">
      <w:pPr>
        <w:contextualSpacing/>
        <w:jc w:val="left"/>
      </w:pPr>
      <w:r>
        <w:lastRenderedPageBreak/>
        <w:tab/>
      </w:r>
      <w:r>
        <w:tab/>
      </w:r>
      <w:proofErr w:type="gramStart"/>
      <w:r>
        <w:t>On December 11, 2009, at Docket No.</w:t>
      </w:r>
      <w:proofErr w:type="gramEnd"/>
      <w:r>
        <w:t xml:space="preserve"> M-2009-2145482, the Company submitted a final calculation of the proposed GSC for the first quarter of 2010.  On March 1, 2010, the Company submitted its proposed GSC for the second quarter of 2010, which included a reconciliation of actual and estimated costs for January 2010.  </w:t>
      </w:r>
    </w:p>
    <w:p w:rsidR="0035562C" w:rsidRDefault="0035562C" w:rsidP="0035562C">
      <w:pPr>
        <w:contextualSpacing/>
        <w:jc w:val="left"/>
      </w:pPr>
    </w:p>
    <w:p w:rsidR="0035562C" w:rsidRDefault="0035562C" w:rsidP="0035562C">
      <w:pPr>
        <w:contextualSpacing/>
        <w:jc w:val="left"/>
      </w:pPr>
      <w:r>
        <w:tab/>
      </w:r>
      <w:r>
        <w:tab/>
        <w:t xml:space="preserve">On March 8, 2010, PPL Electric submitted a letter to the Commission stating that the significant undercollection was not typical and asking the withdraw the proposed change to the GSC for the second quarter of 2010 and continue the first quarter's until July 1, 2010.  The Company sought permission to defer reconciliation until January 2011.  </w:t>
      </w:r>
    </w:p>
    <w:p w:rsidR="0035562C" w:rsidRDefault="0035562C" w:rsidP="0035562C">
      <w:pPr>
        <w:contextualSpacing/>
        <w:jc w:val="left"/>
      </w:pPr>
    </w:p>
    <w:p w:rsidR="0035562C" w:rsidRDefault="0035562C" w:rsidP="0035562C">
      <w:pPr>
        <w:contextualSpacing/>
        <w:jc w:val="left"/>
      </w:pPr>
      <w:r>
        <w:tab/>
      </w:r>
      <w:r>
        <w:tab/>
        <w:t>The third and fourth quarter reconciliations were also subject to requests for deferral.  Each request was approved by the Commission.</w:t>
      </w:r>
    </w:p>
    <w:p w:rsidR="0035562C" w:rsidRDefault="0035562C" w:rsidP="0035562C">
      <w:pPr>
        <w:contextualSpacing/>
        <w:jc w:val="left"/>
      </w:pPr>
    </w:p>
    <w:p w:rsidR="0035562C" w:rsidRDefault="0035562C" w:rsidP="0035562C">
      <w:pPr>
        <w:contextualSpacing/>
        <w:jc w:val="left"/>
      </w:pPr>
      <w:r>
        <w:tab/>
      </w:r>
      <w:r>
        <w:tab/>
        <w:t xml:space="preserve">On December 14, 2010, the Company submitted a calculation of the proposed GSC-1 for January through May of 2011 at Docket No. </w:t>
      </w:r>
      <w:proofErr w:type="gramStart"/>
      <w:r>
        <w:t>M-2010-2213310.</w:t>
      </w:r>
      <w:proofErr w:type="gramEnd"/>
      <w:r>
        <w:t xml:space="preserve">  The reported year end undercollection included the effects of the difference between billed revenues and incurred costs, as estimated at December 31, 2010.  </w:t>
      </w:r>
    </w:p>
    <w:p w:rsidR="0035562C" w:rsidRDefault="0035562C" w:rsidP="0035562C">
      <w:pPr>
        <w:contextualSpacing/>
        <w:jc w:val="left"/>
      </w:pPr>
    </w:p>
    <w:p w:rsidR="0035562C" w:rsidRDefault="0035562C" w:rsidP="0035562C">
      <w:pPr>
        <w:contextualSpacing/>
        <w:jc w:val="left"/>
      </w:pPr>
      <w:r>
        <w:tab/>
      </w:r>
      <w:r>
        <w:tab/>
        <w:t xml:space="preserve">On May 20, 2011, PPL Electric Utilities Corporation (PPL Electric or Company) filed its Generation Supply Charge-1 (GSC-1) for the period June 1, 2011 through August 31, 2011 with the Commission.  </w:t>
      </w:r>
    </w:p>
    <w:p w:rsidR="0035562C" w:rsidRDefault="0035562C" w:rsidP="0035562C">
      <w:pPr>
        <w:contextualSpacing/>
        <w:jc w:val="left"/>
      </w:pPr>
    </w:p>
    <w:p w:rsidR="0035562C" w:rsidRDefault="0035562C" w:rsidP="0035562C">
      <w:pPr>
        <w:contextualSpacing/>
        <w:jc w:val="left"/>
      </w:pPr>
      <w:r>
        <w:tab/>
      </w:r>
      <w:r>
        <w:tab/>
        <w:t xml:space="preserve">On May 26, 2011, PPL Electric filed Supplement No. 106 to its tariff which reflects the proposed June GSC-1, as well as changes to the Act 129 Compliance Rider (ACR) and the Transmission Service Charge (TSC).  </w:t>
      </w:r>
    </w:p>
    <w:p w:rsidR="0035562C" w:rsidRDefault="0035562C" w:rsidP="0035562C">
      <w:pPr>
        <w:contextualSpacing/>
        <w:jc w:val="left"/>
      </w:pPr>
    </w:p>
    <w:p w:rsidR="0035562C" w:rsidRDefault="0035562C" w:rsidP="0035562C">
      <w:pPr>
        <w:contextualSpacing/>
        <w:jc w:val="left"/>
      </w:pPr>
      <w:r>
        <w:tab/>
      </w:r>
      <w:r>
        <w:tab/>
        <w:t>On May 31, 2011, the OSBA filed a Complaint against the May 20 GSC-1 filing, alleging that the rate for small commercial and industrial (C&amp;I) customers may be unjust, unreasonable, unduly discriminatory or otherwise contrary to law, and that the Company had not adequately justified its undercollection from prior periods.</w:t>
      </w:r>
    </w:p>
    <w:p w:rsidR="0035562C" w:rsidRDefault="0035562C" w:rsidP="0035562C">
      <w:pPr>
        <w:contextualSpacing/>
        <w:jc w:val="left"/>
      </w:pPr>
    </w:p>
    <w:p w:rsidR="0035562C" w:rsidRDefault="0035562C" w:rsidP="0035562C">
      <w:pPr>
        <w:contextualSpacing/>
        <w:jc w:val="left"/>
      </w:pPr>
      <w:r>
        <w:lastRenderedPageBreak/>
        <w:tab/>
      </w:r>
      <w:r>
        <w:tab/>
        <w:t xml:space="preserve">On June 29, 2011, PPL filed its Answer. </w:t>
      </w:r>
    </w:p>
    <w:p w:rsidR="0035562C" w:rsidRDefault="0035562C" w:rsidP="0035562C">
      <w:pPr>
        <w:contextualSpacing/>
        <w:jc w:val="left"/>
      </w:pPr>
    </w:p>
    <w:p w:rsidR="0035562C" w:rsidRDefault="0035562C" w:rsidP="0035562C">
      <w:pPr>
        <w:contextualSpacing/>
        <w:jc w:val="left"/>
      </w:pPr>
      <w:r>
        <w:tab/>
      </w:r>
      <w:r>
        <w:tab/>
        <w:t>On June 29, 2011, a notice of prehearing conference was issued which set the prehearing conference for July 13, 2011, and assigned the case to me.</w:t>
      </w:r>
    </w:p>
    <w:p w:rsidR="0035562C" w:rsidRDefault="0035562C" w:rsidP="0035562C">
      <w:pPr>
        <w:contextualSpacing/>
        <w:jc w:val="left"/>
      </w:pPr>
    </w:p>
    <w:p w:rsidR="0035562C" w:rsidRDefault="0035562C" w:rsidP="0035562C">
      <w:pPr>
        <w:contextualSpacing/>
        <w:jc w:val="left"/>
      </w:pPr>
      <w:r>
        <w:tab/>
      </w:r>
      <w:r>
        <w:tab/>
        <w:t xml:space="preserve">On July 11, 2011, the Commission's Office of Trial Staff filed its Notice of Appearance.  The name of this Commission office was renamed pursuant to an internal reorganization and is known as the Bureau of Investigation &amp; Enforcement (I&amp;E).  </w:t>
      </w:r>
      <w:r>
        <w:rPr>
          <w:i/>
        </w:rPr>
        <w:t xml:space="preserve">Implementation of Act 129 of 2008 Organization of Bureaus and Offices, </w:t>
      </w:r>
      <w:r>
        <w:t xml:space="preserve">Docket No. M-2008-2071852 (Order entered August 11, 2011).  On July 12, 2011, the Office of Consumer Advocate (OCA) filed its Notice of Intervention and Public Statement. </w:t>
      </w:r>
    </w:p>
    <w:p w:rsidR="0035562C" w:rsidRDefault="0035562C" w:rsidP="0035562C">
      <w:pPr>
        <w:contextualSpacing/>
        <w:jc w:val="left"/>
      </w:pPr>
    </w:p>
    <w:p w:rsidR="0035562C" w:rsidRDefault="0035562C" w:rsidP="0035562C">
      <w:pPr>
        <w:contextualSpacing/>
        <w:jc w:val="left"/>
      </w:pPr>
      <w:r>
        <w:tab/>
      </w:r>
      <w:r>
        <w:tab/>
        <w:t xml:space="preserve">Prehearing memos were filed by the Company, OSBA and I&amp;E, and the prehearing conference was held as scheduled.   The parties agreed upon a litigation schedule and modified discovery terms, which were adopted in a scheduling order issued on July 13, 2011.  </w:t>
      </w:r>
    </w:p>
    <w:p w:rsidR="0035562C" w:rsidRDefault="0035562C" w:rsidP="0035562C">
      <w:pPr>
        <w:contextualSpacing/>
        <w:jc w:val="left"/>
      </w:pPr>
    </w:p>
    <w:p w:rsidR="0035562C" w:rsidRDefault="0035562C" w:rsidP="0035562C">
      <w:pPr>
        <w:contextualSpacing/>
        <w:jc w:val="left"/>
      </w:pPr>
      <w:r>
        <w:tab/>
      </w:r>
      <w:r>
        <w:tab/>
        <w:t>Following the submission of direct testimony on July 29, 2011, rebuttal on August 15, 2011, and surrebuttal on August 25, 2011, the evidentiary hearing was continued from its original date of August 29, 2011.  The evidentiary hearing was held on October 5, 2011.  The following testimony was admitted into the record:</w:t>
      </w:r>
    </w:p>
    <w:p w:rsidR="0035562C" w:rsidRDefault="0035562C" w:rsidP="0035562C">
      <w:pPr>
        <w:contextualSpacing/>
        <w:jc w:val="left"/>
      </w:pPr>
      <w:r>
        <w:t>OSA Statements 1 and 2, direct and surrebuttal testimony of Robert D. Knecht</w:t>
      </w:r>
    </w:p>
    <w:p w:rsidR="0035562C" w:rsidRDefault="0035562C" w:rsidP="0035562C">
      <w:pPr>
        <w:contextualSpacing/>
        <w:jc w:val="left"/>
      </w:pPr>
      <w:r>
        <w:t>PPL Statements 1, 1-R and 1-RJ, direct, rebuttal and rejoinder testimony of Joseph M. Kleha</w:t>
      </w:r>
    </w:p>
    <w:p w:rsidR="0035562C" w:rsidRDefault="0035562C" w:rsidP="0035562C">
      <w:pPr>
        <w:contextualSpacing/>
        <w:jc w:val="left"/>
      </w:pPr>
      <w:r>
        <w:t>PPL Statement 2-RJ, rejoinder testimony of David R. Woodruff</w:t>
      </w:r>
      <w:r>
        <w:tab/>
      </w:r>
    </w:p>
    <w:p w:rsidR="0035562C" w:rsidRDefault="0035562C" w:rsidP="0035562C">
      <w:pPr>
        <w:contextualSpacing/>
        <w:jc w:val="left"/>
      </w:pPr>
    </w:p>
    <w:p w:rsidR="0035562C" w:rsidRDefault="0035562C" w:rsidP="0035562C">
      <w:pPr>
        <w:contextualSpacing/>
        <w:jc w:val="left"/>
      </w:pPr>
      <w:r>
        <w:tab/>
      </w:r>
      <w:r>
        <w:tab/>
        <w:t>A transcript from pages 14 to 68 was generated.  OSBA and PPL Electric filed main and reply briefs.  The record closed upon receipt of the reply briefs on November 9, 2011.</w:t>
      </w:r>
    </w:p>
    <w:p w:rsidR="0035562C" w:rsidRDefault="0035562C" w:rsidP="0035562C">
      <w:pPr>
        <w:contextualSpacing/>
        <w:jc w:val="left"/>
      </w:pPr>
    </w:p>
    <w:p w:rsidR="0035562C" w:rsidRDefault="0035562C" w:rsidP="0035562C">
      <w:pPr>
        <w:contextualSpacing/>
        <w:jc w:val="left"/>
      </w:pPr>
      <w:r>
        <w:tab/>
      </w:r>
      <w:r>
        <w:tab/>
        <w:t>On November 18, 2011, the Company filed a Motion to Strike Certain Portions of the Reply Brief of the Office of Small Business Advocate or, in the Alternative, Petition to Reopen the Record.  By e-mail, the parties were given until Wednesday, November 30, 2011, to file a response.</w:t>
      </w:r>
    </w:p>
    <w:p w:rsidR="0035562C" w:rsidRDefault="0035562C" w:rsidP="0035562C">
      <w:pPr>
        <w:contextualSpacing/>
        <w:jc w:val="left"/>
      </w:pPr>
    </w:p>
    <w:p w:rsidR="0035562C" w:rsidRDefault="0035562C" w:rsidP="0035562C">
      <w:pPr>
        <w:contextualSpacing/>
        <w:jc w:val="left"/>
      </w:pPr>
      <w:r>
        <w:tab/>
      </w:r>
      <w:r>
        <w:tab/>
        <w:t xml:space="preserve">On November 23, 2011, OSBA filed a Motion to Reopen the Record and for Admission of Late-Filed Exhibits. </w:t>
      </w:r>
      <w:r w:rsidR="00E80B80">
        <w:t xml:space="preserve">On November 30, 2011, OSBA filed its Response to PPL Electric's Motion to Strike, which included a petition to open the record for the admission of its proposed Exhibit H.  </w:t>
      </w:r>
      <w:r>
        <w:t>On December 1, 2011, PPL filed its Answer</w:t>
      </w:r>
      <w:r w:rsidR="00E80B80">
        <w:t xml:space="preserve"> to the November 23</w:t>
      </w:r>
      <w:r w:rsidR="00E80B80" w:rsidRPr="00E80B80">
        <w:rPr>
          <w:vertAlign w:val="superscript"/>
        </w:rPr>
        <w:t>rd</w:t>
      </w:r>
      <w:r w:rsidR="00E80B80">
        <w:t xml:space="preserve"> Motion</w:t>
      </w:r>
      <w:r>
        <w:t xml:space="preserve">. </w:t>
      </w:r>
    </w:p>
    <w:p w:rsidR="00E80B80" w:rsidRDefault="00E80B80" w:rsidP="0035562C">
      <w:pPr>
        <w:contextualSpacing/>
        <w:jc w:val="left"/>
      </w:pPr>
    </w:p>
    <w:p w:rsidR="00E80B80" w:rsidRDefault="00E80B80" w:rsidP="0035562C">
      <w:pPr>
        <w:contextualSpacing/>
        <w:jc w:val="left"/>
      </w:pPr>
      <w:r>
        <w:tab/>
      </w:r>
      <w:r>
        <w:tab/>
        <w:t>Following an email inquiry, both PPL Electric and OSBA indicated that they would not be filing additional pleadings.  These matters are ripe for disposition.</w:t>
      </w:r>
    </w:p>
    <w:p w:rsidR="00C04960" w:rsidRDefault="00C04960" w:rsidP="0035562C">
      <w:pPr>
        <w:jc w:val="left"/>
      </w:pPr>
    </w:p>
    <w:p w:rsidR="0035562C" w:rsidRDefault="0035562C" w:rsidP="0035562C">
      <w:pPr>
        <w:rPr>
          <w:u w:val="single"/>
        </w:rPr>
      </w:pPr>
      <w:r>
        <w:rPr>
          <w:u w:val="single"/>
        </w:rPr>
        <w:t>DISCUSSION</w:t>
      </w:r>
    </w:p>
    <w:p w:rsidR="0035562C" w:rsidRDefault="0035562C" w:rsidP="0035562C">
      <w:pPr>
        <w:rPr>
          <w:u w:val="single"/>
        </w:rPr>
      </w:pPr>
    </w:p>
    <w:p w:rsidR="0035562C" w:rsidRDefault="0089300E" w:rsidP="0035562C">
      <w:pPr>
        <w:jc w:val="left"/>
      </w:pPr>
      <w:r>
        <w:tab/>
      </w:r>
      <w:r>
        <w:tab/>
        <w:t xml:space="preserve">PPL Electric objects to a discussion in the OSBA Reply Brief which references testimony that OSBA had presented in another Commission case.  </w:t>
      </w:r>
      <w:r w:rsidR="005A48AF">
        <w:t>According to the OSBA Reply</w:t>
      </w:r>
      <w:r>
        <w:t xml:space="preserve"> to the Motion</w:t>
      </w:r>
      <w:r w:rsidR="005A48AF">
        <w:t xml:space="preserve">, the impetus for the discussion that PPL Electric objects to was in the PPL Electric Main Brief (MB):  </w:t>
      </w:r>
    </w:p>
    <w:p w:rsidR="005A48AF" w:rsidRDefault="005A48AF" w:rsidP="00B63534">
      <w:pPr>
        <w:spacing w:line="240" w:lineRule="auto"/>
        <w:ind w:left="1440" w:right="1440"/>
        <w:jc w:val="left"/>
      </w:pPr>
      <w:r>
        <w:tab/>
        <w:t>OSBA is requesting a significant policy change with regard to how costs and revenues are calculated in the reconciliation of a Section 1307(e) cost recovery mechanism.  This obviously will affect a large number of utilities in the Commonwealth and also will likely affect how the Bureau of Audits reviews Section 1307(e) cost recovery mechanisms.  Due to the potential broad impact, PPL Electric does not believe that any changes should be made on a single utility basis, but should only be made in a generic proceeding where all utilities have the opportunity to comment.</w:t>
      </w:r>
    </w:p>
    <w:p w:rsidR="005A48AF" w:rsidRDefault="005A48AF" w:rsidP="00B63534">
      <w:pPr>
        <w:spacing w:line="240" w:lineRule="auto"/>
        <w:ind w:left="1440" w:right="1440"/>
        <w:jc w:val="left"/>
      </w:pPr>
      <w:proofErr w:type="gramStart"/>
      <w:r>
        <w:t>PPL Electric MB at 30.</w:t>
      </w:r>
      <w:proofErr w:type="gramEnd"/>
    </w:p>
    <w:p w:rsidR="005A48AF" w:rsidRDefault="005A48AF" w:rsidP="0035562C">
      <w:pPr>
        <w:jc w:val="left"/>
      </w:pPr>
    </w:p>
    <w:p w:rsidR="00B63534" w:rsidRDefault="001A4663" w:rsidP="0035562C">
      <w:pPr>
        <w:jc w:val="left"/>
      </w:pPr>
      <w:r>
        <w:tab/>
      </w:r>
      <w:r>
        <w:tab/>
        <w:t>OSBA characterizes this statement as "an issue raised for the first time in its Main Brief after the record was closed, namely the potential effect of the outcome of this proceeding on other Pennsylvania utility companies.</w:t>
      </w:r>
      <w:r w:rsidR="00B63534">
        <w:t>"</w:t>
      </w:r>
      <w:r>
        <w:t xml:space="preserve"> </w:t>
      </w:r>
      <w:r w:rsidR="00B63534">
        <w:t>OSBA Answer at 2, ¶9.</w:t>
      </w:r>
      <w:r w:rsidR="0093711D">
        <w:t xml:space="preserve">  </w:t>
      </w:r>
    </w:p>
    <w:p w:rsidR="0093711D" w:rsidRDefault="0093711D" w:rsidP="0035562C">
      <w:pPr>
        <w:jc w:val="left"/>
      </w:pPr>
    </w:p>
    <w:p w:rsidR="0093711D" w:rsidRDefault="0093711D" w:rsidP="0035562C">
      <w:pPr>
        <w:jc w:val="left"/>
      </w:pPr>
      <w:r>
        <w:tab/>
      </w:r>
      <w:r>
        <w:tab/>
        <w:t xml:space="preserve">This is not an "issue."  This is one party's opinion that there exists a "potential broad impact" which, it opines, should be made in a generic proceeding.  </w:t>
      </w:r>
      <w:r w:rsidR="0089300E">
        <w:t xml:space="preserve">This is no different than if the Company had opined that it should be the subject of a rulemaking instead of done on a case-by-case basis.  There are general rules which exist to support a rulemaking, which are legal </w:t>
      </w:r>
      <w:r w:rsidR="0089300E">
        <w:lastRenderedPageBreak/>
        <w:t xml:space="preserve">argument, not "new issues."  The Company could have developed this further, and it would still be legal argument.  </w:t>
      </w:r>
      <w:r>
        <w:t xml:space="preserve"> </w:t>
      </w:r>
    </w:p>
    <w:p w:rsidR="00B63534" w:rsidRDefault="00B63534" w:rsidP="0035562C">
      <w:pPr>
        <w:jc w:val="left"/>
      </w:pPr>
    </w:p>
    <w:p w:rsidR="00B63534" w:rsidRDefault="00B63534" w:rsidP="0035562C">
      <w:pPr>
        <w:jc w:val="left"/>
      </w:pPr>
      <w:r>
        <w:tab/>
      </w:r>
      <w:r>
        <w:tab/>
      </w:r>
      <w:r w:rsidR="0089300E">
        <w:t xml:space="preserve">Purportedly in response, </w:t>
      </w:r>
      <w:r>
        <w:t>OSBA includes this in its Reply Brief:</w:t>
      </w:r>
    </w:p>
    <w:p w:rsidR="00B63534" w:rsidRDefault="00B63534" w:rsidP="0035562C">
      <w:pPr>
        <w:jc w:val="left"/>
      </w:pPr>
    </w:p>
    <w:p w:rsidR="00B63534" w:rsidRDefault="00B63534" w:rsidP="00E106DD">
      <w:pPr>
        <w:spacing w:line="240" w:lineRule="auto"/>
        <w:ind w:left="1440" w:right="1440"/>
        <w:jc w:val="left"/>
      </w:pPr>
      <w:r>
        <w:tab/>
        <w:t>4.</w:t>
      </w:r>
      <w:r>
        <w:tab/>
        <w:t>Other Utilities</w:t>
      </w:r>
    </w:p>
    <w:p w:rsidR="00B63534" w:rsidRDefault="00B63534" w:rsidP="00E106DD">
      <w:pPr>
        <w:spacing w:line="240" w:lineRule="auto"/>
        <w:ind w:left="1440" w:right="1440"/>
        <w:jc w:val="left"/>
      </w:pPr>
      <w:r>
        <w:tab/>
        <w:t>PPL also claims that other utilities employ the same accounting method is Section 1307(e) reconciliations and therefore any change should be accomplished through a generic statewide proceeding.</w:t>
      </w:r>
    </w:p>
    <w:p w:rsidR="00B63534" w:rsidRDefault="00B63534" w:rsidP="004C4E02">
      <w:pPr>
        <w:spacing w:line="240" w:lineRule="auto"/>
        <w:ind w:left="1440" w:right="1440"/>
        <w:jc w:val="left"/>
      </w:pPr>
      <w:r>
        <w:tab/>
        <w:t xml:space="preserve">However, at least one other Pennsylvania Electric Distribution Company ("EDC") has already indicated its intent to use OSBA's proposed alternative reconciliation accounting method </w:t>
      </w:r>
      <w:r w:rsidR="004C4E02">
        <w:t>in its Commission-approved default service plan.  In the proceeding to approve its plan to provide default service beginning January 2011, West Penn Power Company ("West Penn") proposed an Energy Cost Adjustment ("ECA") rate to reconcile the difference between default service costs and revenues, similar to PPL's GSC and GSC-1.  The OSBA asked West Penn in an interrogatory whether, when calculating the first quarter ECA variance, it would include 2.5 months of billed revenue and 3 months of incurred costs.  West Penn responded that it "plans to include unbilled revenues in the [reconciliation] calculation so that the comparison between billed amounts and purchased amounts will both be on a three-month basis."  This interrogatory response is attached to OSBA Statement 1, Direct Testimony of Robert D. Knecht, which was made part of the record in the case approving West Penn's default service plan.</w:t>
      </w:r>
    </w:p>
    <w:p w:rsidR="004C4E02" w:rsidRDefault="004C4E02" w:rsidP="004C4E02">
      <w:pPr>
        <w:spacing w:line="240" w:lineRule="auto"/>
        <w:ind w:left="1440" w:right="1440"/>
        <w:jc w:val="left"/>
      </w:pPr>
      <w:proofErr w:type="gramStart"/>
      <w:r>
        <w:t>OSBA Reply Brief at 11 (footnotes omitted).</w:t>
      </w:r>
      <w:proofErr w:type="gramEnd"/>
    </w:p>
    <w:p w:rsidR="004C4E02" w:rsidRDefault="004C4E02" w:rsidP="0035562C">
      <w:pPr>
        <w:jc w:val="left"/>
      </w:pPr>
    </w:p>
    <w:p w:rsidR="004C4E02" w:rsidRDefault="004C4E02" w:rsidP="0035562C">
      <w:pPr>
        <w:jc w:val="left"/>
      </w:pPr>
      <w:r>
        <w:tab/>
      </w:r>
      <w:r>
        <w:tab/>
        <w:t>PPL Electric protests the inclusion of this for the following reasons:</w:t>
      </w:r>
    </w:p>
    <w:p w:rsidR="004C4E02" w:rsidRDefault="004C4E02" w:rsidP="0035562C">
      <w:pPr>
        <w:jc w:val="left"/>
      </w:pPr>
      <w:r>
        <w:t xml:space="preserve">(1) The testimony and interrogatory response are outside the evidentiary record; (2) PPL Electric was not a party to the West Penn DSP case; (3) using a brief for the introduction of evidence is a violation of due process.  </w:t>
      </w:r>
    </w:p>
    <w:p w:rsidR="00C32A1D" w:rsidRDefault="00C32A1D" w:rsidP="0035562C">
      <w:pPr>
        <w:jc w:val="left"/>
      </w:pPr>
    </w:p>
    <w:p w:rsidR="00004B7F" w:rsidRDefault="00C32A1D" w:rsidP="0035562C">
      <w:pPr>
        <w:jc w:val="left"/>
      </w:pPr>
      <w:r>
        <w:tab/>
      </w:r>
      <w:r>
        <w:tab/>
        <w:t xml:space="preserve">Of course, the introduction of any evidence in a brief is absolutely forbidden and cannot be permitted.  </w:t>
      </w:r>
      <w:r w:rsidR="00682F2F">
        <w:t xml:space="preserve"> </w:t>
      </w:r>
      <w:r w:rsidR="00004B7F">
        <w:t>Its appearance in this case in a reply brief is</w:t>
      </w:r>
      <w:r w:rsidR="00682F2F">
        <w:t xml:space="preserve"> </w:t>
      </w:r>
      <w:r w:rsidR="00FD58B9">
        <w:t>surprising as</w:t>
      </w:r>
      <w:r w:rsidR="00682F2F">
        <w:t xml:space="preserve"> the level of legal advocacy that the Commission is accustomed to seeing from the OSBA</w:t>
      </w:r>
      <w:r w:rsidR="00FD58B9">
        <w:t xml:space="preserve"> is substantially higher than this</w:t>
      </w:r>
      <w:r w:rsidR="00682F2F">
        <w:t>.</w:t>
      </w:r>
      <w:r>
        <w:t xml:space="preserve"> </w:t>
      </w:r>
    </w:p>
    <w:p w:rsidR="00004B7F" w:rsidRDefault="00004B7F" w:rsidP="0035562C">
      <w:pPr>
        <w:jc w:val="left"/>
      </w:pPr>
    </w:p>
    <w:p w:rsidR="00C32A1D" w:rsidRDefault="00004B7F" w:rsidP="0035562C">
      <w:pPr>
        <w:jc w:val="left"/>
      </w:pPr>
      <w:r>
        <w:tab/>
      </w:r>
      <w:r>
        <w:tab/>
      </w:r>
      <w:r w:rsidR="00C32A1D">
        <w:t xml:space="preserve">While a Commission </w:t>
      </w:r>
      <w:r w:rsidR="00C32A1D" w:rsidRPr="00876686">
        <w:rPr>
          <w:i/>
        </w:rPr>
        <w:t>decision</w:t>
      </w:r>
      <w:r w:rsidR="00C32A1D">
        <w:t xml:space="preserve"> is a matter of public record which may have persuasive or even precedential effect, the </w:t>
      </w:r>
      <w:r w:rsidR="00C32A1D" w:rsidRPr="00876686">
        <w:rPr>
          <w:i/>
        </w:rPr>
        <w:t>evidence</w:t>
      </w:r>
      <w:r w:rsidR="00C32A1D">
        <w:t xml:space="preserve"> taken in another case has no special qualities</w:t>
      </w:r>
      <w:r w:rsidR="00876686">
        <w:t xml:space="preserve"> which would exempt it from the rules of evidence.  </w:t>
      </w:r>
      <w:r w:rsidR="00C32A1D">
        <w:t xml:space="preserve"> </w:t>
      </w:r>
      <w:r w:rsidR="00682F2F">
        <w:t xml:space="preserve">The reasoning appearing in the PPL Electric Motion to Strike is sound and is adopted here.  </w:t>
      </w:r>
    </w:p>
    <w:p w:rsidR="00682F2F" w:rsidRDefault="00682F2F" w:rsidP="0035562C">
      <w:pPr>
        <w:jc w:val="left"/>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10.</w:t>
      </w:r>
      <w:r>
        <w:rPr>
          <w:sz w:val="24"/>
          <w:szCs w:val="24"/>
        </w:rPr>
        <w:tab/>
        <w:t>The testimony and interrogatory response from the West Penn default service plan proceeding referenced by OSBA are entirely outside the evidentiary record of this case presently pending before the ALJ.  Indeed, other than OSBA’s reply brief, these materials do not appear in, nor were they referenced in, any portion of the evidentiary record.</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11.</w:t>
      </w:r>
      <w:r>
        <w:rPr>
          <w:sz w:val="24"/>
          <w:szCs w:val="24"/>
        </w:rPr>
        <w:tab/>
        <w:t xml:space="preserve">Further, PPL Electric was not a party to, and did not participate in, the West Penn default service plan proceeding, </w:t>
      </w:r>
      <w:r>
        <w:rPr>
          <w:i/>
          <w:sz w:val="24"/>
          <w:szCs w:val="24"/>
        </w:rPr>
        <w:t>Pa. P.U.C. v. West Penn Power Company d/b/a Allegheny Power</w:t>
      </w:r>
      <w:r>
        <w:rPr>
          <w:sz w:val="24"/>
          <w:szCs w:val="24"/>
        </w:rPr>
        <w:t>, Docket No. P-</w:t>
      </w:r>
      <w:proofErr w:type="gramStart"/>
      <w:r>
        <w:rPr>
          <w:sz w:val="24"/>
          <w:szCs w:val="24"/>
        </w:rPr>
        <w:t>00072342,</w:t>
      </w:r>
      <w:proofErr w:type="gramEnd"/>
      <w:r>
        <w:rPr>
          <w:sz w:val="24"/>
          <w:szCs w:val="24"/>
        </w:rPr>
        <w:t xml:space="preserve"> relied upon by the OSBA.</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12.</w:t>
      </w:r>
      <w:r>
        <w:rPr>
          <w:sz w:val="24"/>
          <w:szCs w:val="24"/>
        </w:rPr>
        <w:tab/>
        <w:t xml:space="preserve">It is well established that the purpose of a brief is not to introduce new additional evidence or to offer rejoinder testimony.  Indeed, the Commission has held that use of a brief for such purposes in a contested proceeding is a violation of due process.  </w:t>
      </w:r>
      <w:r>
        <w:rPr>
          <w:i/>
          <w:sz w:val="24"/>
          <w:szCs w:val="24"/>
        </w:rPr>
        <w:t>Enron Capital &amp; Trade Resources Corporation v. The Peoples Natural Gas Company, et al.</w:t>
      </w:r>
      <w:r>
        <w:rPr>
          <w:sz w:val="24"/>
          <w:szCs w:val="24"/>
        </w:rPr>
        <w:t xml:space="preserve">, Docket No. R-00973928C0001, 1998 Pa. PUC LEXIS 199 (August 24, 1998); </w:t>
      </w:r>
      <w:r>
        <w:rPr>
          <w:i/>
          <w:sz w:val="24"/>
          <w:szCs w:val="24"/>
        </w:rPr>
        <w:t>see also Dee-Dee Cab, Inc. v. Pa. P.U.C.</w:t>
      </w:r>
      <w:r>
        <w:rPr>
          <w:sz w:val="24"/>
          <w:szCs w:val="24"/>
        </w:rPr>
        <w:t xml:space="preserve">, 817 A.2d 593, 598 (Pa. Cmwlth. 2003), </w:t>
      </w:r>
      <w:r>
        <w:rPr>
          <w:i/>
          <w:sz w:val="24"/>
          <w:szCs w:val="24"/>
        </w:rPr>
        <w:t>appeal denied</w:t>
      </w:r>
      <w:r>
        <w:rPr>
          <w:sz w:val="24"/>
          <w:szCs w:val="24"/>
        </w:rPr>
        <w:t xml:space="preserve">, 575 Pa. 698, 836 A.2d 123 (2003) (“For matters coming before an administrative agency, procedural due process, however, requires that a party be afforded reasonable notice of the issues raised and the agency’s rulings on those issues, so that the party has an opportunity to present any response or objection.”).  </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13.</w:t>
      </w:r>
      <w:r>
        <w:rPr>
          <w:sz w:val="24"/>
          <w:szCs w:val="24"/>
        </w:rPr>
        <w:tab/>
        <w:t xml:space="preserve">Because PPL Electric was not a party to the West Penn default service plan proceeding and because the materials relied upon and cited on page 11 of OSBA’s Reply Brief were not introduced into the record in this proceeding, PPL Electric did not have notice of these materials or the opportunity to cross-examine and present evidence in response.  In fact, because OSBA attempted to </w:t>
      </w:r>
      <w:r>
        <w:rPr>
          <w:sz w:val="24"/>
          <w:szCs w:val="24"/>
        </w:rPr>
        <w:lastRenderedPageBreak/>
        <w:t>introduce this extra-record evidence through its Reply Brief, PPL Electric is without any opportunity to provide a meaningful response.  To allow OSBA to introduce such extra-record evidence through its Reply Brief clearly is a violation of PPL Electric’s due process rights.</w:t>
      </w:r>
    </w:p>
    <w:p w:rsidR="00CA697F" w:rsidRDefault="00CA697F" w:rsidP="00CA697F">
      <w:pPr>
        <w:pStyle w:val="ListNumber"/>
        <w:numPr>
          <w:ilvl w:val="0"/>
          <w:numId w:val="0"/>
        </w:numPr>
        <w:spacing w:line="240" w:lineRule="auto"/>
        <w:ind w:left="2160" w:right="1440"/>
        <w:jc w:val="both"/>
        <w:rPr>
          <w:sz w:val="24"/>
          <w:szCs w:val="24"/>
        </w:rPr>
      </w:pPr>
      <w:r>
        <w:rPr>
          <w:sz w:val="24"/>
          <w:szCs w:val="24"/>
        </w:rPr>
        <w:t xml:space="preserve">  </w:t>
      </w:r>
    </w:p>
    <w:p w:rsidR="00CA697F" w:rsidRDefault="00CA697F" w:rsidP="00CA697F">
      <w:pPr>
        <w:pStyle w:val="ListNumber"/>
        <w:numPr>
          <w:ilvl w:val="0"/>
          <w:numId w:val="0"/>
        </w:numPr>
        <w:spacing w:line="240" w:lineRule="auto"/>
        <w:ind w:left="2160" w:right="1440"/>
        <w:jc w:val="both"/>
        <w:rPr>
          <w:sz w:val="24"/>
          <w:szCs w:val="24"/>
        </w:rPr>
      </w:pPr>
      <w:r>
        <w:rPr>
          <w:sz w:val="24"/>
          <w:szCs w:val="24"/>
        </w:rPr>
        <w:t>14.</w:t>
      </w:r>
      <w:r>
        <w:rPr>
          <w:sz w:val="24"/>
          <w:szCs w:val="24"/>
        </w:rPr>
        <w:tab/>
        <w:t xml:space="preserve">OSBA attempts to justify its use of the above-described extra-record evidence by stating that the referenced interrogatory response was attached to OSBA’s direct testimony in the case approving the West Penn default service plan.  </w:t>
      </w:r>
      <w:r>
        <w:rPr>
          <w:i/>
          <w:sz w:val="24"/>
          <w:szCs w:val="24"/>
        </w:rPr>
        <w:t>See</w:t>
      </w:r>
      <w:r>
        <w:rPr>
          <w:sz w:val="24"/>
          <w:szCs w:val="24"/>
        </w:rPr>
        <w:t xml:space="preserve"> OSBA Reply Brief, at 11.  OSBA’s attempted justification is without merit for several reasons.</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15.</w:t>
      </w:r>
      <w:r>
        <w:rPr>
          <w:sz w:val="24"/>
          <w:szCs w:val="24"/>
        </w:rPr>
        <w:tab/>
        <w:t xml:space="preserve">First, the Commission has distinguished between tariffs, Recommended, and Initial Decisions of this Commission and testimony or exhibits from a separate proceeding, holding that it is improper for a party to introduce extra-record testimony and exhibits from a separate proceeding through its reply brief.  In </w:t>
      </w:r>
      <w:r>
        <w:rPr>
          <w:i/>
          <w:sz w:val="24"/>
          <w:szCs w:val="24"/>
        </w:rPr>
        <w:t>Pa. P.U.C. v. National Fuel Gas Distribution Corporation</w:t>
      </w:r>
      <w:r>
        <w:rPr>
          <w:sz w:val="24"/>
          <w:szCs w:val="24"/>
        </w:rPr>
        <w:t>, Docket No. R-00922499, 1993 Pa. PUC LEXIS 95 (July 30, 1993), the reply brief of the Office of Trial Staff (“OTS”) included extra record material, namely, its filed testimony in another, unrelated case.  The ALJ determined that no party had the opportunity to respond to or cross-examine the proffered evidence and, therefore, all references to the OTS testimony in its reply brief were stricken.  The Commission agreed stating:</w:t>
      </w:r>
    </w:p>
    <w:p w:rsidR="00CA697F" w:rsidRDefault="00CA697F" w:rsidP="00CA697F">
      <w:pPr>
        <w:pStyle w:val="IndentSingle"/>
        <w:ind w:left="2880"/>
        <w:rPr>
          <w:sz w:val="24"/>
        </w:rPr>
      </w:pPr>
      <w:r>
        <w:rPr>
          <w:sz w:val="24"/>
        </w:rPr>
        <w:t>Consistent with our position that the infractions committed were anomalous to the prior conduct of counsel, we shall not publicly admonish the OTS.  However, we do see a valid distinction between tariffs, Recommended and Initial Decisions of this Commission and the filed testimony of a party to the proceeding in a related case.  We would, in principle, agree with the ALJ, that such material was outside the record and could be detrimental to rights of other parties to confront such evidence…. The appropriate response was, as the ALJ noted, to request a reopening of the record.</w:t>
      </w:r>
    </w:p>
    <w:p w:rsidR="00CA697F" w:rsidRDefault="00CA697F" w:rsidP="00CA697F">
      <w:pPr>
        <w:pStyle w:val="BodyText"/>
        <w:ind w:left="2880" w:right="1440" w:firstLine="0"/>
        <w:rPr>
          <w:sz w:val="24"/>
          <w:szCs w:val="24"/>
        </w:rPr>
      </w:pPr>
      <w:proofErr w:type="gramStart"/>
      <w:r>
        <w:rPr>
          <w:i/>
          <w:sz w:val="24"/>
          <w:szCs w:val="24"/>
        </w:rPr>
        <w:t>Id</w:t>
      </w:r>
      <w:r>
        <w:rPr>
          <w:sz w:val="24"/>
          <w:szCs w:val="24"/>
        </w:rPr>
        <w:t>. at *10.</w:t>
      </w:r>
      <w:proofErr w:type="gramEnd"/>
    </w:p>
    <w:p w:rsidR="00CA697F" w:rsidRDefault="00CA697F" w:rsidP="00CA697F">
      <w:pPr>
        <w:pStyle w:val="ListNumber"/>
        <w:numPr>
          <w:ilvl w:val="0"/>
          <w:numId w:val="0"/>
        </w:numPr>
        <w:spacing w:line="240" w:lineRule="auto"/>
        <w:ind w:left="2160" w:right="1440"/>
        <w:jc w:val="both"/>
        <w:rPr>
          <w:sz w:val="24"/>
          <w:szCs w:val="24"/>
        </w:rPr>
      </w:pPr>
      <w:r>
        <w:rPr>
          <w:sz w:val="24"/>
          <w:szCs w:val="24"/>
        </w:rPr>
        <w:t>16.</w:t>
      </w:r>
      <w:r>
        <w:rPr>
          <w:sz w:val="24"/>
          <w:szCs w:val="24"/>
        </w:rPr>
        <w:tab/>
        <w:t xml:space="preserve">Second, it is entirely unknown from OSBA’s reply brief whether the Commission in the West Penn default service plan proceeding adopted or found as fact the </w:t>
      </w:r>
      <w:r>
        <w:rPr>
          <w:sz w:val="24"/>
          <w:szCs w:val="24"/>
        </w:rPr>
        <w:lastRenderedPageBreak/>
        <w:t xml:space="preserve">statements and interrogatory responses relied upon by OSBA.  Indeed, in its Reply Brief, OSBA cites to the testimony and interrogatory response rather than an order, opinion, conclusion, or finding of fact by the Commission.  This is directly contrary to the Commission’s holding in </w:t>
      </w:r>
      <w:r>
        <w:rPr>
          <w:i/>
          <w:sz w:val="24"/>
          <w:szCs w:val="24"/>
        </w:rPr>
        <w:t>National Fuel Gas Distribution Corporation</w:t>
      </w:r>
      <w:r>
        <w:rPr>
          <w:sz w:val="24"/>
          <w:szCs w:val="24"/>
        </w:rPr>
        <w:t xml:space="preserve">, </w:t>
      </w:r>
      <w:r>
        <w:rPr>
          <w:i/>
          <w:sz w:val="24"/>
          <w:szCs w:val="24"/>
        </w:rPr>
        <w:t>supra</w:t>
      </w:r>
      <w:r>
        <w:rPr>
          <w:sz w:val="24"/>
          <w:szCs w:val="24"/>
        </w:rPr>
        <w:t>.</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17.</w:t>
      </w:r>
      <w:r>
        <w:rPr>
          <w:sz w:val="24"/>
          <w:szCs w:val="24"/>
        </w:rPr>
        <w:tab/>
        <w:t>Third, PPL Electric had no opportunity to investigate other aspects of West Penn’s reconciliation mechanism to determine many important facts, including, but not limited to:  whether West Penn’s mechanism is different from PPL Electric’s mechanism and, if so, to what extent; whether the Commission considered the statutory language of Section 1307(f), 66 Pa.C.S. § 1307(f); or whether West Penn recovers cash working capital costs through another method.</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18.</w:t>
      </w:r>
      <w:r>
        <w:rPr>
          <w:sz w:val="24"/>
          <w:szCs w:val="24"/>
        </w:rPr>
        <w:tab/>
        <w:t>Here, PPL Electric was without notice that the ALJ or Commission may rely upon the testimony and interrogatory responses from the West Penn default service plan proceeding.  Consequently, it is inappropriate and contrary to the requirements of due process for the ALJ or the Commission to rely upon the testimony and interrogatory responses from the West Penn default service plan proceeding as suggested by OSBA.</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19.</w:t>
      </w:r>
      <w:r>
        <w:rPr>
          <w:sz w:val="24"/>
          <w:szCs w:val="24"/>
        </w:rPr>
        <w:tab/>
        <w:t xml:space="preserve">Finally, fact finding must be based exclusively on the evidence admitted to the record in the proceeding.  </w:t>
      </w:r>
      <w:proofErr w:type="spellStart"/>
      <w:r>
        <w:rPr>
          <w:i/>
          <w:sz w:val="24"/>
          <w:szCs w:val="24"/>
        </w:rPr>
        <w:t>Kyu</w:t>
      </w:r>
      <w:proofErr w:type="spellEnd"/>
      <w:r>
        <w:rPr>
          <w:i/>
          <w:sz w:val="24"/>
          <w:szCs w:val="24"/>
        </w:rPr>
        <w:t xml:space="preserve"> Son Yi v. State Board of Veterinary Medicine</w:t>
      </w:r>
      <w:r>
        <w:rPr>
          <w:sz w:val="24"/>
          <w:szCs w:val="24"/>
        </w:rPr>
        <w:t>, 960 A.2d 864, 870-871 (Pa. Cmwlth. 2008) (holding that extra-record evidence cannot sustain an adjudication).  Here, the testimony and interrogatory response from the West Penn default service plan proceeding were not admitted to the record in this proceeding.  Accordingly, these extra-record materials cannot support a finding of fact in this proceeding.</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20.</w:t>
      </w:r>
      <w:r>
        <w:rPr>
          <w:sz w:val="24"/>
          <w:szCs w:val="24"/>
        </w:rPr>
        <w:tab/>
        <w:t xml:space="preserve">In summary, OSBA’s attempt to introduce extra-record evidence on page 11 of its Reply Brief is procedurally inappropriate.  To permit OSBA to introduce such extra-record evidence through its Reply Brief without providing PPL Electric with notice and a meaningful opportunity to cross-examine or respond to such extra-record evidence clearly is a violation of PPL Electric’s due process rights.  Finally, PPL Electric was without notice that the ALJ or the Commission may rely upon OSBA’s </w:t>
      </w:r>
      <w:r>
        <w:rPr>
          <w:sz w:val="24"/>
          <w:szCs w:val="24"/>
        </w:rPr>
        <w:lastRenderedPageBreak/>
        <w:t xml:space="preserve">extra-record evidence and, therefore, such extra-record evidence cannot be used by the ALJ or the Commission to support a finding of fact or conclusion of law.  </w:t>
      </w:r>
    </w:p>
    <w:p w:rsidR="00CA697F" w:rsidRDefault="00CA697F" w:rsidP="00CA697F">
      <w:pPr>
        <w:pStyle w:val="ListNumber"/>
        <w:numPr>
          <w:ilvl w:val="0"/>
          <w:numId w:val="0"/>
        </w:numPr>
        <w:spacing w:line="240" w:lineRule="auto"/>
        <w:ind w:left="2160" w:right="1440"/>
        <w:jc w:val="both"/>
        <w:rPr>
          <w:sz w:val="24"/>
          <w:szCs w:val="24"/>
        </w:rPr>
      </w:pPr>
    </w:p>
    <w:p w:rsidR="00CA697F" w:rsidRDefault="00CA697F" w:rsidP="00CA697F">
      <w:pPr>
        <w:pStyle w:val="ListNumber"/>
        <w:numPr>
          <w:ilvl w:val="0"/>
          <w:numId w:val="0"/>
        </w:numPr>
        <w:spacing w:line="240" w:lineRule="auto"/>
        <w:ind w:left="2160" w:right="1440"/>
        <w:jc w:val="both"/>
        <w:rPr>
          <w:sz w:val="24"/>
          <w:szCs w:val="24"/>
        </w:rPr>
      </w:pPr>
      <w:r>
        <w:rPr>
          <w:sz w:val="24"/>
          <w:szCs w:val="24"/>
        </w:rPr>
        <w:t>21.</w:t>
      </w:r>
      <w:r>
        <w:rPr>
          <w:sz w:val="24"/>
          <w:szCs w:val="24"/>
        </w:rPr>
        <w:tab/>
        <w:t>Based on the foregoing, the extra-record evidence on page 11 of OSBA’s Reply Brief should be stricken and disregarded by the ALJ and the Commission.</w:t>
      </w:r>
    </w:p>
    <w:p w:rsidR="00CA697F" w:rsidRDefault="00CA697F" w:rsidP="00CA697F">
      <w:pPr>
        <w:spacing w:line="240" w:lineRule="auto"/>
        <w:ind w:left="1440" w:right="1440"/>
        <w:jc w:val="left"/>
      </w:pPr>
      <w:r>
        <w:tab/>
        <w:t>PPL Electric Motion to Strike at 4-7.</w:t>
      </w:r>
    </w:p>
    <w:p w:rsidR="00CA697F" w:rsidRDefault="00CA697F" w:rsidP="0035562C">
      <w:pPr>
        <w:jc w:val="left"/>
      </w:pPr>
    </w:p>
    <w:p w:rsidR="00682F2F" w:rsidRDefault="00682F2F" w:rsidP="0035562C">
      <w:pPr>
        <w:jc w:val="left"/>
      </w:pPr>
      <w:r>
        <w:tab/>
      </w:r>
      <w:r>
        <w:tab/>
        <w:t xml:space="preserve">I note that the PPL Electric </w:t>
      </w:r>
      <w:r w:rsidR="009E027D">
        <w:t xml:space="preserve">hastily-added, last-paragraph alternative that an affidavit </w:t>
      </w:r>
      <w:r w:rsidR="006402A5">
        <w:t xml:space="preserve">swearing to a conversation with </w:t>
      </w:r>
      <w:r w:rsidR="0093711D">
        <w:t>a</w:t>
      </w:r>
      <w:r w:rsidR="006402A5">
        <w:t xml:space="preserve"> representative from the First Energy companies </w:t>
      </w:r>
      <w:proofErr w:type="gramStart"/>
      <w:r w:rsidR="009E027D">
        <w:t>be</w:t>
      </w:r>
      <w:proofErr w:type="gramEnd"/>
      <w:r w:rsidR="009E027D">
        <w:t xml:space="preserve"> permitted into the record as a response, is no </w:t>
      </w:r>
      <w:r w:rsidR="00CA697F">
        <w:t>more legally defensible</w:t>
      </w:r>
      <w:r w:rsidR="00966E6E">
        <w:t xml:space="preserve"> than the OSBA reference to evidence in another proceeding</w:t>
      </w:r>
      <w:r w:rsidR="009E027D">
        <w:t xml:space="preserve">.  </w:t>
      </w:r>
      <w:r w:rsidR="00B50A6C">
        <w:t xml:space="preserve">The affidavit </w:t>
      </w:r>
      <w:r w:rsidR="009E027D">
        <w:t xml:space="preserve">is accurately characterized by OSBA as "hearsay within hearsay," OSBA Response at ¶10, and as such, is not permitted.  </w:t>
      </w:r>
      <w:r w:rsidR="00004B7F">
        <w:t xml:space="preserve">  </w:t>
      </w:r>
    </w:p>
    <w:p w:rsidR="00E106DD" w:rsidRDefault="00E106DD" w:rsidP="0035562C">
      <w:pPr>
        <w:jc w:val="left"/>
      </w:pPr>
    </w:p>
    <w:p w:rsidR="00E106DD" w:rsidRDefault="00E106DD" w:rsidP="0035562C">
      <w:pPr>
        <w:jc w:val="left"/>
      </w:pPr>
      <w:r>
        <w:tab/>
      </w:r>
      <w:r>
        <w:tab/>
        <w:t xml:space="preserve">OSBA filed a legitimate Motion to Reopen the Record and for Admission of Late-Filed Exhibits </w:t>
      </w:r>
      <w:r w:rsidR="0030537D">
        <w:t>which PPL Electric does not oppose, and OSBA Exhibits F and G will be admitted.</w:t>
      </w:r>
    </w:p>
    <w:p w:rsidR="00B50A6C" w:rsidRDefault="00B50A6C" w:rsidP="0035562C">
      <w:pPr>
        <w:jc w:val="left"/>
      </w:pPr>
    </w:p>
    <w:p w:rsidR="00B50A6C" w:rsidRDefault="00B50A6C" w:rsidP="0035562C">
      <w:pPr>
        <w:jc w:val="left"/>
      </w:pPr>
      <w:r>
        <w:tab/>
      </w:r>
      <w:r>
        <w:tab/>
      </w:r>
      <w:r w:rsidR="00E80B80">
        <w:t>However</w:t>
      </w:r>
      <w:r>
        <w:t xml:space="preserve">, OSBA tacked a Petition to Reopen the Record </w:t>
      </w:r>
      <w:r w:rsidR="0093711D">
        <w:t>onto its Response, seeking</w:t>
      </w:r>
      <w:r>
        <w:t xml:space="preserve"> the admission of its Exhibit H, an excerpt of its testimony in the West Penn Default Service Case</w:t>
      </w:r>
      <w:r w:rsidR="0093711D">
        <w:t xml:space="preserve">.  OSBA </w:t>
      </w:r>
      <w:r>
        <w:t>c</w:t>
      </w:r>
      <w:r w:rsidR="0093711D">
        <w:t>haracterizes this action</w:t>
      </w:r>
      <w:r>
        <w:t xml:space="preserve"> as a solution to the controversy because it is "a narrowly-tailored response to an argument raised for the first time in PPL's Main Brief after the record was closed.  Moreover, admission of the exhibit will render PPL's Motion moot."  OSBA Response and Petition to </w:t>
      </w:r>
      <w:proofErr w:type="gramStart"/>
      <w:r>
        <w:t>Reopen</w:t>
      </w:r>
      <w:proofErr w:type="gramEnd"/>
      <w:r>
        <w:t xml:space="preserve"> at ¶21.</w:t>
      </w:r>
      <w:r w:rsidR="00966E6E">
        <w:t xml:space="preserve">  </w:t>
      </w:r>
      <w:r w:rsidR="0093711D">
        <w:t>As the exhibit is as inappropriate as the reference to it was in the Reply Brief, this Motion is denied.</w:t>
      </w:r>
    </w:p>
    <w:p w:rsidR="00004B7F" w:rsidRDefault="00004B7F" w:rsidP="0035562C">
      <w:pPr>
        <w:jc w:val="left"/>
      </w:pPr>
    </w:p>
    <w:p w:rsidR="00B63534" w:rsidRDefault="005224E6" w:rsidP="00B63534">
      <w:pPr>
        <w:jc w:val="left"/>
      </w:pPr>
      <w:r>
        <w:tab/>
      </w:r>
      <w:r>
        <w:tab/>
        <w:t>The seminal statement at the root of this flurry of filings is a</w:t>
      </w:r>
      <w:r w:rsidR="00B63534">
        <w:t xml:space="preserve"> simple statement that this case will affect a large number of utilities and have a broad impact</w:t>
      </w:r>
      <w:r>
        <w:t>.  This is</w:t>
      </w:r>
      <w:r w:rsidR="00B63534">
        <w:t xml:space="preserve"> a statement which falls squarely within the opinion and advocacy category that is expected in briefs</w:t>
      </w:r>
      <w:r>
        <w:t>.  O</w:t>
      </w:r>
      <w:r w:rsidR="00B63534">
        <w:t xml:space="preserve">SBA </w:t>
      </w:r>
      <w:r>
        <w:t>protests that, i</w:t>
      </w:r>
      <w:r w:rsidR="00B63534">
        <w:t>f portions of OSBA's Reply Brief are stricken, then due process requires that PPL's argument to which the OSBA was responding must also be stricken." OSBA Answer at 2, ¶9.</w:t>
      </w:r>
      <w:r>
        <w:t xml:space="preserve">  This would only be true if the original statement were legally objectionable, which it is not.  </w:t>
      </w:r>
    </w:p>
    <w:p w:rsidR="005224E6" w:rsidRDefault="005224E6" w:rsidP="00B63534">
      <w:pPr>
        <w:jc w:val="left"/>
      </w:pPr>
    </w:p>
    <w:p w:rsidR="005224E6" w:rsidRDefault="005224E6" w:rsidP="00B63534">
      <w:pPr>
        <w:jc w:val="left"/>
      </w:pPr>
      <w:r>
        <w:lastRenderedPageBreak/>
        <w:tab/>
      </w:r>
      <w:r>
        <w:tab/>
        <w:t>THEREFORE,</w:t>
      </w:r>
    </w:p>
    <w:p w:rsidR="005224E6" w:rsidRDefault="005224E6" w:rsidP="00B63534">
      <w:pPr>
        <w:jc w:val="left"/>
      </w:pPr>
    </w:p>
    <w:p w:rsidR="005224E6" w:rsidRDefault="005224E6" w:rsidP="00B63534">
      <w:pPr>
        <w:jc w:val="left"/>
      </w:pPr>
      <w:r>
        <w:tab/>
      </w:r>
      <w:r>
        <w:tab/>
        <w:t>IT IS ORDERED:</w:t>
      </w:r>
    </w:p>
    <w:p w:rsidR="005224E6" w:rsidRDefault="005224E6" w:rsidP="00B63534">
      <w:pPr>
        <w:jc w:val="left"/>
      </w:pPr>
    </w:p>
    <w:p w:rsidR="005224E6" w:rsidRDefault="005224E6" w:rsidP="00B63534">
      <w:pPr>
        <w:jc w:val="left"/>
      </w:pPr>
      <w:r>
        <w:tab/>
      </w:r>
      <w:r>
        <w:tab/>
        <w:t>1.</w:t>
      </w:r>
      <w:r>
        <w:tab/>
        <w:t>That the Motion of PPL Electric Utilities Corporation to Strike Certain Portions of the Reply Brief of the Office of Small Business Advocate is granted.</w:t>
      </w:r>
    </w:p>
    <w:p w:rsidR="005224E6" w:rsidRDefault="005224E6" w:rsidP="00B63534">
      <w:pPr>
        <w:jc w:val="left"/>
      </w:pPr>
    </w:p>
    <w:p w:rsidR="005224E6" w:rsidRDefault="005224E6" w:rsidP="00B63534">
      <w:pPr>
        <w:jc w:val="left"/>
      </w:pPr>
      <w:r>
        <w:tab/>
      </w:r>
      <w:r>
        <w:tab/>
        <w:t>2.</w:t>
      </w:r>
      <w:r>
        <w:tab/>
        <w:t>That the Office of Small Business Advocate shall file</w:t>
      </w:r>
      <w:r w:rsidR="00E90A24">
        <w:t xml:space="preserve"> and serve</w:t>
      </w:r>
      <w:r>
        <w:t xml:space="preserve"> an Amended Reply Brief which omits the stricken portion, consisting of the second full paragraph of page 11 of the Reply Brief, within ten days of the receipt of this Order</w:t>
      </w:r>
      <w:r w:rsidR="00CF08C4">
        <w:t>, with a copy of th</w:t>
      </w:r>
      <w:r w:rsidR="00E90A24">
        <w:t>is</w:t>
      </w:r>
      <w:r w:rsidR="00CF08C4">
        <w:t xml:space="preserve"> Order attached</w:t>
      </w:r>
      <w:r>
        <w:t>.</w:t>
      </w:r>
    </w:p>
    <w:p w:rsidR="005224E6" w:rsidRDefault="005224E6" w:rsidP="00B63534">
      <w:pPr>
        <w:jc w:val="left"/>
      </w:pPr>
    </w:p>
    <w:p w:rsidR="005224E6" w:rsidRDefault="005224E6" w:rsidP="00B63534">
      <w:pPr>
        <w:jc w:val="left"/>
      </w:pPr>
      <w:r>
        <w:tab/>
      </w:r>
      <w:r>
        <w:tab/>
        <w:t>3.</w:t>
      </w:r>
      <w:r>
        <w:tab/>
        <w:t>That the Petition to Reopen the Record</w:t>
      </w:r>
      <w:r w:rsidR="00CF08C4">
        <w:t>,</w:t>
      </w:r>
      <w:r>
        <w:t xml:space="preserve"> provided as an alternative to striking the of</w:t>
      </w:r>
      <w:r w:rsidR="00CF08C4">
        <w:t>fensive language of the</w:t>
      </w:r>
      <w:r w:rsidR="00CF08C4" w:rsidRPr="00CF08C4">
        <w:t xml:space="preserve"> </w:t>
      </w:r>
      <w:r w:rsidR="00CF08C4">
        <w:t xml:space="preserve">Office of Small Business Advocate </w:t>
      </w:r>
      <w:r>
        <w:t xml:space="preserve"> Reply Brief, filed by PPL Electric Utility Corporation for the purpose of admitting an affidavit, is denied.</w:t>
      </w:r>
    </w:p>
    <w:p w:rsidR="005224E6" w:rsidRDefault="005224E6" w:rsidP="00B63534">
      <w:pPr>
        <w:jc w:val="left"/>
      </w:pPr>
    </w:p>
    <w:p w:rsidR="00CF08C4" w:rsidRDefault="005224E6" w:rsidP="00B63534">
      <w:pPr>
        <w:jc w:val="left"/>
      </w:pPr>
      <w:r>
        <w:tab/>
      </w:r>
      <w:r>
        <w:tab/>
        <w:t>4.</w:t>
      </w:r>
      <w:r>
        <w:tab/>
        <w:t>Th</w:t>
      </w:r>
      <w:r w:rsidR="00CF08C4">
        <w:t>at the</w:t>
      </w:r>
      <w:r w:rsidR="00CF08C4" w:rsidRPr="00CF08C4">
        <w:t xml:space="preserve"> </w:t>
      </w:r>
      <w:r w:rsidR="00CF08C4">
        <w:t>Office of Small Business Advocate Motion to Reopen the Record and for Admission of Late-Filed Exhibits F &amp; G is granted without opposition.</w:t>
      </w:r>
    </w:p>
    <w:p w:rsidR="00CF08C4" w:rsidRDefault="00CF08C4" w:rsidP="00B63534">
      <w:pPr>
        <w:jc w:val="left"/>
      </w:pPr>
    </w:p>
    <w:p w:rsidR="005224E6" w:rsidRDefault="00CF08C4" w:rsidP="00B63534">
      <w:pPr>
        <w:jc w:val="left"/>
      </w:pPr>
      <w:r>
        <w:tab/>
      </w:r>
      <w:r>
        <w:tab/>
        <w:t>5.</w:t>
      </w:r>
      <w:r>
        <w:tab/>
        <w:t xml:space="preserve">That the Office of Small Business Advocate Petition to Reopen the Record for the admission of its proposed Exhibit H is denied.  </w:t>
      </w:r>
    </w:p>
    <w:p w:rsidR="00CF08C4" w:rsidRDefault="00CF08C4" w:rsidP="00B63534">
      <w:pPr>
        <w:jc w:val="left"/>
      </w:pPr>
    </w:p>
    <w:p w:rsidR="00CF08C4" w:rsidRDefault="00CF08C4" w:rsidP="00B63534">
      <w:pPr>
        <w:jc w:val="left"/>
      </w:pPr>
    </w:p>
    <w:p w:rsidR="00CF08C4" w:rsidRDefault="00CF08C4" w:rsidP="00CF08C4">
      <w:pPr>
        <w:spacing w:line="240" w:lineRule="auto"/>
        <w:jc w:val="left"/>
      </w:pPr>
      <w:r>
        <w:t xml:space="preserve">Dated: </w:t>
      </w:r>
      <w:r>
        <w:rPr>
          <w:u w:val="single"/>
        </w:rPr>
        <w:t>December 15, 2011</w:t>
      </w:r>
      <w:r>
        <w:tab/>
      </w:r>
      <w:r>
        <w:tab/>
      </w:r>
      <w:r>
        <w:tab/>
      </w:r>
      <w:r>
        <w:tab/>
        <w:t>___________________________________</w:t>
      </w:r>
    </w:p>
    <w:p w:rsidR="00CF08C4" w:rsidRDefault="00CF08C4" w:rsidP="00CF08C4">
      <w:pPr>
        <w:spacing w:line="240" w:lineRule="auto"/>
        <w:jc w:val="left"/>
      </w:pPr>
      <w:r>
        <w:tab/>
      </w:r>
      <w:r>
        <w:tab/>
      </w:r>
      <w:r>
        <w:tab/>
      </w:r>
      <w:r>
        <w:tab/>
      </w:r>
      <w:r>
        <w:tab/>
      </w:r>
      <w:r>
        <w:tab/>
      </w:r>
      <w:r>
        <w:tab/>
        <w:t>Susan D. Colwell</w:t>
      </w:r>
    </w:p>
    <w:p w:rsidR="00CF08C4" w:rsidRPr="00CF08C4" w:rsidRDefault="00CF08C4" w:rsidP="00CF08C4">
      <w:pPr>
        <w:spacing w:line="240" w:lineRule="auto"/>
        <w:jc w:val="left"/>
      </w:pPr>
      <w:r>
        <w:tab/>
      </w:r>
      <w:r>
        <w:tab/>
      </w:r>
      <w:r>
        <w:tab/>
      </w:r>
      <w:r>
        <w:tab/>
      </w:r>
      <w:r>
        <w:tab/>
      </w:r>
      <w:r>
        <w:tab/>
      </w:r>
      <w:r>
        <w:tab/>
        <w:t>Administrative Law Judge</w:t>
      </w:r>
    </w:p>
    <w:p w:rsidR="00CD002F" w:rsidRDefault="00CD002F" w:rsidP="0035562C">
      <w:pPr>
        <w:jc w:val="left"/>
        <w:sectPr w:rsidR="00CD002F" w:rsidSect="00741A7F">
          <w:footerReference w:type="default" r:id="rId8"/>
          <w:pgSz w:w="12240" w:h="15840"/>
          <w:pgMar w:top="1440" w:right="1440" w:bottom="1440" w:left="1440" w:header="720" w:footer="720" w:gutter="0"/>
          <w:cols w:space="720"/>
          <w:titlePg/>
          <w:docGrid w:linePitch="360"/>
        </w:sectPr>
      </w:pPr>
    </w:p>
    <w:p w:rsidR="00CD002F" w:rsidRPr="00CD002F" w:rsidRDefault="00CD002F" w:rsidP="00CD002F">
      <w:pPr>
        <w:spacing w:line="276" w:lineRule="auto"/>
        <w:contextualSpacing/>
        <w:jc w:val="left"/>
        <w:rPr>
          <w:rFonts w:ascii="Microsoft Sans Serif" w:eastAsiaTheme="minorEastAsia" w:hAnsiTheme="minorHAnsi" w:cstheme="minorBidi"/>
          <w:b/>
          <w:szCs w:val="22"/>
          <w:u w:val="single"/>
        </w:rPr>
      </w:pPr>
      <w:r w:rsidRPr="00CD002F">
        <w:rPr>
          <w:rFonts w:ascii="Microsoft Sans Serif" w:eastAsiaTheme="minorEastAsia" w:hAnsiTheme="minorHAnsi" w:cstheme="minorBidi"/>
          <w:b/>
          <w:szCs w:val="22"/>
          <w:u w:val="single"/>
        </w:rPr>
        <w:lastRenderedPageBreak/>
        <w:t>C-2011-2245906 - WILLIAM R LLOYD JR, SMALL BUSINESS ADVOCATE v. PPL ELECTRIC UTILITIES CORPORATION</w:t>
      </w:r>
    </w:p>
    <w:p w:rsidR="00CD002F" w:rsidRPr="00CD002F" w:rsidRDefault="00CD002F" w:rsidP="00CD002F">
      <w:pPr>
        <w:spacing w:line="276" w:lineRule="auto"/>
        <w:contextualSpacing/>
        <w:jc w:val="left"/>
        <w:rPr>
          <w:rFonts w:ascii="Microsoft Sans Serif" w:eastAsiaTheme="minorEastAsia" w:hAnsiTheme="minorHAnsi" w:cstheme="minorBidi"/>
          <w:b/>
          <w:szCs w:val="22"/>
          <w:u w:val="single"/>
        </w:rPr>
      </w:pPr>
    </w:p>
    <w:p w:rsidR="00CD002F" w:rsidRPr="00CD002F" w:rsidRDefault="00CD002F" w:rsidP="00CD002F">
      <w:pPr>
        <w:spacing w:line="276" w:lineRule="auto"/>
        <w:contextualSpacing/>
        <w:jc w:val="left"/>
        <w:rPr>
          <w:rFonts w:ascii="Microsoft Sans Serif" w:eastAsiaTheme="minorEastAsia" w:hAnsiTheme="minorHAnsi" w:cstheme="minorBidi"/>
          <w:b/>
          <w:szCs w:val="22"/>
          <w:u w:val="single"/>
        </w:rPr>
      </w:pPr>
      <w:r w:rsidRPr="00CD002F">
        <w:rPr>
          <w:rFonts w:ascii="Microsoft Sans Serif" w:eastAsiaTheme="minorEastAsia" w:hAnsiTheme="minorHAnsi" w:cstheme="minorBidi"/>
          <w:b/>
          <w:szCs w:val="22"/>
          <w:u w:val="single"/>
        </w:rPr>
        <w:t xml:space="preserve">M-2011-2243137 PPL ELECTRIC UTILITIES CORPORATION PROPOSED GENERATION SUPPLY CHARGE </w:t>
      </w:r>
      <w:r w:rsidRPr="00CD002F">
        <w:rPr>
          <w:rFonts w:ascii="Microsoft Sans Serif" w:eastAsiaTheme="minorEastAsia" w:hAnsiTheme="minorHAnsi" w:cstheme="minorBidi"/>
          <w:b/>
          <w:szCs w:val="22"/>
          <w:u w:val="single"/>
        </w:rPr>
        <w:t>–</w:t>
      </w:r>
      <w:r w:rsidRPr="00CD002F">
        <w:rPr>
          <w:rFonts w:ascii="Microsoft Sans Serif" w:eastAsiaTheme="minorEastAsia" w:hAnsiTheme="minorHAnsi" w:cstheme="minorBidi"/>
          <w:b/>
          <w:szCs w:val="22"/>
          <w:u w:val="single"/>
        </w:rPr>
        <w:t xml:space="preserve"> 1 FOR THE PERIOD JUNE 1, 2011 THROUGH AUGUST 21, 2011</w:t>
      </w:r>
    </w:p>
    <w:p w:rsidR="00CD002F" w:rsidRPr="00CD002F" w:rsidRDefault="00CD002F" w:rsidP="00CD002F">
      <w:pPr>
        <w:spacing w:line="276" w:lineRule="auto"/>
        <w:contextualSpacing/>
        <w:jc w:val="left"/>
        <w:rPr>
          <w:rFonts w:ascii="Microsoft Sans Serif" w:eastAsiaTheme="minorEastAsia" w:hAnsiTheme="minorHAnsi" w:cstheme="minorBidi"/>
          <w:b/>
          <w:szCs w:val="22"/>
          <w:u w:val="single"/>
        </w:rPr>
      </w:pPr>
    </w:p>
    <w:p w:rsidR="00CD002F" w:rsidRPr="00CD002F" w:rsidRDefault="00CD002F" w:rsidP="00CD002F">
      <w:pPr>
        <w:spacing w:line="276" w:lineRule="auto"/>
        <w:contextualSpacing/>
        <w:jc w:val="left"/>
        <w:rPr>
          <w:rFonts w:ascii="Microsoft Sans Serif" w:eastAsiaTheme="minorEastAsia" w:hAnsiTheme="minorHAnsi" w:cstheme="minorBidi"/>
          <w:szCs w:val="22"/>
        </w:rPr>
        <w:sectPr w:rsidR="00CD002F" w:rsidRPr="00CD002F" w:rsidSect="00AF3B14">
          <w:pgSz w:w="12240" w:h="15840"/>
          <w:pgMar w:top="1440" w:right="1440" w:bottom="720" w:left="1440" w:header="720" w:footer="720" w:gutter="0"/>
          <w:cols w:space="720"/>
          <w:docGrid w:linePitch="360"/>
        </w:sectPr>
      </w:pP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lastRenderedPageBreak/>
        <w:t>ELIZABETH ROSE TRISCARI ESQUIRE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OFFICE OF SMALL BUSINESS ADVOCATE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SUITE 1102 COMMERCE BUILDING</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 xml:space="preserve">300 NORTH SECOND </w:t>
      </w:r>
      <w:proofErr w:type="gramStart"/>
      <w:r w:rsidRPr="00CD002F">
        <w:rPr>
          <w:rFonts w:ascii="Microsoft Sans Serif" w:eastAsiaTheme="minorEastAsia" w:hAnsiTheme="minorHAnsi" w:cstheme="minorBidi"/>
          <w:szCs w:val="22"/>
        </w:rPr>
        <w:t>STREET</w:t>
      </w:r>
      <w:proofErr w:type="gramEnd"/>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HARRISBURG PA  17101</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717-783-2525</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PAUL E RUSSELL ESQUIRE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PPL ELECTRIC UTILITIES CORPORATION</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2 NORTH NINTH STREET</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ALLENTOWN PA  18101</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610-774-4254</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ANTHONY D KANAGY ESQUIRE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POST &amp; SCHELL PC</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12TH FLOOR</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 xml:space="preserve">17 NORTH SECOND </w:t>
      </w:r>
      <w:proofErr w:type="gramStart"/>
      <w:r w:rsidRPr="00CD002F">
        <w:rPr>
          <w:rFonts w:ascii="Microsoft Sans Serif" w:eastAsiaTheme="minorEastAsia" w:hAnsiTheme="minorHAnsi" w:cstheme="minorBidi"/>
          <w:szCs w:val="22"/>
        </w:rPr>
        <w:t>STREET</w:t>
      </w:r>
      <w:proofErr w:type="gramEnd"/>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HARRISBURG PA  17101-1601</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717-612-6034</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DAVID B MACGREGOR ESQUIRE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POST &amp; SCHELL PC</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FOUR PENN CENTER</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1600 JOHN F KENNEDY BOULEVARD</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PHILADELPHIA PA  19103-2808</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215-587-1197</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TANYA J MCCLOSKEY ESQUIRE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OFFICE OF CONSUMER ADVOCATE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5</w:t>
      </w:r>
      <w:r w:rsidRPr="00CD002F">
        <w:rPr>
          <w:rFonts w:ascii="Microsoft Sans Serif" w:eastAsiaTheme="minorEastAsia" w:hAnsiTheme="minorHAnsi" w:cstheme="minorBidi"/>
          <w:szCs w:val="22"/>
          <w:vertAlign w:val="superscript"/>
        </w:rPr>
        <w:t>TH</w:t>
      </w:r>
      <w:r w:rsidRPr="00CD002F">
        <w:rPr>
          <w:rFonts w:ascii="Microsoft Sans Serif" w:eastAsiaTheme="minorEastAsia" w:hAnsiTheme="minorHAnsi" w:cstheme="minorBidi"/>
          <w:szCs w:val="22"/>
        </w:rPr>
        <w:t xml:space="preserve"> FLOOR FORUM PLACE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555 WALNUT STREET</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HARRISBURG PA 17101</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ADEOLU BAKARE ESQUIRE</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PA PUBLIC UTILITY COMMISSION</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OFFICE OF TRIAL STAFF</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PO BOX 3265</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HARRISBURG PA 17105-3265</w:t>
      </w:r>
    </w:p>
    <w:p w:rsidR="00CD002F" w:rsidRPr="00CD002F" w:rsidRDefault="00CD002F" w:rsidP="00CD002F">
      <w:pPr>
        <w:spacing w:line="276" w:lineRule="auto"/>
        <w:contextualSpacing/>
        <w:jc w:val="left"/>
        <w:rPr>
          <w:rFonts w:ascii="Microsoft Sans Serif" w:eastAsiaTheme="minorEastAsia" w:hAnsiTheme="minorHAnsi" w:cstheme="minorBidi"/>
          <w:szCs w:val="22"/>
        </w:rPr>
      </w:pPr>
      <w:r w:rsidRPr="00CD002F">
        <w:rPr>
          <w:rFonts w:ascii="Microsoft Sans Serif" w:eastAsiaTheme="minorEastAsia" w:hAnsiTheme="minorHAnsi" w:cstheme="minorBidi"/>
          <w:szCs w:val="22"/>
        </w:rPr>
        <w:t>717-783-6155</w:t>
      </w:r>
    </w:p>
    <w:p w:rsidR="00CD002F" w:rsidRPr="00CD002F" w:rsidRDefault="00CD002F" w:rsidP="00CD002F">
      <w:pPr>
        <w:spacing w:line="276" w:lineRule="auto"/>
        <w:contextualSpacing/>
        <w:jc w:val="left"/>
        <w:rPr>
          <w:rFonts w:asciiTheme="minorHAnsi" w:eastAsiaTheme="minorEastAsia" w:hAnsiTheme="minorHAnsi" w:cstheme="minorBidi"/>
          <w:sz w:val="22"/>
          <w:szCs w:val="22"/>
        </w:rPr>
      </w:pPr>
    </w:p>
    <w:p w:rsidR="00B63534" w:rsidRPr="005A48AF" w:rsidRDefault="00B63534" w:rsidP="0035562C">
      <w:pPr>
        <w:jc w:val="left"/>
      </w:pPr>
      <w:bookmarkStart w:id="0" w:name="_GoBack"/>
      <w:bookmarkEnd w:id="0"/>
    </w:p>
    <w:sectPr w:rsidR="00B63534" w:rsidRPr="005A48AF" w:rsidSect="000F292B">
      <w:type w:val="continuous"/>
      <w:pgSz w:w="12240" w:h="15840"/>
      <w:pgMar w:top="1440" w:right="1440" w:bottom="72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253" w:rsidRDefault="00F50253" w:rsidP="00E03D5F">
      <w:pPr>
        <w:spacing w:line="240" w:lineRule="auto"/>
      </w:pPr>
      <w:r>
        <w:separator/>
      </w:r>
    </w:p>
  </w:endnote>
  <w:endnote w:type="continuationSeparator" w:id="0">
    <w:p w:rsidR="00F50253" w:rsidRDefault="00F50253" w:rsidP="00E03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167450"/>
      <w:docPartObj>
        <w:docPartGallery w:val="Page Numbers (Bottom of Page)"/>
        <w:docPartUnique/>
      </w:docPartObj>
    </w:sdtPr>
    <w:sdtEndPr>
      <w:rPr>
        <w:noProof/>
      </w:rPr>
    </w:sdtEndPr>
    <w:sdtContent>
      <w:p w:rsidR="00E03D5F" w:rsidRDefault="00E03D5F">
        <w:pPr>
          <w:pStyle w:val="Footer"/>
        </w:pPr>
        <w:r>
          <w:fldChar w:fldCharType="begin"/>
        </w:r>
        <w:r>
          <w:instrText xml:space="preserve"> PAGE   \* MERGEFORMAT </w:instrText>
        </w:r>
        <w:r>
          <w:fldChar w:fldCharType="separate"/>
        </w:r>
        <w:r w:rsidR="00CD002F">
          <w:rPr>
            <w:noProof/>
          </w:rPr>
          <w:t>10</w:t>
        </w:r>
        <w:r>
          <w:rPr>
            <w:noProof/>
          </w:rPr>
          <w:fldChar w:fldCharType="end"/>
        </w:r>
      </w:p>
    </w:sdtContent>
  </w:sdt>
  <w:p w:rsidR="00E03D5F" w:rsidRDefault="00E03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253" w:rsidRDefault="00F50253" w:rsidP="00E03D5F">
      <w:pPr>
        <w:spacing w:line="240" w:lineRule="auto"/>
      </w:pPr>
      <w:r>
        <w:separator/>
      </w:r>
    </w:p>
  </w:footnote>
  <w:footnote w:type="continuationSeparator" w:id="0">
    <w:p w:rsidR="00F50253" w:rsidRDefault="00F50253" w:rsidP="00E03D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64BA3"/>
    <w:multiLevelType w:val="singleLevel"/>
    <w:tmpl w:val="C6C889EE"/>
    <w:name w:val=" Numbered List"/>
    <w:lvl w:ilvl="0">
      <w:start w:val="1"/>
      <w:numFmt w:val="decimal"/>
      <w:pStyle w:val="ListNumber"/>
      <w:lvlText w:val="%1."/>
      <w:lvlJc w:val="left"/>
      <w:pPr>
        <w:tabs>
          <w:tab w:val="num" w:pos="1440"/>
        </w:tabs>
        <w:ind w:left="0" w:firstLine="720"/>
      </w:pPr>
      <w:rPr>
        <w:sz w:val="24"/>
        <w:szCs w:val="24"/>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2C"/>
    <w:rsid w:val="00001E3A"/>
    <w:rsid w:val="00001EF6"/>
    <w:rsid w:val="000028EA"/>
    <w:rsid w:val="00003D11"/>
    <w:rsid w:val="00004AA3"/>
    <w:rsid w:val="00004B7F"/>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11C"/>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4663"/>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537D"/>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562C"/>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4E02"/>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4E6"/>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48AF"/>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02A5"/>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2F2F"/>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1A7F"/>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686"/>
    <w:rsid w:val="00876B32"/>
    <w:rsid w:val="00882CB8"/>
    <w:rsid w:val="00884366"/>
    <w:rsid w:val="00884650"/>
    <w:rsid w:val="008851B9"/>
    <w:rsid w:val="00885F50"/>
    <w:rsid w:val="00887314"/>
    <w:rsid w:val="00890EB4"/>
    <w:rsid w:val="00891D35"/>
    <w:rsid w:val="0089300E"/>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11D"/>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6E6E"/>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027D"/>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0A6C"/>
    <w:rsid w:val="00B55869"/>
    <w:rsid w:val="00B567F1"/>
    <w:rsid w:val="00B569FA"/>
    <w:rsid w:val="00B571D3"/>
    <w:rsid w:val="00B60E2D"/>
    <w:rsid w:val="00B63534"/>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2A1D"/>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44B"/>
    <w:rsid w:val="00C97ED3"/>
    <w:rsid w:val="00CA043D"/>
    <w:rsid w:val="00CA069B"/>
    <w:rsid w:val="00CA09C4"/>
    <w:rsid w:val="00CA27F9"/>
    <w:rsid w:val="00CA28AD"/>
    <w:rsid w:val="00CA4F28"/>
    <w:rsid w:val="00CA697F"/>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02F"/>
    <w:rsid w:val="00CD0768"/>
    <w:rsid w:val="00CD3CC4"/>
    <w:rsid w:val="00CD788F"/>
    <w:rsid w:val="00CE047D"/>
    <w:rsid w:val="00CE1017"/>
    <w:rsid w:val="00CE358A"/>
    <w:rsid w:val="00CE373E"/>
    <w:rsid w:val="00CE43AF"/>
    <w:rsid w:val="00CE577D"/>
    <w:rsid w:val="00CE665D"/>
    <w:rsid w:val="00CE6758"/>
    <w:rsid w:val="00CE7731"/>
    <w:rsid w:val="00CF08C4"/>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4F0B"/>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3D5F"/>
    <w:rsid w:val="00E04587"/>
    <w:rsid w:val="00E04EFF"/>
    <w:rsid w:val="00E05212"/>
    <w:rsid w:val="00E05D02"/>
    <w:rsid w:val="00E0690D"/>
    <w:rsid w:val="00E101A9"/>
    <w:rsid w:val="00E106DD"/>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0B80"/>
    <w:rsid w:val="00E8107B"/>
    <w:rsid w:val="00E83629"/>
    <w:rsid w:val="00E838DB"/>
    <w:rsid w:val="00E83F7E"/>
    <w:rsid w:val="00E865F0"/>
    <w:rsid w:val="00E868E7"/>
    <w:rsid w:val="00E90A24"/>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253"/>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0D7"/>
    <w:rsid w:val="00FC4527"/>
    <w:rsid w:val="00FC65BE"/>
    <w:rsid w:val="00FC70C0"/>
    <w:rsid w:val="00FC7307"/>
    <w:rsid w:val="00FD1EEA"/>
    <w:rsid w:val="00FD30C0"/>
    <w:rsid w:val="00FD33CF"/>
    <w:rsid w:val="00FD36CA"/>
    <w:rsid w:val="00FD3B41"/>
    <w:rsid w:val="00FD4E22"/>
    <w:rsid w:val="00FD58B9"/>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5F"/>
    <w:pPr>
      <w:tabs>
        <w:tab w:val="center" w:pos="4680"/>
        <w:tab w:val="right" w:pos="9360"/>
      </w:tabs>
      <w:spacing w:line="240" w:lineRule="auto"/>
    </w:pPr>
  </w:style>
  <w:style w:type="character" w:customStyle="1" w:styleId="HeaderChar">
    <w:name w:val="Header Char"/>
    <w:basedOn w:val="DefaultParagraphFont"/>
    <w:link w:val="Header"/>
    <w:uiPriority w:val="99"/>
    <w:rsid w:val="00E03D5F"/>
  </w:style>
  <w:style w:type="paragraph" w:styleId="Footer">
    <w:name w:val="footer"/>
    <w:basedOn w:val="Normal"/>
    <w:link w:val="FooterChar"/>
    <w:uiPriority w:val="99"/>
    <w:unhideWhenUsed/>
    <w:rsid w:val="00E03D5F"/>
    <w:pPr>
      <w:tabs>
        <w:tab w:val="center" w:pos="4680"/>
        <w:tab w:val="right" w:pos="9360"/>
      </w:tabs>
      <w:spacing w:line="240" w:lineRule="auto"/>
    </w:pPr>
  </w:style>
  <w:style w:type="character" w:customStyle="1" w:styleId="FooterChar">
    <w:name w:val="Footer Char"/>
    <w:basedOn w:val="DefaultParagraphFont"/>
    <w:link w:val="Footer"/>
    <w:uiPriority w:val="99"/>
    <w:rsid w:val="00E03D5F"/>
  </w:style>
  <w:style w:type="paragraph" w:styleId="ListNumber">
    <w:name w:val="List Number"/>
    <w:basedOn w:val="Normal"/>
    <w:semiHidden/>
    <w:unhideWhenUsed/>
    <w:rsid w:val="00CA697F"/>
    <w:pPr>
      <w:numPr>
        <w:numId w:val="1"/>
      </w:numPr>
      <w:autoSpaceDE w:val="0"/>
      <w:autoSpaceDN w:val="0"/>
      <w:spacing w:line="480" w:lineRule="auto"/>
      <w:jc w:val="left"/>
    </w:pPr>
    <w:rPr>
      <w:rFonts w:eastAsia="Times New Roman"/>
      <w:sz w:val="26"/>
      <w:szCs w:val="26"/>
    </w:rPr>
  </w:style>
  <w:style w:type="paragraph" w:styleId="BodyText">
    <w:name w:val="Body Text"/>
    <w:basedOn w:val="Normal"/>
    <w:link w:val="BodyTextChar"/>
    <w:semiHidden/>
    <w:unhideWhenUsed/>
    <w:rsid w:val="00CA697F"/>
    <w:pPr>
      <w:autoSpaceDE w:val="0"/>
      <w:autoSpaceDN w:val="0"/>
      <w:spacing w:after="240" w:line="240" w:lineRule="auto"/>
      <w:ind w:firstLine="720"/>
      <w:jc w:val="both"/>
    </w:pPr>
    <w:rPr>
      <w:rFonts w:eastAsia="Times New Roman"/>
      <w:sz w:val="26"/>
      <w:szCs w:val="26"/>
    </w:rPr>
  </w:style>
  <w:style w:type="character" w:customStyle="1" w:styleId="BodyTextChar">
    <w:name w:val="Body Text Char"/>
    <w:basedOn w:val="DefaultParagraphFont"/>
    <w:link w:val="BodyText"/>
    <w:semiHidden/>
    <w:rsid w:val="00CA697F"/>
    <w:rPr>
      <w:rFonts w:eastAsia="Times New Roman"/>
      <w:sz w:val="26"/>
      <w:szCs w:val="26"/>
    </w:rPr>
  </w:style>
  <w:style w:type="paragraph" w:customStyle="1" w:styleId="IndentSingle">
    <w:name w:val="Indent Single"/>
    <w:basedOn w:val="Normal"/>
    <w:next w:val="BodyText"/>
    <w:rsid w:val="00CA697F"/>
    <w:pPr>
      <w:autoSpaceDE w:val="0"/>
      <w:autoSpaceDN w:val="0"/>
      <w:spacing w:after="240" w:line="240" w:lineRule="auto"/>
      <w:ind w:left="1440" w:right="1440"/>
      <w:jc w:val="both"/>
    </w:pPr>
    <w:rPr>
      <w:rFonts w:eastAsia="Times New Roman"/>
      <w:sz w:val="26"/>
      <w:szCs w:val="26"/>
    </w:rPr>
  </w:style>
  <w:style w:type="paragraph" w:styleId="BalloonText">
    <w:name w:val="Balloon Text"/>
    <w:basedOn w:val="Normal"/>
    <w:link w:val="BalloonTextChar"/>
    <w:uiPriority w:val="99"/>
    <w:semiHidden/>
    <w:unhideWhenUsed/>
    <w:rsid w:val="00E90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5F"/>
    <w:pPr>
      <w:tabs>
        <w:tab w:val="center" w:pos="4680"/>
        <w:tab w:val="right" w:pos="9360"/>
      </w:tabs>
      <w:spacing w:line="240" w:lineRule="auto"/>
    </w:pPr>
  </w:style>
  <w:style w:type="character" w:customStyle="1" w:styleId="HeaderChar">
    <w:name w:val="Header Char"/>
    <w:basedOn w:val="DefaultParagraphFont"/>
    <w:link w:val="Header"/>
    <w:uiPriority w:val="99"/>
    <w:rsid w:val="00E03D5F"/>
  </w:style>
  <w:style w:type="paragraph" w:styleId="Footer">
    <w:name w:val="footer"/>
    <w:basedOn w:val="Normal"/>
    <w:link w:val="FooterChar"/>
    <w:uiPriority w:val="99"/>
    <w:unhideWhenUsed/>
    <w:rsid w:val="00E03D5F"/>
    <w:pPr>
      <w:tabs>
        <w:tab w:val="center" w:pos="4680"/>
        <w:tab w:val="right" w:pos="9360"/>
      </w:tabs>
      <w:spacing w:line="240" w:lineRule="auto"/>
    </w:pPr>
  </w:style>
  <w:style w:type="character" w:customStyle="1" w:styleId="FooterChar">
    <w:name w:val="Footer Char"/>
    <w:basedOn w:val="DefaultParagraphFont"/>
    <w:link w:val="Footer"/>
    <w:uiPriority w:val="99"/>
    <w:rsid w:val="00E03D5F"/>
  </w:style>
  <w:style w:type="paragraph" w:styleId="ListNumber">
    <w:name w:val="List Number"/>
    <w:basedOn w:val="Normal"/>
    <w:semiHidden/>
    <w:unhideWhenUsed/>
    <w:rsid w:val="00CA697F"/>
    <w:pPr>
      <w:numPr>
        <w:numId w:val="1"/>
      </w:numPr>
      <w:autoSpaceDE w:val="0"/>
      <w:autoSpaceDN w:val="0"/>
      <w:spacing w:line="480" w:lineRule="auto"/>
      <w:jc w:val="left"/>
    </w:pPr>
    <w:rPr>
      <w:rFonts w:eastAsia="Times New Roman"/>
      <w:sz w:val="26"/>
      <w:szCs w:val="26"/>
    </w:rPr>
  </w:style>
  <w:style w:type="paragraph" w:styleId="BodyText">
    <w:name w:val="Body Text"/>
    <w:basedOn w:val="Normal"/>
    <w:link w:val="BodyTextChar"/>
    <w:semiHidden/>
    <w:unhideWhenUsed/>
    <w:rsid w:val="00CA697F"/>
    <w:pPr>
      <w:autoSpaceDE w:val="0"/>
      <w:autoSpaceDN w:val="0"/>
      <w:spacing w:after="240" w:line="240" w:lineRule="auto"/>
      <w:ind w:firstLine="720"/>
      <w:jc w:val="both"/>
    </w:pPr>
    <w:rPr>
      <w:rFonts w:eastAsia="Times New Roman"/>
      <w:sz w:val="26"/>
      <w:szCs w:val="26"/>
    </w:rPr>
  </w:style>
  <w:style w:type="character" w:customStyle="1" w:styleId="BodyTextChar">
    <w:name w:val="Body Text Char"/>
    <w:basedOn w:val="DefaultParagraphFont"/>
    <w:link w:val="BodyText"/>
    <w:semiHidden/>
    <w:rsid w:val="00CA697F"/>
    <w:rPr>
      <w:rFonts w:eastAsia="Times New Roman"/>
      <w:sz w:val="26"/>
      <w:szCs w:val="26"/>
    </w:rPr>
  </w:style>
  <w:style w:type="paragraph" w:customStyle="1" w:styleId="IndentSingle">
    <w:name w:val="Indent Single"/>
    <w:basedOn w:val="Normal"/>
    <w:next w:val="BodyText"/>
    <w:rsid w:val="00CA697F"/>
    <w:pPr>
      <w:autoSpaceDE w:val="0"/>
      <w:autoSpaceDN w:val="0"/>
      <w:spacing w:after="240" w:line="240" w:lineRule="auto"/>
      <w:ind w:left="1440" w:right="1440"/>
      <w:jc w:val="both"/>
    </w:pPr>
    <w:rPr>
      <w:rFonts w:eastAsia="Times New Roman"/>
      <w:sz w:val="26"/>
      <w:szCs w:val="26"/>
    </w:rPr>
  </w:style>
  <w:style w:type="paragraph" w:styleId="BalloonText">
    <w:name w:val="Balloon Text"/>
    <w:basedOn w:val="Normal"/>
    <w:link w:val="BalloonTextChar"/>
    <w:uiPriority w:val="99"/>
    <w:semiHidden/>
    <w:unhideWhenUsed/>
    <w:rsid w:val="00E90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2011-12-15T13:31:00Z</cp:lastPrinted>
  <dcterms:created xsi:type="dcterms:W3CDTF">2011-12-16T14:43:00Z</dcterms:created>
  <dcterms:modified xsi:type="dcterms:W3CDTF">2011-12-16T14:44:00Z</dcterms:modified>
</cp:coreProperties>
</file>