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E09" w:rsidRPr="00224E09" w:rsidRDefault="00D93ADE" w:rsidP="00224E09">
      <w:pPr>
        <w:tabs>
          <w:tab w:val="center" w:pos="4680"/>
        </w:tabs>
        <w:suppressAutoHyphens/>
        <w:jc w:val="center"/>
        <w:rPr>
          <w:b/>
          <w:spacing w:val="-3"/>
          <w:szCs w:val="26"/>
        </w:rPr>
      </w:pPr>
      <w:r w:rsidRPr="00224E09">
        <w:rPr>
          <w:b/>
          <w:spacing w:val="-3"/>
          <w:szCs w:val="26"/>
        </w:rPr>
        <w:t>PENNSYLVANIA</w:t>
      </w:r>
    </w:p>
    <w:p w:rsidR="00D93ADE" w:rsidRPr="00224E09" w:rsidRDefault="00D93ADE" w:rsidP="00224E09">
      <w:pPr>
        <w:tabs>
          <w:tab w:val="center" w:pos="4680"/>
        </w:tabs>
        <w:suppressAutoHyphens/>
        <w:jc w:val="center"/>
        <w:rPr>
          <w:b/>
          <w:spacing w:val="-3"/>
          <w:szCs w:val="26"/>
        </w:rPr>
      </w:pPr>
      <w:r w:rsidRPr="00224E09">
        <w:rPr>
          <w:b/>
          <w:spacing w:val="-3"/>
          <w:szCs w:val="26"/>
        </w:rPr>
        <w:t>PUBLIC UTILITY COMMISSION</w:t>
      </w:r>
    </w:p>
    <w:p w:rsidR="00224E09" w:rsidRPr="00224E09" w:rsidRDefault="00224E09" w:rsidP="00224E09">
      <w:pPr>
        <w:tabs>
          <w:tab w:val="center" w:pos="4680"/>
        </w:tabs>
        <w:suppressAutoHyphens/>
        <w:jc w:val="center"/>
        <w:rPr>
          <w:b/>
          <w:spacing w:val="-3"/>
          <w:szCs w:val="26"/>
        </w:rPr>
      </w:pPr>
      <w:r w:rsidRPr="00224E09">
        <w:rPr>
          <w:b/>
          <w:spacing w:val="-3"/>
          <w:szCs w:val="26"/>
        </w:rPr>
        <w:t>Harrisburg, PA  17120</w:t>
      </w:r>
    </w:p>
    <w:p w:rsidR="00D93ADE" w:rsidRDefault="00D93ADE" w:rsidP="00224E09">
      <w:pPr>
        <w:tabs>
          <w:tab w:val="left" w:pos="-1440"/>
          <w:tab w:val="left" w:pos="-720"/>
        </w:tabs>
        <w:suppressAutoHyphens/>
        <w:rPr>
          <w:spacing w:val="-3"/>
          <w:szCs w:val="26"/>
        </w:rPr>
      </w:pPr>
    </w:p>
    <w:p w:rsidR="00224E09" w:rsidRPr="00224E09" w:rsidRDefault="005323F3" w:rsidP="00224E09">
      <w:pPr>
        <w:tabs>
          <w:tab w:val="left" w:pos="-1440"/>
          <w:tab w:val="left" w:pos="-720"/>
        </w:tabs>
        <w:suppressAutoHyphens/>
        <w:jc w:val="right"/>
        <w:rPr>
          <w:spacing w:val="-3"/>
          <w:szCs w:val="26"/>
        </w:rPr>
      </w:pPr>
      <w:r>
        <w:rPr>
          <w:spacing w:val="-3"/>
          <w:szCs w:val="26"/>
        </w:rPr>
        <w:t>Public Meeting held December 1</w:t>
      </w:r>
      <w:r w:rsidR="00224E09">
        <w:rPr>
          <w:spacing w:val="-3"/>
          <w:szCs w:val="26"/>
        </w:rPr>
        <w:t>, 2011</w:t>
      </w:r>
    </w:p>
    <w:p w:rsidR="00D93ADE" w:rsidRDefault="00D93ADE" w:rsidP="00224E09">
      <w:pPr>
        <w:tabs>
          <w:tab w:val="left" w:pos="-1440"/>
          <w:tab w:val="left" w:pos="-720"/>
        </w:tabs>
        <w:suppressAutoHyphens/>
        <w:rPr>
          <w:spacing w:val="-3"/>
          <w:szCs w:val="26"/>
        </w:rPr>
      </w:pPr>
    </w:p>
    <w:p w:rsidR="00224E09" w:rsidRDefault="00224E09" w:rsidP="00224E09">
      <w:pPr>
        <w:tabs>
          <w:tab w:val="left" w:pos="-1440"/>
          <w:tab w:val="left" w:pos="-720"/>
        </w:tabs>
        <w:suppressAutoHyphens/>
        <w:rPr>
          <w:spacing w:val="-3"/>
          <w:szCs w:val="26"/>
        </w:rPr>
      </w:pPr>
      <w:r>
        <w:rPr>
          <w:spacing w:val="-3"/>
          <w:szCs w:val="26"/>
        </w:rPr>
        <w:t>Commissioners Present:</w:t>
      </w:r>
    </w:p>
    <w:p w:rsidR="00224E09" w:rsidRDefault="00224E09" w:rsidP="00224E09">
      <w:pPr>
        <w:tabs>
          <w:tab w:val="left" w:pos="-1440"/>
          <w:tab w:val="left" w:pos="-720"/>
        </w:tabs>
        <w:suppressAutoHyphens/>
        <w:rPr>
          <w:spacing w:val="-3"/>
          <w:szCs w:val="26"/>
        </w:rPr>
      </w:pPr>
    </w:p>
    <w:p w:rsidR="00224E09" w:rsidRDefault="00224E09" w:rsidP="00224E09">
      <w:pPr>
        <w:tabs>
          <w:tab w:val="left" w:pos="-1440"/>
          <w:tab w:val="left" w:pos="-720"/>
        </w:tabs>
        <w:suppressAutoHyphens/>
        <w:rPr>
          <w:spacing w:val="-3"/>
          <w:szCs w:val="26"/>
        </w:rPr>
      </w:pPr>
      <w:r>
        <w:rPr>
          <w:spacing w:val="-3"/>
          <w:szCs w:val="26"/>
        </w:rPr>
        <w:tab/>
        <w:t>Robert F. Powelson, Chairman</w:t>
      </w:r>
    </w:p>
    <w:p w:rsidR="00224E09" w:rsidRDefault="00224E09" w:rsidP="00224E09">
      <w:pPr>
        <w:tabs>
          <w:tab w:val="left" w:pos="-1440"/>
          <w:tab w:val="left" w:pos="-720"/>
        </w:tabs>
        <w:suppressAutoHyphens/>
        <w:rPr>
          <w:spacing w:val="-3"/>
          <w:szCs w:val="26"/>
        </w:rPr>
      </w:pPr>
      <w:r>
        <w:rPr>
          <w:spacing w:val="-3"/>
          <w:szCs w:val="26"/>
        </w:rPr>
        <w:tab/>
        <w:t>John F. Coleman, Jr., Vice Chairman</w:t>
      </w:r>
    </w:p>
    <w:p w:rsidR="00224E09" w:rsidRDefault="00224E09" w:rsidP="00224E09">
      <w:pPr>
        <w:tabs>
          <w:tab w:val="left" w:pos="-1440"/>
          <w:tab w:val="left" w:pos="-720"/>
        </w:tabs>
        <w:suppressAutoHyphens/>
        <w:rPr>
          <w:spacing w:val="-3"/>
          <w:szCs w:val="26"/>
        </w:rPr>
      </w:pPr>
      <w:r>
        <w:rPr>
          <w:spacing w:val="-3"/>
          <w:szCs w:val="26"/>
        </w:rPr>
        <w:tab/>
        <w:t>Wayne E. Gardner</w:t>
      </w:r>
      <w:r w:rsidR="00BD69FB">
        <w:rPr>
          <w:spacing w:val="-3"/>
          <w:szCs w:val="26"/>
        </w:rPr>
        <w:t>, Joint Statement</w:t>
      </w:r>
    </w:p>
    <w:p w:rsidR="00224E09" w:rsidRDefault="00224E09" w:rsidP="00224E09">
      <w:pPr>
        <w:tabs>
          <w:tab w:val="left" w:pos="-1440"/>
          <w:tab w:val="left" w:pos="-720"/>
        </w:tabs>
        <w:suppressAutoHyphens/>
        <w:rPr>
          <w:spacing w:val="-3"/>
          <w:szCs w:val="26"/>
        </w:rPr>
      </w:pPr>
      <w:r>
        <w:rPr>
          <w:spacing w:val="-3"/>
          <w:szCs w:val="26"/>
        </w:rPr>
        <w:tab/>
        <w:t xml:space="preserve">James H. </w:t>
      </w:r>
      <w:proofErr w:type="spellStart"/>
      <w:r>
        <w:rPr>
          <w:spacing w:val="-3"/>
          <w:szCs w:val="26"/>
        </w:rPr>
        <w:t>Cawley</w:t>
      </w:r>
      <w:proofErr w:type="spellEnd"/>
      <w:r w:rsidR="00BD69FB">
        <w:rPr>
          <w:spacing w:val="-3"/>
          <w:szCs w:val="26"/>
        </w:rPr>
        <w:t>, Joint Statement</w:t>
      </w:r>
    </w:p>
    <w:p w:rsidR="00224E09" w:rsidRDefault="00224E09" w:rsidP="00224E09">
      <w:pPr>
        <w:tabs>
          <w:tab w:val="left" w:pos="-1440"/>
          <w:tab w:val="left" w:pos="-720"/>
        </w:tabs>
        <w:suppressAutoHyphens/>
        <w:rPr>
          <w:spacing w:val="-3"/>
          <w:szCs w:val="26"/>
        </w:rPr>
      </w:pPr>
      <w:r>
        <w:rPr>
          <w:spacing w:val="-3"/>
          <w:szCs w:val="26"/>
        </w:rPr>
        <w:tab/>
        <w:t xml:space="preserve">Pamela A. </w:t>
      </w:r>
      <w:proofErr w:type="spellStart"/>
      <w:r>
        <w:rPr>
          <w:spacing w:val="-3"/>
          <w:szCs w:val="26"/>
        </w:rPr>
        <w:t>Witmer</w:t>
      </w:r>
      <w:proofErr w:type="spellEnd"/>
      <w:r w:rsidR="00BD69FB">
        <w:rPr>
          <w:spacing w:val="-3"/>
          <w:szCs w:val="26"/>
        </w:rPr>
        <w:t>, Dissenting</w:t>
      </w:r>
    </w:p>
    <w:p w:rsidR="00224E09" w:rsidRPr="00224E09" w:rsidRDefault="00224E09" w:rsidP="00224E09">
      <w:pPr>
        <w:tabs>
          <w:tab w:val="left" w:pos="-1440"/>
          <w:tab w:val="left" w:pos="-720"/>
        </w:tabs>
        <w:suppressAutoHyphens/>
        <w:rPr>
          <w:spacing w:val="-3"/>
          <w:szCs w:val="26"/>
        </w:rPr>
      </w:pPr>
    </w:p>
    <w:p w:rsidR="00D93ADE" w:rsidRPr="00224E09" w:rsidRDefault="00D93ADE" w:rsidP="00CA735A">
      <w:pPr>
        <w:tabs>
          <w:tab w:val="left" w:pos="-1440"/>
          <w:tab w:val="left" w:pos="-720"/>
        </w:tabs>
        <w:suppressAutoHyphens/>
        <w:ind w:firstLine="1440"/>
        <w:rPr>
          <w:spacing w:val="-3"/>
          <w:szCs w:val="26"/>
        </w:rPr>
      </w:pPr>
    </w:p>
    <w:p w:rsidR="00D93ADE" w:rsidRPr="00224E09" w:rsidRDefault="005323F3" w:rsidP="00CA735A">
      <w:pPr>
        <w:tabs>
          <w:tab w:val="left" w:pos="-1440"/>
          <w:tab w:val="left" w:pos="-720"/>
        </w:tabs>
        <w:suppressAutoHyphens/>
        <w:rPr>
          <w:spacing w:val="-3"/>
          <w:szCs w:val="26"/>
        </w:rPr>
      </w:pPr>
      <w:r>
        <w:rPr>
          <w:spacing w:val="-3"/>
          <w:szCs w:val="26"/>
        </w:rPr>
        <w:t>Ethan Clay</w:t>
      </w:r>
      <w:r w:rsidR="00224E09">
        <w:rPr>
          <w:spacing w:val="-3"/>
          <w:szCs w:val="26"/>
        </w:rPr>
        <w:tab/>
      </w:r>
      <w:r w:rsidR="00224E09">
        <w:rPr>
          <w:spacing w:val="-3"/>
          <w:szCs w:val="26"/>
        </w:rPr>
        <w:tab/>
      </w:r>
      <w:r w:rsidR="00224E09">
        <w:rPr>
          <w:spacing w:val="-3"/>
          <w:szCs w:val="26"/>
        </w:rPr>
        <w:tab/>
      </w:r>
      <w:r w:rsidR="00224E09">
        <w:rPr>
          <w:spacing w:val="-3"/>
          <w:szCs w:val="26"/>
        </w:rPr>
        <w:tab/>
      </w:r>
      <w:r w:rsidR="00224E09">
        <w:rPr>
          <w:spacing w:val="-3"/>
          <w:szCs w:val="26"/>
        </w:rPr>
        <w:tab/>
      </w:r>
    </w:p>
    <w:p w:rsidR="00D93ADE" w:rsidRPr="00224E09" w:rsidRDefault="00224E09" w:rsidP="00CA735A">
      <w:pPr>
        <w:tabs>
          <w:tab w:val="left" w:pos="-1440"/>
          <w:tab w:val="left" w:pos="-720"/>
        </w:tabs>
        <w:suppressAutoHyphens/>
        <w:rPr>
          <w:spacing w:val="-3"/>
          <w:szCs w:val="26"/>
        </w:rPr>
      </w:pPr>
      <w:r>
        <w:rPr>
          <w:spacing w:val="-3"/>
          <w:szCs w:val="26"/>
        </w:rPr>
        <w:tab/>
      </w:r>
      <w:r>
        <w:rPr>
          <w:spacing w:val="-3"/>
          <w:szCs w:val="26"/>
        </w:rPr>
        <w:tab/>
      </w:r>
      <w:r>
        <w:rPr>
          <w:spacing w:val="-3"/>
          <w:szCs w:val="26"/>
        </w:rPr>
        <w:tab/>
      </w:r>
      <w:r>
        <w:rPr>
          <w:spacing w:val="-3"/>
          <w:szCs w:val="26"/>
        </w:rPr>
        <w:tab/>
      </w:r>
      <w:r>
        <w:rPr>
          <w:spacing w:val="-3"/>
          <w:szCs w:val="26"/>
        </w:rPr>
        <w:tab/>
      </w:r>
      <w:r>
        <w:rPr>
          <w:spacing w:val="-3"/>
          <w:szCs w:val="26"/>
        </w:rPr>
        <w:tab/>
      </w:r>
      <w:r>
        <w:rPr>
          <w:spacing w:val="-3"/>
          <w:szCs w:val="26"/>
        </w:rPr>
        <w:tab/>
      </w:r>
    </w:p>
    <w:p w:rsidR="00D93ADE" w:rsidRPr="00224E09" w:rsidRDefault="00224E09" w:rsidP="00CA735A">
      <w:pPr>
        <w:tabs>
          <w:tab w:val="left" w:pos="-1440"/>
          <w:tab w:val="left" w:pos="-720"/>
        </w:tabs>
        <w:suppressAutoHyphens/>
        <w:rPr>
          <w:spacing w:val="-3"/>
          <w:szCs w:val="26"/>
        </w:rPr>
      </w:pPr>
      <w:r>
        <w:rPr>
          <w:spacing w:val="-3"/>
          <w:szCs w:val="26"/>
        </w:rPr>
        <w:tab/>
        <w:t>v.</w:t>
      </w:r>
      <w:r>
        <w:rPr>
          <w:spacing w:val="-3"/>
          <w:szCs w:val="26"/>
        </w:rPr>
        <w:tab/>
      </w:r>
      <w:r>
        <w:rPr>
          <w:spacing w:val="-3"/>
          <w:szCs w:val="26"/>
        </w:rPr>
        <w:tab/>
      </w:r>
      <w:r>
        <w:rPr>
          <w:spacing w:val="-3"/>
          <w:szCs w:val="26"/>
        </w:rPr>
        <w:tab/>
      </w:r>
      <w:r>
        <w:rPr>
          <w:spacing w:val="-3"/>
          <w:szCs w:val="26"/>
        </w:rPr>
        <w:tab/>
      </w:r>
      <w:r>
        <w:rPr>
          <w:spacing w:val="-3"/>
          <w:szCs w:val="26"/>
        </w:rPr>
        <w:tab/>
      </w:r>
      <w:r>
        <w:rPr>
          <w:spacing w:val="-3"/>
          <w:szCs w:val="26"/>
        </w:rPr>
        <w:tab/>
      </w:r>
      <w:r w:rsidR="00D93ADE" w:rsidRPr="00224E09">
        <w:rPr>
          <w:spacing w:val="-3"/>
          <w:szCs w:val="26"/>
        </w:rPr>
        <w:tab/>
      </w:r>
      <w:r w:rsidR="00D93ADE" w:rsidRPr="00224E09">
        <w:rPr>
          <w:spacing w:val="-3"/>
          <w:szCs w:val="26"/>
        </w:rPr>
        <w:tab/>
      </w:r>
      <w:r w:rsidR="0040339C" w:rsidRPr="00224E09">
        <w:rPr>
          <w:spacing w:val="-3"/>
          <w:szCs w:val="26"/>
        </w:rPr>
        <w:t>C-20</w:t>
      </w:r>
      <w:r w:rsidR="00207CBC" w:rsidRPr="00224E09">
        <w:rPr>
          <w:spacing w:val="-3"/>
          <w:szCs w:val="26"/>
        </w:rPr>
        <w:t>11</w:t>
      </w:r>
      <w:r w:rsidR="0040339C" w:rsidRPr="00224E09">
        <w:rPr>
          <w:spacing w:val="-3"/>
          <w:szCs w:val="26"/>
        </w:rPr>
        <w:t>-2</w:t>
      </w:r>
      <w:r w:rsidR="005323F3">
        <w:rPr>
          <w:spacing w:val="-3"/>
          <w:szCs w:val="26"/>
        </w:rPr>
        <w:t>226084</w:t>
      </w:r>
    </w:p>
    <w:p w:rsidR="00D93ADE" w:rsidRPr="00224E09" w:rsidRDefault="00224E09" w:rsidP="00CA735A">
      <w:pPr>
        <w:tabs>
          <w:tab w:val="left" w:pos="-1440"/>
          <w:tab w:val="left" w:pos="-720"/>
        </w:tabs>
        <w:suppressAutoHyphens/>
        <w:rPr>
          <w:spacing w:val="-3"/>
          <w:szCs w:val="26"/>
        </w:rPr>
      </w:pPr>
      <w:r>
        <w:rPr>
          <w:spacing w:val="-3"/>
          <w:szCs w:val="26"/>
        </w:rPr>
        <w:tab/>
      </w:r>
      <w:r>
        <w:rPr>
          <w:spacing w:val="-3"/>
          <w:szCs w:val="26"/>
        </w:rPr>
        <w:tab/>
      </w:r>
      <w:r>
        <w:rPr>
          <w:spacing w:val="-3"/>
          <w:szCs w:val="26"/>
        </w:rPr>
        <w:tab/>
      </w:r>
      <w:r>
        <w:rPr>
          <w:spacing w:val="-3"/>
          <w:szCs w:val="26"/>
        </w:rPr>
        <w:tab/>
      </w:r>
      <w:r>
        <w:rPr>
          <w:spacing w:val="-3"/>
          <w:szCs w:val="26"/>
        </w:rPr>
        <w:tab/>
      </w:r>
      <w:r>
        <w:rPr>
          <w:spacing w:val="-3"/>
          <w:szCs w:val="26"/>
        </w:rPr>
        <w:tab/>
      </w:r>
      <w:r>
        <w:rPr>
          <w:spacing w:val="-3"/>
          <w:szCs w:val="26"/>
        </w:rPr>
        <w:tab/>
      </w:r>
    </w:p>
    <w:p w:rsidR="00D93ADE" w:rsidRPr="00224E09" w:rsidRDefault="005323F3" w:rsidP="00CA735A">
      <w:pPr>
        <w:tabs>
          <w:tab w:val="left" w:pos="-1440"/>
          <w:tab w:val="left" w:pos="-720"/>
        </w:tabs>
        <w:suppressAutoHyphens/>
        <w:rPr>
          <w:spacing w:val="-3"/>
          <w:szCs w:val="26"/>
        </w:rPr>
      </w:pPr>
      <w:r>
        <w:rPr>
          <w:spacing w:val="-3"/>
          <w:szCs w:val="26"/>
        </w:rPr>
        <w:t>Duquesne Light Company</w:t>
      </w:r>
      <w:r w:rsidR="00224E09">
        <w:rPr>
          <w:spacing w:val="-3"/>
          <w:szCs w:val="26"/>
        </w:rPr>
        <w:tab/>
      </w:r>
      <w:r w:rsidR="00224E09">
        <w:rPr>
          <w:spacing w:val="-3"/>
          <w:szCs w:val="26"/>
        </w:rPr>
        <w:tab/>
      </w:r>
      <w:r w:rsidR="00224E09">
        <w:rPr>
          <w:spacing w:val="-3"/>
          <w:szCs w:val="26"/>
        </w:rPr>
        <w:tab/>
      </w:r>
      <w:r w:rsidR="00224E09">
        <w:rPr>
          <w:spacing w:val="-3"/>
          <w:szCs w:val="26"/>
        </w:rPr>
        <w:tab/>
      </w:r>
    </w:p>
    <w:p w:rsidR="00D93ADE" w:rsidRPr="00224E09" w:rsidRDefault="00D93ADE" w:rsidP="00224E09">
      <w:pPr>
        <w:tabs>
          <w:tab w:val="center" w:pos="4680"/>
        </w:tabs>
        <w:suppressAutoHyphens/>
        <w:rPr>
          <w:spacing w:val="-3"/>
          <w:szCs w:val="26"/>
        </w:rPr>
      </w:pPr>
    </w:p>
    <w:p w:rsidR="00D93ADE" w:rsidRPr="00224E09" w:rsidRDefault="00D93ADE" w:rsidP="00CA735A">
      <w:pPr>
        <w:tabs>
          <w:tab w:val="left" w:pos="-1440"/>
          <w:tab w:val="left" w:pos="-720"/>
        </w:tabs>
        <w:suppressAutoHyphens/>
        <w:ind w:firstLine="1440"/>
        <w:jc w:val="center"/>
        <w:rPr>
          <w:spacing w:val="-3"/>
          <w:szCs w:val="26"/>
        </w:rPr>
      </w:pPr>
    </w:p>
    <w:p w:rsidR="00D93ADE" w:rsidRPr="00224E09" w:rsidRDefault="00D93ADE" w:rsidP="00CA735A">
      <w:pPr>
        <w:tabs>
          <w:tab w:val="left" w:pos="-1440"/>
          <w:tab w:val="left" w:pos="-720"/>
        </w:tabs>
        <w:suppressAutoHyphens/>
        <w:ind w:firstLine="1440"/>
        <w:jc w:val="center"/>
        <w:rPr>
          <w:spacing w:val="-3"/>
          <w:szCs w:val="26"/>
        </w:rPr>
      </w:pPr>
    </w:p>
    <w:p w:rsidR="00D93ADE" w:rsidRDefault="00224E09" w:rsidP="00CA735A">
      <w:pPr>
        <w:tabs>
          <w:tab w:val="center" w:pos="4680"/>
        </w:tabs>
        <w:suppressAutoHyphens/>
        <w:jc w:val="center"/>
        <w:rPr>
          <w:b/>
          <w:spacing w:val="-3"/>
          <w:szCs w:val="26"/>
        </w:rPr>
      </w:pPr>
      <w:r w:rsidRPr="00224E09">
        <w:rPr>
          <w:b/>
          <w:spacing w:val="-3"/>
          <w:szCs w:val="26"/>
        </w:rPr>
        <w:t>OPINION AND ORDER</w:t>
      </w:r>
    </w:p>
    <w:p w:rsidR="00224E09" w:rsidRDefault="00224E09" w:rsidP="00CA735A">
      <w:pPr>
        <w:tabs>
          <w:tab w:val="center" w:pos="4680"/>
        </w:tabs>
        <w:suppressAutoHyphens/>
        <w:jc w:val="center"/>
        <w:rPr>
          <w:b/>
          <w:spacing w:val="-3"/>
          <w:szCs w:val="26"/>
        </w:rPr>
      </w:pPr>
    </w:p>
    <w:p w:rsidR="00224E09" w:rsidRPr="00224E09" w:rsidRDefault="00224E09" w:rsidP="00F27A83">
      <w:pPr>
        <w:tabs>
          <w:tab w:val="center" w:pos="4680"/>
        </w:tabs>
        <w:suppressAutoHyphens/>
        <w:spacing w:line="360" w:lineRule="auto"/>
        <w:rPr>
          <w:b/>
          <w:spacing w:val="-3"/>
          <w:szCs w:val="26"/>
        </w:rPr>
      </w:pPr>
      <w:r>
        <w:rPr>
          <w:b/>
          <w:spacing w:val="-3"/>
          <w:szCs w:val="26"/>
        </w:rPr>
        <w:t>BY THE COMMISSION:</w:t>
      </w:r>
    </w:p>
    <w:p w:rsidR="00D93ADE" w:rsidRPr="00224E09" w:rsidRDefault="00D93ADE" w:rsidP="00224E09">
      <w:pPr>
        <w:tabs>
          <w:tab w:val="left" w:pos="-1440"/>
          <w:tab w:val="left" w:pos="-720"/>
        </w:tabs>
        <w:suppressAutoHyphens/>
        <w:spacing w:line="360" w:lineRule="auto"/>
        <w:rPr>
          <w:spacing w:val="-3"/>
          <w:szCs w:val="26"/>
        </w:rPr>
      </w:pPr>
    </w:p>
    <w:p w:rsidR="006A51D9" w:rsidRDefault="00224E09" w:rsidP="00CA735A">
      <w:pPr>
        <w:tabs>
          <w:tab w:val="left" w:pos="-1440"/>
          <w:tab w:val="left" w:pos="-720"/>
        </w:tabs>
        <w:suppressAutoHyphens/>
        <w:spacing w:line="360" w:lineRule="auto"/>
        <w:ind w:firstLine="1440"/>
        <w:rPr>
          <w:spacing w:val="-3"/>
          <w:szCs w:val="26"/>
        </w:rPr>
      </w:pPr>
      <w:r>
        <w:rPr>
          <w:spacing w:val="-3"/>
          <w:szCs w:val="26"/>
        </w:rPr>
        <w:t xml:space="preserve">Before the Pennsylvania Public Utility Commission (Commission) for consideration and disposition is the Initial Decision </w:t>
      </w:r>
      <w:r w:rsidR="00365C75">
        <w:rPr>
          <w:spacing w:val="-3"/>
          <w:szCs w:val="26"/>
        </w:rPr>
        <w:t>(I</w:t>
      </w:r>
      <w:r w:rsidR="00B14BD5">
        <w:rPr>
          <w:spacing w:val="-3"/>
          <w:szCs w:val="26"/>
        </w:rPr>
        <w:t>.</w:t>
      </w:r>
      <w:r w:rsidR="00365C75">
        <w:rPr>
          <w:spacing w:val="-3"/>
          <w:szCs w:val="26"/>
        </w:rPr>
        <w:t>D</w:t>
      </w:r>
      <w:r w:rsidR="00B14BD5">
        <w:rPr>
          <w:spacing w:val="-3"/>
          <w:szCs w:val="26"/>
        </w:rPr>
        <w:t>.</w:t>
      </w:r>
      <w:r w:rsidR="00365C75">
        <w:rPr>
          <w:spacing w:val="-3"/>
          <w:szCs w:val="26"/>
        </w:rPr>
        <w:t xml:space="preserve">) </w:t>
      </w:r>
      <w:r>
        <w:rPr>
          <w:spacing w:val="-3"/>
          <w:szCs w:val="26"/>
        </w:rPr>
        <w:t>of Administrative Law J</w:t>
      </w:r>
      <w:r w:rsidR="00AE0D5A">
        <w:rPr>
          <w:spacing w:val="-3"/>
          <w:szCs w:val="26"/>
        </w:rPr>
        <w:t>udge (ALJ)</w:t>
      </w:r>
      <w:r w:rsidR="005323F3">
        <w:rPr>
          <w:spacing w:val="-3"/>
          <w:szCs w:val="26"/>
        </w:rPr>
        <w:t xml:space="preserve"> John H. Corbett, Jr.</w:t>
      </w:r>
      <w:r w:rsidR="00365C75">
        <w:rPr>
          <w:spacing w:val="-3"/>
          <w:szCs w:val="26"/>
        </w:rPr>
        <w:t xml:space="preserve"> issued </w:t>
      </w:r>
      <w:r w:rsidR="005323F3">
        <w:rPr>
          <w:spacing w:val="-3"/>
          <w:szCs w:val="26"/>
        </w:rPr>
        <w:t>on September 15</w:t>
      </w:r>
      <w:r>
        <w:rPr>
          <w:spacing w:val="-3"/>
          <w:szCs w:val="26"/>
        </w:rPr>
        <w:t xml:space="preserve">, 2011, in the above-captioned proceeding.  The Initial Decision </w:t>
      </w:r>
      <w:r w:rsidR="005323F3">
        <w:rPr>
          <w:spacing w:val="-3"/>
          <w:szCs w:val="26"/>
        </w:rPr>
        <w:t xml:space="preserve">sustained </w:t>
      </w:r>
      <w:r w:rsidR="00711BCA">
        <w:rPr>
          <w:spacing w:val="-3"/>
          <w:szCs w:val="26"/>
        </w:rPr>
        <w:t>in part, and denied in part, a</w:t>
      </w:r>
      <w:r w:rsidR="005323F3">
        <w:rPr>
          <w:spacing w:val="-3"/>
          <w:szCs w:val="26"/>
        </w:rPr>
        <w:t xml:space="preserve"> Formal Complaint (Complaint) </w:t>
      </w:r>
      <w:r>
        <w:rPr>
          <w:spacing w:val="-3"/>
          <w:szCs w:val="26"/>
        </w:rPr>
        <w:t xml:space="preserve">filed by </w:t>
      </w:r>
      <w:r w:rsidR="005323F3">
        <w:rPr>
          <w:spacing w:val="-3"/>
          <w:szCs w:val="26"/>
        </w:rPr>
        <w:t>Ethan</w:t>
      </w:r>
      <w:r w:rsidR="00711BCA">
        <w:rPr>
          <w:spacing w:val="-3"/>
          <w:szCs w:val="26"/>
        </w:rPr>
        <w:t xml:space="preserve"> </w:t>
      </w:r>
      <w:r w:rsidR="005323F3">
        <w:rPr>
          <w:spacing w:val="-3"/>
          <w:szCs w:val="26"/>
        </w:rPr>
        <w:t>Clay</w:t>
      </w:r>
      <w:r w:rsidR="00711BCA">
        <w:rPr>
          <w:spacing w:val="-3"/>
          <w:szCs w:val="26"/>
        </w:rPr>
        <w:t xml:space="preserve"> (Complainant)</w:t>
      </w:r>
      <w:r w:rsidR="00DC37E0">
        <w:rPr>
          <w:spacing w:val="-3"/>
          <w:szCs w:val="26"/>
        </w:rPr>
        <w:t xml:space="preserve">, </w:t>
      </w:r>
      <w:r w:rsidR="00A66918">
        <w:rPr>
          <w:spacing w:val="-3"/>
          <w:szCs w:val="26"/>
        </w:rPr>
        <w:t xml:space="preserve">and imposed a civil penalty of $250 upon Duquesne Light Company (Respondent or Duquesne).  </w:t>
      </w:r>
      <w:r w:rsidR="006A51D9">
        <w:rPr>
          <w:spacing w:val="-3"/>
          <w:szCs w:val="26"/>
        </w:rPr>
        <w:t xml:space="preserve">No Exceptions to the Initial Decision were filed.  However, we exercised our right to review the Initial Decision pursuant to Section 332(h) of the Public Utility Code (Code), 66 Pa. C.S. § 332(h).  </w:t>
      </w:r>
      <w:r w:rsidR="00A66918">
        <w:rPr>
          <w:spacing w:val="-3"/>
          <w:szCs w:val="26"/>
        </w:rPr>
        <w:t xml:space="preserve">Upon review, we will modify the Initial Decision and </w:t>
      </w:r>
      <w:r w:rsidR="00A658DB">
        <w:rPr>
          <w:spacing w:val="-3"/>
          <w:szCs w:val="26"/>
        </w:rPr>
        <w:t>dismiss</w:t>
      </w:r>
      <w:r w:rsidR="00697793">
        <w:rPr>
          <w:spacing w:val="-3"/>
          <w:szCs w:val="26"/>
        </w:rPr>
        <w:t xml:space="preserve"> </w:t>
      </w:r>
      <w:r w:rsidR="006A51D9">
        <w:rPr>
          <w:spacing w:val="-3"/>
          <w:szCs w:val="26"/>
        </w:rPr>
        <w:t>the Complaint</w:t>
      </w:r>
      <w:r w:rsidR="00A66918">
        <w:rPr>
          <w:spacing w:val="-3"/>
          <w:szCs w:val="26"/>
        </w:rPr>
        <w:t>.</w:t>
      </w:r>
    </w:p>
    <w:p w:rsidR="0091196B" w:rsidRDefault="0091196B" w:rsidP="00A66918">
      <w:pPr>
        <w:tabs>
          <w:tab w:val="left" w:pos="-1440"/>
          <w:tab w:val="left" w:pos="-720"/>
        </w:tabs>
        <w:suppressAutoHyphens/>
        <w:spacing w:line="360" w:lineRule="auto"/>
        <w:rPr>
          <w:b/>
          <w:spacing w:val="-3"/>
          <w:szCs w:val="26"/>
        </w:rPr>
      </w:pPr>
    </w:p>
    <w:p w:rsidR="006A51D9" w:rsidRPr="00697793" w:rsidRDefault="006A51D9" w:rsidP="00697793">
      <w:pPr>
        <w:tabs>
          <w:tab w:val="left" w:pos="-1440"/>
          <w:tab w:val="left" w:pos="-720"/>
        </w:tabs>
        <w:suppressAutoHyphens/>
        <w:spacing w:line="360" w:lineRule="auto"/>
        <w:jc w:val="center"/>
        <w:rPr>
          <w:b/>
          <w:spacing w:val="-3"/>
          <w:szCs w:val="26"/>
        </w:rPr>
      </w:pPr>
      <w:r w:rsidRPr="00697793">
        <w:rPr>
          <w:b/>
          <w:spacing w:val="-3"/>
          <w:szCs w:val="26"/>
        </w:rPr>
        <w:lastRenderedPageBreak/>
        <w:t>History</w:t>
      </w:r>
      <w:r w:rsidR="00697793" w:rsidRPr="00697793">
        <w:rPr>
          <w:b/>
          <w:spacing w:val="-3"/>
          <w:szCs w:val="26"/>
        </w:rPr>
        <w:t xml:space="preserve"> of the Proceeding</w:t>
      </w:r>
    </w:p>
    <w:p w:rsidR="006A51D9" w:rsidRDefault="006A51D9" w:rsidP="00CA735A">
      <w:pPr>
        <w:tabs>
          <w:tab w:val="left" w:pos="-1440"/>
          <w:tab w:val="left" w:pos="-720"/>
        </w:tabs>
        <w:suppressAutoHyphens/>
        <w:spacing w:line="360" w:lineRule="auto"/>
        <w:ind w:firstLine="1440"/>
        <w:rPr>
          <w:spacing w:val="-3"/>
          <w:szCs w:val="26"/>
        </w:rPr>
      </w:pPr>
    </w:p>
    <w:p w:rsidR="00CE0B81" w:rsidRDefault="00401C0F" w:rsidP="00A55753">
      <w:pPr>
        <w:tabs>
          <w:tab w:val="left" w:pos="-1440"/>
          <w:tab w:val="left" w:pos="-720"/>
        </w:tabs>
        <w:suppressAutoHyphens/>
        <w:spacing w:line="360" w:lineRule="auto"/>
        <w:ind w:firstLine="1440"/>
        <w:rPr>
          <w:spacing w:val="-3"/>
          <w:szCs w:val="26"/>
        </w:rPr>
      </w:pPr>
      <w:r w:rsidRPr="00224E09">
        <w:rPr>
          <w:spacing w:val="-3"/>
          <w:szCs w:val="26"/>
        </w:rPr>
        <w:t xml:space="preserve"> </w:t>
      </w:r>
      <w:r w:rsidR="00A66918">
        <w:rPr>
          <w:szCs w:val="26"/>
        </w:rPr>
        <w:t>On February 14</w:t>
      </w:r>
      <w:r w:rsidR="00A55753" w:rsidRPr="00224E09">
        <w:rPr>
          <w:szCs w:val="26"/>
        </w:rPr>
        <w:t>, 2011, the Complainant file</w:t>
      </w:r>
      <w:r w:rsidR="00A55753">
        <w:rPr>
          <w:szCs w:val="26"/>
        </w:rPr>
        <w:t>d a Comp</w:t>
      </w:r>
      <w:r w:rsidR="00365C75">
        <w:rPr>
          <w:szCs w:val="26"/>
        </w:rPr>
        <w:t xml:space="preserve">laint </w:t>
      </w:r>
      <w:r w:rsidR="00A66918">
        <w:rPr>
          <w:spacing w:val="-3"/>
          <w:szCs w:val="26"/>
        </w:rPr>
        <w:t xml:space="preserve">alleging that Duquesne improperly terminated electric service to </w:t>
      </w:r>
      <w:r w:rsidR="00254F82">
        <w:rPr>
          <w:spacing w:val="-3"/>
          <w:szCs w:val="26"/>
        </w:rPr>
        <w:t>his business, a small ice cream</w:t>
      </w:r>
      <w:r w:rsidR="00A66918">
        <w:rPr>
          <w:spacing w:val="-3"/>
          <w:szCs w:val="26"/>
        </w:rPr>
        <w:t xml:space="preserve"> and coffee shop on South Highland Avenue in Pittsburgh, for nonpayment.  </w:t>
      </w:r>
      <w:proofErr w:type="gramStart"/>
      <w:r w:rsidR="00012532">
        <w:rPr>
          <w:spacing w:val="-3"/>
          <w:szCs w:val="26"/>
        </w:rPr>
        <w:t>Complaint at 5-6</w:t>
      </w:r>
      <w:r w:rsidR="00DC1DF4">
        <w:rPr>
          <w:spacing w:val="-3"/>
          <w:szCs w:val="26"/>
        </w:rPr>
        <w:t>; N.T. at 10</w:t>
      </w:r>
      <w:r w:rsidR="00012532">
        <w:rPr>
          <w:spacing w:val="-3"/>
          <w:szCs w:val="26"/>
        </w:rPr>
        <w:t>.</w:t>
      </w:r>
      <w:proofErr w:type="gramEnd"/>
      <w:r w:rsidR="00012532">
        <w:rPr>
          <w:spacing w:val="-3"/>
          <w:szCs w:val="26"/>
        </w:rPr>
        <w:t xml:space="preserve">  </w:t>
      </w:r>
      <w:r w:rsidR="00A66918">
        <w:rPr>
          <w:spacing w:val="-3"/>
          <w:szCs w:val="26"/>
        </w:rPr>
        <w:t xml:space="preserve">For relief, the Complainant </w:t>
      </w:r>
      <w:r w:rsidR="00CE0B81">
        <w:rPr>
          <w:spacing w:val="-3"/>
          <w:szCs w:val="26"/>
        </w:rPr>
        <w:t xml:space="preserve">requested that the Commission direct Duquesne to send future termination notices to both his billing and service addresses, and to credit his account with the security deposit of $947 and reconnection fee of $50 that he was required to pay as a result of the termination.  </w:t>
      </w:r>
      <w:proofErr w:type="gramStart"/>
      <w:r w:rsidR="00DC1DF4" w:rsidRPr="00DC1DF4">
        <w:rPr>
          <w:spacing w:val="-3"/>
          <w:szCs w:val="26"/>
        </w:rPr>
        <w:t xml:space="preserve">Complaint </w:t>
      </w:r>
      <w:r w:rsidR="00012532">
        <w:rPr>
          <w:spacing w:val="-3"/>
          <w:szCs w:val="26"/>
        </w:rPr>
        <w:t>at 7.</w:t>
      </w:r>
      <w:proofErr w:type="gramEnd"/>
      <w:r w:rsidR="00012532">
        <w:rPr>
          <w:spacing w:val="-3"/>
          <w:szCs w:val="26"/>
        </w:rPr>
        <w:t xml:space="preserve">  </w:t>
      </w:r>
      <w:r w:rsidR="00CE0B81">
        <w:rPr>
          <w:spacing w:val="-3"/>
          <w:szCs w:val="26"/>
        </w:rPr>
        <w:t>On March 4, 2011, Duquesne filed an Answer denying the material allegatio</w:t>
      </w:r>
      <w:r w:rsidR="006B57DA">
        <w:rPr>
          <w:spacing w:val="-3"/>
          <w:szCs w:val="26"/>
        </w:rPr>
        <w:t>n</w:t>
      </w:r>
      <w:r w:rsidR="00CE0B81">
        <w:rPr>
          <w:spacing w:val="-3"/>
          <w:szCs w:val="26"/>
        </w:rPr>
        <w:t>s of the Complaint.</w:t>
      </w:r>
    </w:p>
    <w:p w:rsidR="00CE0B81" w:rsidRDefault="00CE0B81" w:rsidP="00A55753">
      <w:pPr>
        <w:tabs>
          <w:tab w:val="left" w:pos="-1440"/>
          <w:tab w:val="left" w:pos="-720"/>
        </w:tabs>
        <w:suppressAutoHyphens/>
        <w:spacing w:line="360" w:lineRule="auto"/>
        <w:ind w:firstLine="1440"/>
        <w:rPr>
          <w:spacing w:val="-3"/>
          <w:szCs w:val="26"/>
        </w:rPr>
      </w:pPr>
    </w:p>
    <w:p w:rsidR="00A9373C" w:rsidRDefault="00CE0B81" w:rsidP="00C10286">
      <w:pPr>
        <w:tabs>
          <w:tab w:val="left" w:pos="-1440"/>
          <w:tab w:val="left" w:pos="-720"/>
        </w:tabs>
        <w:suppressAutoHyphens/>
        <w:spacing w:line="360" w:lineRule="auto"/>
        <w:ind w:firstLine="1440"/>
        <w:rPr>
          <w:spacing w:val="-3"/>
          <w:szCs w:val="26"/>
        </w:rPr>
      </w:pPr>
      <w:r>
        <w:rPr>
          <w:spacing w:val="-3"/>
          <w:szCs w:val="26"/>
        </w:rPr>
        <w:t xml:space="preserve">A telephonic hearing held before ALJ Corbett on July 19, 2011, generated sixty-four pages of testimony.  The Complainant appeared </w:t>
      </w:r>
      <w:r w:rsidRPr="00CE0B81">
        <w:rPr>
          <w:i/>
          <w:spacing w:val="-3"/>
          <w:szCs w:val="26"/>
        </w:rPr>
        <w:t>pro se</w:t>
      </w:r>
      <w:r>
        <w:rPr>
          <w:spacing w:val="-3"/>
          <w:szCs w:val="26"/>
        </w:rPr>
        <w:t xml:space="preserve">.  The Respondent, which was represented by counsel, offered three exhibits for admission into the record.  No briefs were filed.  The record closed on August 19, 2011.  </w:t>
      </w:r>
    </w:p>
    <w:p w:rsidR="00C10286" w:rsidRDefault="00C10286" w:rsidP="00C10286">
      <w:pPr>
        <w:tabs>
          <w:tab w:val="left" w:pos="-1440"/>
          <w:tab w:val="left" w:pos="-720"/>
        </w:tabs>
        <w:suppressAutoHyphens/>
        <w:spacing w:line="360" w:lineRule="auto"/>
        <w:ind w:firstLine="1440"/>
        <w:rPr>
          <w:spacing w:val="-3"/>
          <w:szCs w:val="26"/>
        </w:rPr>
      </w:pPr>
    </w:p>
    <w:p w:rsidR="00C10286" w:rsidRDefault="00C10286" w:rsidP="00C10286">
      <w:pPr>
        <w:tabs>
          <w:tab w:val="left" w:pos="-1440"/>
          <w:tab w:val="left" w:pos="-720"/>
        </w:tabs>
        <w:suppressAutoHyphens/>
        <w:spacing w:line="360" w:lineRule="auto"/>
        <w:ind w:firstLine="1440"/>
        <w:rPr>
          <w:spacing w:val="-3"/>
          <w:szCs w:val="26"/>
        </w:rPr>
      </w:pPr>
      <w:r>
        <w:rPr>
          <w:spacing w:val="-3"/>
          <w:szCs w:val="26"/>
        </w:rPr>
        <w:t>The relevant facts in this proceeding are straightforward</w:t>
      </w:r>
      <w:r w:rsidR="00254F82">
        <w:rPr>
          <w:spacing w:val="-3"/>
          <w:szCs w:val="26"/>
        </w:rPr>
        <w:t xml:space="preserve"> and undisputed</w:t>
      </w:r>
      <w:r>
        <w:rPr>
          <w:spacing w:val="-3"/>
          <w:szCs w:val="26"/>
        </w:rPr>
        <w:t xml:space="preserve">.  </w:t>
      </w:r>
      <w:r w:rsidR="00CE79A5">
        <w:rPr>
          <w:spacing w:val="-3"/>
          <w:szCs w:val="26"/>
        </w:rPr>
        <w:t xml:space="preserve">The </w:t>
      </w:r>
      <w:r w:rsidR="006B57DA">
        <w:rPr>
          <w:spacing w:val="-3"/>
          <w:szCs w:val="26"/>
        </w:rPr>
        <w:t>electric bills for this commercial account</w:t>
      </w:r>
      <w:r w:rsidR="00012532">
        <w:rPr>
          <w:spacing w:val="-3"/>
          <w:szCs w:val="26"/>
        </w:rPr>
        <w:t>, which is in the Complainant’s name,</w:t>
      </w:r>
      <w:r w:rsidR="006B57DA">
        <w:rPr>
          <w:spacing w:val="-3"/>
          <w:szCs w:val="26"/>
        </w:rPr>
        <w:t xml:space="preserve"> are sent to the</w:t>
      </w:r>
      <w:r w:rsidR="00CE79A5">
        <w:rPr>
          <w:spacing w:val="-3"/>
          <w:szCs w:val="26"/>
        </w:rPr>
        <w:t xml:space="preserve"> Complainant</w:t>
      </w:r>
      <w:r w:rsidR="006B57DA">
        <w:rPr>
          <w:spacing w:val="-3"/>
          <w:szCs w:val="26"/>
        </w:rPr>
        <w:t>’s</w:t>
      </w:r>
      <w:r w:rsidR="00CE79A5">
        <w:rPr>
          <w:spacing w:val="-3"/>
          <w:szCs w:val="26"/>
        </w:rPr>
        <w:t xml:space="preserve"> residence.  </w:t>
      </w:r>
      <w:r w:rsidR="00012532">
        <w:rPr>
          <w:spacing w:val="-3"/>
          <w:szCs w:val="26"/>
        </w:rPr>
        <w:t xml:space="preserve">Duquesne </w:t>
      </w:r>
      <w:proofErr w:type="spellStart"/>
      <w:r w:rsidR="00012532">
        <w:rPr>
          <w:spacing w:val="-3"/>
          <w:szCs w:val="26"/>
        </w:rPr>
        <w:t>Exhs</w:t>
      </w:r>
      <w:proofErr w:type="spellEnd"/>
      <w:r w:rsidR="00012532">
        <w:rPr>
          <w:spacing w:val="-3"/>
          <w:szCs w:val="26"/>
        </w:rPr>
        <w:t xml:space="preserve">. </w:t>
      </w:r>
      <w:proofErr w:type="gramStart"/>
      <w:r w:rsidR="00012532">
        <w:rPr>
          <w:spacing w:val="-3"/>
          <w:szCs w:val="26"/>
        </w:rPr>
        <w:t xml:space="preserve">1 and 2; </w:t>
      </w:r>
      <w:r w:rsidR="00CE79A5">
        <w:rPr>
          <w:spacing w:val="-3"/>
          <w:szCs w:val="26"/>
        </w:rPr>
        <w:t>N.T. at 10, 14</w:t>
      </w:r>
      <w:r w:rsidR="00907FFA">
        <w:rPr>
          <w:spacing w:val="-3"/>
          <w:szCs w:val="26"/>
        </w:rPr>
        <w:t>, 28</w:t>
      </w:r>
      <w:r w:rsidR="00CE79A5">
        <w:rPr>
          <w:spacing w:val="-3"/>
          <w:szCs w:val="26"/>
        </w:rPr>
        <w:t>.</w:t>
      </w:r>
      <w:proofErr w:type="gramEnd"/>
      <w:r w:rsidR="00CE79A5">
        <w:rPr>
          <w:spacing w:val="-3"/>
          <w:szCs w:val="26"/>
        </w:rPr>
        <w:t xml:space="preserve">  </w:t>
      </w:r>
      <w:r w:rsidR="002F46E0">
        <w:rPr>
          <w:spacing w:val="-3"/>
          <w:szCs w:val="26"/>
        </w:rPr>
        <w:t xml:space="preserve">Duquesne attempted to call the Complainant on December 6, 2010, and again on December 7, 2010, to notify him of the impending termination of service to his business for nonpayment.  On both occasions there was no answer.  </w:t>
      </w:r>
      <w:r w:rsidR="00CE79A5">
        <w:rPr>
          <w:spacing w:val="-3"/>
          <w:szCs w:val="26"/>
        </w:rPr>
        <w:t>Duquesne used the primary telephone number for the Complainant that was on file; however, the Complainant had not informed</w:t>
      </w:r>
      <w:r w:rsidR="002F46E0">
        <w:rPr>
          <w:spacing w:val="-3"/>
          <w:szCs w:val="26"/>
        </w:rPr>
        <w:t xml:space="preserve"> Duquesne that his telephone number had changed.  </w:t>
      </w:r>
      <w:proofErr w:type="gramStart"/>
      <w:r w:rsidR="00CE79A5">
        <w:rPr>
          <w:spacing w:val="-3"/>
          <w:szCs w:val="26"/>
        </w:rPr>
        <w:t>N.T. at 23</w:t>
      </w:r>
      <w:r w:rsidR="00DC1DF4">
        <w:rPr>
          <w:spacing w:val="-3"/>
          <w:szCs w:val="26"/>
        </w:rPr>
        <w:t>, 35</w:t>
      </w:r>
      <w:r w:rsidR="00CE79A5">
        <w:rPr>
          <w:spacing w:val="-3"/>
          <w:szCs w:val="26"/>
        </w:rPr>
        <w:t>.</w:t>
      </w:r>
      <w:proofErr w:type="gramEnd"/>
      <w:r w:rsidR="00CE79A5">
        <w:rPr>
          <w:spacing w:val="-3"/>
          <w:szCs w:val="26"/>
        </w:rPr>
        <w:t xml:space="preserve">  </w:t>
      </w:r>
      <w:r w:rsidR="002F46E0">
        <w:rPr>
          <w:spacing w:val="-3"/>
          <w:szCs w:val="26"/>
        </w:rPr>
        <w:t>Bec</w:t>
      </w:r>
      <w:r w:rsidR="00CE79A5">
        <w:rPr>
          <w:spacing w:val="-3"/>
          <w:szCs w:val="26"/>
        </w:rPr>
        <w:t xml:space="preserve">ause </w:t>
      </w:r>
      <w:r w:rsidR="006B57DA">
        <w:rPr>
          <w:spacing w:val="-3"/>
          <w:szCs w:val="26"/>
        </w:rPr>
        <w:t xml:space="preserve">Duquesne was unable to contact the Complainant, </w:t>
      </w:r>
      <w:r w:rsidR="00CE79A5">
        <w:rPr>
          <w:spacing w:val="-3"/>
          <w:szCs w:val="26"/>
        </w:rPr>
        <w:t>consistent with its practice</w:t>
      </w:r>
      <w:r w:rsidR="006B57DA">
        <w:rPr>
          <w:spacing w:val="-3"/>
          <w:szCs w:val="26"/>
        </w:rPr>
        <w:t xml:space="preserve"> </w:t>
      </w:r>
      <w:r w:rsidR="002F46E0">
        <w:rPr>
          <w:spacing w:val="-3"/>
          <w:szCs w:val="26"/>
        </w:rPr>
        <w:t xml:space="preserve">Duquesne hand-delivered a 72-hour shut-off notice to the </w:t>
      </w:r>
      <w:r w:rsidR="00CE79A5">
        <w:rPr>
          <w:spacing w:val="-3"/>
          <w:szCs w:val="26"/>
        </w:rPr>
        <w:t xml:space="preserve">service address </w:t>
      </w:r>
      <w:r w:rsidR="002F46E0">
        <w:rPr>
          <w:spacing w:val="-3"/>
          <w:szCs w:val="26"/>
        </w:rPr>
        <w:t xml:space="preserve">on December 8, 2010.  </w:t>
      </w:r>
      <w:proofErr w:type="gramStart"/>
      <w:r w:rsidR="00DC1DF4">
        <w:rPr>
          <w:spacing w:val="-3"/>
          <w:szCs w:val="26"/>
        </w:rPr>
        <w:t>N.T. at 35-36, 42</w:t>
      </w:r>
      <w:r w:rsidR="00642B13">
        <w:rPr>
          <w:spacing w:val="-3"/>
          <w:szCs w:val="26"/>
        </w:rPr>
        <w:t>, 49</w:t>
      </w:r>
      <w:r w:rsidR="00CE79A5">
        <w:rPr>
          <w:spacing w:val="-3"/>
          <w:szCs w:val="26"/>
        </w:rPr>
        <w:t>.</w:t>
      </w:r>
      <w:proofErr w:type="gramEnd"/>
      <w:r w:rsidR="00CE79A5">
        <w:rPr>
          <w:spacing w:val="-3"/>
          <w:szCs w:val="26"/>
        </w:rPr>
        <w:t xml:space="preserve">  </w:t>
      </w:r>
      <w:r w:rsidR="006B57DA">
        <w:rPr>
          <w:spacing w:val="-3"/>
          <w:szCs w:val="26"/>
        </w:rPr>
        <w:t xml:space="preserve">On December 20, 2010, the Complainant received a telephone call from an employee at his business, informing him that someone from Duquesne was there to terminate electric service for </w:t>
      </w:r>
      <w:r w:rsidR="001E2B2C">
        <w:rPr>
          <w:spacing w:val="-3"/>
          <w:szCs w:val="26"/>
        </w:rPr>
        <w:t>nonpayment.  N.T. at 10-11</w:t>
      </w:r>
      <w:r w:rsidR="006B57DA">
        <w:rPr>
          <w:spacing w:val="-3"/>
          <w:szCs w:val="26"/>
        </w:rPr>
        <w:t xml:space="preserve">.  The past-due amount at the time of termination was </w:t>
      </w:r>
      <w:r w:rsidR="006B57DA">
        <w:rPr>
          <w:spacing w:val="-3"/>
          <w:szCs w:val="26"/>
        </w:rPr>
        <w:lastRenderedPageBreak/>
        <w:t xml:space="preserve">$470.07.  </w:t>
      </w:r>
      <w:proofErr w:type="gramStart"/>
      <w:r w:rsidR="00642B13">
        <w:rPr>
          <w:spacing w:val="-3"/>
          <w:szCs w:val="26"/>
        </w:rPr>
        <w:t>N.T. at 43.</w:t>
      </w:r>
      <w:proofErr w:type="gramEnd"/>
      <w:r w:rsidR="00642B13">
        <w:rPr>
          <w:spacing w:val="-3"/>
          <w:szCs w:val="26"/>
        </w:rPr>
        <w:t xml:space="preserve">  </w:t>
      </w:r>
      <w:r w:rsidR="006B57DA">
        <w:rPr>
          <w:spacing w:val="-3"/>
          <w:szCs w:val="26"/>
        </w:rPr>
        <w:t>The Comp</w:t>
      </w:r>
      <w:r w:rsidR="00711BCA">
        <w:rPr>
          <w:spacing w:val="-3"/>
          <w:szCs w:val="26"/>
        </w:rPr>
        <w:t>lainant admits that the</w:t>
      </w:r>
      <w:r w:rsidR="00247BF7">
        <w:rPr>
          <w:spacing w:val="-3"/>
          <w:szCs w:val="26"/>
        </w:rPr>
        <w:t xml:space="preserve"> </w:t>
      </w:r>
      <w:r w:rsidR="00711BCA">
        <w:rPr>
          <w:spacing w:val="-3"/>
          <w:szCs w:val="26"/>
        </w:rPr>
        <w:t xml:space="preserve">72-hour </w:t>
      </w:r>
      <w:r w:rsidR="006B57DA">
        <w:rPr>
          <w:spacing w:val="-3"/>
          <w:szCs w:val="26"/>
        </w:rPr>
        <w:t>shut-off notice was delivered</w:t>
      </w:r>
      <w:r w:rsidR="00254F82">
        <w:rPr>
          <w:spacing w:val="-3"/>
          <w:szCs w:val="26"/>
        </w:rPr>
        <w:t xml:space="preserve"> to his business address</w:t>
      </w:r>
      <w:r w:rsidR="006B57DA">
        <w:rPr>
          <w:spacing w:val="-3"/>
          <w:szCs w:val="26"/>
        </w:rPr>
        <w:t>; however, o</w:t>
      </w:r>
      <w:r w:rsidR="002F46E0">
        <w:rPr>
          <w:spacing w:val="-3"/>
          <w:szCs w:val="26"/>
        </w:rPr>
        <w:t xml:space="preserve">ne of the Complainant’s employees </w:t>
      </w:r>
      <w:r w:rsidR="00CE79A5">
        <w:rPr>
          <w:spacing w:val="-3"/>
          <w:szCs w:val="26"/>
        </w:rPr>
        <w:t>mis</w:t>
      </w:r>
      <w:r w:rsidR="002F46E0">
        <w:rPr>
          <w:spacing w:val="-3"/>
          <w:szCs w:val="26"/>
        </w:rPr>
        <w:t>placed the notice with so</w:t>
      </w:r>
      <w:r w:rsidR="00CE79A5">
        <w:rPr>
          <w:spacing w:val="-3"/>
          <w:szCs w:val="26"/>
        </w:rPr>
        <w:t>me other papers, where</w:t>
      </w:r>
      <w:r w:rsidR="002F46E0">
        <w:rPr>
          <w:spacing w:val="-3"/>
          <w:szCs w:val="26"/>
        </w:rPr>
        <w:t xml:space="preserve"> it was discovered </w:t>
      </w:r>
      <w:r w:rsidR="00CE79A5">
        <w:rPr>
          <w:spacing w:val="-3"/>
          <w:szCs w:val="26"/>
        </w:rPr>
        <w:t>after</w:t>
      </w:r>
      <w:r w:rsidR="006B57DA">
        <w:rPr>
          <w:spacing w:val="-3"/>
          <w:szCs w:val="26"/>
        </w:rPr>
        <w:t xml:space="preserve"> service was terminated.  </w:t>
      </w:r>
      <w:proofErr w:type="gramStart"/>
      <w:r w:rsidR="001E2B2C">
        <w:rPr>
          <w:spacing w:val="-3"/>
          <w:szCs w:val="26"/>
        </w:rPr>
        <w:t>N.T. at 13</w:t>
      </w:r>
      <w:r w:rsidR="00907FFA">
        <w:rPr>
          <w:spacing w:val="-3"/>
          <w:szCs w:val="26"/>
        </w:rPr>
        <w:t>, 25</w:t>
      </w:r>
      <w:r w:rsidR="001E2B2C">
        <w:rPr>
          <w:spacing w:val="-3"/>
          <w:szCs w:val="26"/>
        </w:rPr>
        <w:t>.</w:t>
      </w:r>
      <w:proofErr w:type="gramEnd"/>
      <w:r w:rsidR="001E2B2C">
        <w:rPr>
          <w:spacing w:val="-3"/>
          <w:szCs w:val="26"/>
        </w:rPr>
        <w:t xml:space="preserve">  </w:t>
      </w:r>
      <w:r>
        <w:rPr>
          <w:spacing w:val="-3"/>
          <w:szCs w:val="26"/>
        </w:rPr>
        <w:t xml:space="preserve">Following termination, the Complainant made arrangements to </w:t>
      </w:r>
      <w:r w:rsidR="00DD02D9">
        <w:rPr>
          <w:spacing w:val="-3"/>
          <w:szCs w:val="26"/>
        </w:rPr>
        <w:t>pay his past due bill</w:t>
      </w:r>
      <w:r>
        <w:rPr>
          <w:spacing w:val="-3"/>
          <w:szCs w:val="26"/>
        </w:rPr>
        <w:t xml:space="preserve">, a security deposit of $947, and a reconnection fee of $50.  </w:t>
      </w:r>
      <w:proofErr w:type="gramStart"/>
      <w:r>
        <w:rPr>
          <w:spacing w:val="-3"/>
          <w:szCs w:val="26"/>
        </w:rPr>
        <w:t>N.T. at 11, 43-44</w:t>
      </w:r>
      <w:r w:rsidR="00DD02D9">
        <w:rPr>
          <w:spacing w:val="-3"/>
          <w:szCs w:val="26"/>
        </w:rPr>
        <w:t xml:space="preserve">; </w:t>
      </w:r>
      <w:proofErr w:type="spellStart"/>
      <w:r w:rsidR="00DD02D9">
        <w:rPr>
          <w:spacing w:val="-3"/>
          <w:szCs w:val="26"/>
        </w:rPr>
        <w:t>Exh</w:t>
      </w:r>
      <w:proofErr w:type="spellEnd"/>
      <w:r w:rsidR="00DD02D9">
        <w:rPr>
          <w:spacing w:val="-3"/>
          <w:szCs w:val="26"/>
        </w:rPr>
        <w:t>.</w:t>
      </w:r>
      <w:proofErr w:type="gramEnd"/>
      <w:r w:rsidR="00DD02D9">
        <w:rPr>
          <w:spacing w:val="-3"/>
          <w:szCs w:val="26"/>
        </w:rPr>
        <w:t xml:space="preserve"> </w:t>
      </w:r>
      <w:proofErr w:type="gramStart"/>
      <w:r w:rsidR="00DD02D9">
        <w:rPr>
          <w:spacing w:val="-3"/>
          <w:szCs w:val="26"/>
        </w:rPr>
        <w:t>1 at 7</w:t>
      </w:r>
      <w:r>
        <w:rPr>
          <w:spacing w:val="-3"/>
          <w:szCs w:val="26"/>
        </w:rPr>
        <w:t>.</w:t>
      </w:r>
      <w:proofErr w:type="gramEnd"/>
      <w:r w:rsidR="002F46E0">
        <w:rPr>
          <w:spacing w:val="-3"/>
          <w:szCs w:val="26"/>
        </w:rPr>
        <w:t xml:space="preserve">  Duquesne restored service the next day.  </w:t>
      </w:r>
      <w:proofErr w:type="gramStart"/>
      <w:r w:rsidR="002F46E0">
        <w:rPr>
          <w:spacing w:val="-3"/>
          <w:szCs w:val="26"/>
        </w:rPr>
        <w:t>N.T. at 11.</w:t>
      </w:r>
      <w:proofErr w:type="gramEnd"/>
    </w:p>
    <w:p w:rsidR="00A9373C" w:rsidRDefault="00A9373C" w:rsidP="00AE0D5A">
      <w:pPr>
        <w:tabs>
          <w:tab w:val="left" w:pos="-1440"/>
          <w:tab w:val="left" w:pos="-720"/>
        </w:tabs>
        <w:suppressAutoHyphens/>
        <w:spacing w:line="360" w:lineRule="auto"/>
        <w:ind w:firstLine="1440"/>
        <w:rPr>
          <w:spacing w:val="-3"/>
          <w:szCs w:val="26"/>
        </w:rPr>
      </w:pPr>
    </w:p>
    <w:p w:rsidR="001C71FC" w:rsidRDefault="003028DB" w:rsidP="003028DB">
      <w:pPr>
        <w:tabs>
          <w:tab w:val="left" w:pos="-1440"/>
          <w:tab w:val="left" w:pos="-720"/>
        </w:tabs>
        <w:suppressAutoHyphens/>
        <w:spacing w:line="360" w:lineRule="auto"/>
        <w:ind w:firstLine="1440"/>
        <w:rPr>
          <w:spacing w:val="-3"/>
          <w:szCs w:val="26"/>
        </w:rPr>
      </w:pPr>
      <w:r>
        <w:rPr>
          <w:spacing w:val="-3"/>
          <w:szCs w:val="26"/>
        </w:rPr>
        <w:t xml:space="preserve">The </w:t>
      </w:r>
      <w:r w:rsidR="00A658DB">
        <w:rPr>
          <w:spacing w:val="-3"/>
          <w:szCs w:val="26"/>
        </w:rPr>
        <w:t xml:space="preserve">ALJ </w:t>
      </w:r>
      <w:r w:rsidR="00C82E53">
        <w:rPr>
          <w:spacing w:val="-3"/>
          <w:szCs w:val="26"/>
        </w:rPr>
        <w:t xml:space="preserve">interpreted the </w:t>
      </w:r>
      <w:r w:rsidR="00254F82">
        <w:rPr>
          <w:spacing w:val="-3"/>
          <w:szCs w:val="26"/>
        </w:rPr>
        <w:t xml:space="preserve">Commission’s </w:t>
      </w:r>
      <w:r w:rsidR="00C82E53">
        <w:rPr>
          <w:spacing w:val="-3"/>
          <w:szCs w:val="26"/>
        </w:rPr>
        <w:t>regulation</w:t>
      </w:r>
      <w:r w:rsidR="00254F82">
        <w:rPr>
          <w:spacing w:val="-3"/>
          <w:szCs w:val="26"/>
        </w:rPr>
        <w:t xml:space="preserve"> governing </w:t>
      </w:r>
      <w:r>
        <w:rPr>
          <w:spacing w:val="-3"/>
          <w:szCs w:val="26"/>
        </w:rPr>
        <w:t xml:space="preserve">termination </w:t>
      </w:r>
      <w:r w:rsidR="00C82E53">
        <w:rPr>
          <w:spacing w:val="-3"/>
          <w:szCs w:val="26"/>
        </w:rPr>
        <w:t>of service to non-residential accounts, 52 Pa. Code</w:t>
      </w:r>
      <w:r w:rsidR="00247BF7">
        <w:rPr>
          <w:spacing w:val="-3"/>
          <w:szCs w:val="26"/>
        </w:rPr>
        <w:t xml:space="preserve"> §</w:t>
      </w:r>
      <w:r w:rsidR="00C82E53">
        <w:rPr>
          <w:spacing w:val="-3"/>
          <w:szCs w:val="26"/>
        </w:rPr>
        <w:t xml:space="preserve"> 55.2(b), as requiring that a utility provide the required 72-hour notice of termination to a customer’s billing address, rather than the service address.  </w:t>
      </w:r>
      <w:proofErr w:type="gramStart"/>
      <w:r w:rsidR="00C82E53">
        <w:rPr>
          <w:spacing w:val="-3"/>
          <w:szCs w:val="26"/>
        </w:rPr>
        <w:t>I.D. at 7.</w:t>
      </w:r>
      <w:proofErr w:type="gramEnd"/>
      <w:r w:rsidR="00C82E53">
        <w:rPr>
          <w:spacing w:val="-3"/>
          <w:szCs w:val="26"/>
        </w:rPr>
        <w:t xml:space="preserve">  The ALJ concluded</w:t>
      </w:r>
      <w:r>
        <w:rPr>
          <w:spacing w:val="-3"/>
          <w:szCs w:val="26"/>
        </w:rPr>
        <w:t xml:space="preserve"> that</w:t>
      </w:r>
      <w:r w:rsidR="00C82E53">
        <w:rPr>
          <w:spacing w:val="-3"/>
          <w:szCs w:val="26"/>
        </w:rPr>
        <w:t>, by providing the termination notice to the Complainant’s service address rather than his billing address,</w:t>
      </w:r>
      <w:r>
        <w:rPr>
          <w:spacing w:val="-3"/>
          <w:szCs w:val="26"/>
        </w:rPr>
        <w:t xml:space="preserve"> Duquesne failed to follow the </w:t>
      </w:r>
      <w:r w:rsidR="00C82E53">
        <w:rPr>
          <w:spacing w:val="-3"/>
          <w:szCs w:val="26"/>
        </w:rPr>
        <w:t xml:space="preserve">required </w:t>
      </w:r>
      <w:r>
        <w:rPr>
          <w:spacing w:val="-3"/>
          <w:szCs w:val="26"/>
        </w:rPr>
        <w:t>termi</w:t>
      </w:r>
      <w:r w:rsidR="00C82E53">
        <w:rPr>
          <w:spacing w:val="-3"/>
          <w:szCs w:val="26"/>
        </w:rPr>
        <w:t xml:space="preserve">nation procedure and violated 52 Pa. Code </w:t>
      </w:r>
      <w:r w:rsidR="00247BF7">
        <w:rPr>
          <w:spacing w:val="-3"/>
          <w:szCs w:val="26"/>
        </w:rPr>
        <w:t xml:space="preserve">§ </w:t>
      </w:r>
      <w:r w:rsidR="00C82E53">
        <w:rPr>
          <w:spacing w:val="-3"/>
          <w:szCs w:val="26"/>
        </w:rPr>
        <w:t>55.2(b).</w:t>
      </w:r>
      <w:r>
        <w:rPr>
          <w:spacing w:val="-3"/>
          <w:szCs w:val="26"/>
        </w:rPr>
        <w:t xml:space="preserve">  </w:t>
      </w:r>
      <w:r w:rsidR="00C82E53" w:rsidRPr="00C82E53">
        <w:rPr>
          <w:i/>
          <w:spacing w:val="-3"/>
          <w:szCs w:val="26"/>
        </w:rPr>
        <w:t>Id</w:t>
      </w:r>
      <w:r w:rsidR="00C82E53">
        <w:rPr>
          <w:spacing w:val="-3"/>
          <w:szCs w:val="26"/>
        </w:rPr>
        <w:t>. at 7-8.  The ALJ</w:t>
      </w:r>
      <w:r>
        <w:rPr>
          <w:spacing w:val="-3"/>
          <w:szCs w:val="26"/>
        </w:rPr>
        <w:t xml:space="preserve"> imposed a $250 civil penalty on Duquesne for the violation, and directed Duquesne to credit the Complainant’s account for the $947 security deposit and the $50 reconnection fee that the Complainant was required to pay to have his service restored.</w:t>
      </w:r>
      <w:r w:rsidR="00E4245C">
        <w:rPr>
          <w:spacing w:val="-3"/>
          <w:szCs w:val="26"/>
        </w:rPr>
        <w:t xml:space="preserve">  </w:t>
      </w:r>
      <w:r w:rsidR="00E4245C" w:rsidRPr="00E4245C">
        <w:rPr>
          <w:i/>
          <w:spacing w:val="-3"/>
          <w:szCs w:val="26"/>
        </w:rPr>
        <w:t>Id</w:t>
      </w:r>
      <w:r w:rsidR="00E4245C">
        <w:rPr>
          <w:spacing w:val="-3"/>
          <w:szCs w:val="26"/>
        </w:rPr>
        <w:t>. at 8-9.</w:t>
      </w:r>
    </w:p>
    <w:p w:rsidR="003028DB" w:rsidRPr="003028DB" w:rsidRDefault="003028DB" w:rsidP="003028DB">
      <w:pPr>
        <w:tabs>
          <w:tab w:val="left" w:pos="-1440"/>
          <w:tab w:val="left" w:pos="-720"/>
        </w:tabs>
        <w:suppressAutoHyphens/>
        <w:spacing w:line="360" w:lineRule="auto"/>
        <w:ind w:firstLine="1440"/>
        <w:rPr>
          <w:spacing w:val="-3"/>
          <w:szCs w:val="26"/>
        </w:rPr>
      </w:pPr>
    </w:p>
    <w:p w:rsidR="005D48EF" w:rsidRPr="005D48EF" w:rsidRDefault="005D48EF" w:rsidP="005D48EF">
      <w:pPr>
        <w:tabs>
          <w:tab w:val="left" w:pos="-1440"/>
          <w:tab w:val="left" w:pos="-720"/>
        </w:tabs>
        <w:suppressAutoHyphens/>
        <w:spacing w:line="360" w:lineRule="auto"/>
        <w:jc w:val="center"/>
        <w:rPr>
          <w:b/>
        </w:rPr>
      </w:pPr>
      <w:r w:rsidRPr="005D48EF">
        <w:rPr>
          <w:b/>
        </w:rPr>
        <w:t>Discussion</w:t>
      </w:r>
    </w:p>
    <w:p w:rsidR="00BE11B2" w:rsidRDefault="00BE11B2" w:rsidP="00BE11B2">
      <w:pPr>
        <w:tabs>
          <w:tab w:val="left" w:pos="-1440"/>
          <w:tab w:val="left" w:pos="-720"/>
        </w:tabs>
        <w:suppressAutoHyphens/>
        <w:spacing w:line="360" w:lineRule="auto"/>
        <w:ind w:firstLine="1440"/>
        <w:rPr>
          <w:spacing w:val="-3"/>
          <w:szCs w:val="26"/>
        </w:rPr>
      </w:pPr>
    </w:p>
    <w:p w:rsidR="00E56DDD" w:rsidRDefault="00E56DDD" w:rsidP="00E56DDD">
      <w:pPr>
        <w:spacing w:line="360" w:lineRule="auto"/>
        <w:ind w:firstLine="1440"/>
      </w:pPr>
      <w:r w:rsidRPr="008F0B41">
        <w:rPr>
          <w:szCs w:val="26"/>
        </w:rPr>
        <w:t>As the proponent of a rule or order, the Complainant</w:t>
      </w:r>
      <w:r>
        <w:rPr>
          <w:szCs w:val="26"/>
        </w:rPr>
        <w:t xml:space="preserve"> in this proceeding bears</w:t>
      </w:r>
      <w:r w:rsidRPr="008F0B41">
        <w:rPr>
          <w:szCs w:val="26"/>
        </w:rPr>
        <w:t xml:space="preserve"> the burden of </w:t>
      </w:r>
      <w:r>
        <w:rPr>
          <w:szCs w:val="26"/>
        </w:rPr>
        <w:t>p</w:t>
      </w:r>
      <w:r w:rsidRPr="008F0B41">
        <w:rPr>
          <w:szCs w:val="26"/>
        </w:rPr>
        <w:t>roof pursuant to Section 332(a) of</w:t>
      </w:r>
      <w:r>
        <w:rPr>
          <w:szCs w:val="26"/>
        </w:rPr>
        <w:t xml:space="preserve"> the Code. </w:t>
      </w:r>
      <w:r w:rsidRPr="008F0B41">
        <w:rPr>
          <w:szCs w:val="26"/>
        </w:rPr>
        <w:t xml:space="preserve"> </w:t>
      </w:r>
      <w:proofErr w:type="gramStart"/>
      <w:r w:rsidRPr="008F0B41">
        <w:rPr>
          <w:szCs w:val="26"/>
        </w:rPr>
        <w:t>66 Pa. C.S. § 332(a).</w:t>
      </w:r>
      <w:proofErr w:type="gramEnd"/>
      <w:r w:rsidRPr="008F0B41">
        <w:rPr>
          <w:szCs w:val="26"/>
        </w:rPr>
        <w:t xml:space="preserve">  </w:t>
      </w:r>
      <w:r>
        <w:rPr>
          <w:szCs w:val="26"/>
        </w:rPr>
        <w:t xml:space="preserve">To establish a sufficient case and satisfy the burden of proof, the Complainant must show that the </w:t>
      </w:r>
      <w:r w:rsidR="00247BF7">
        <w:rPr>
          <w:szCs w:val="26"/>
        </w:rPr>
        <w:t>Respondent</w:t>
      </w:r>
      <w:r>
        <w:rPr>
          <w:szCs w:val="26"/>
        </w:rPr>
        <w:t xml:space="preserve"> is responsible or accountable for the problem described in the Complaint.  </w:t>
      </w:r>
      <w:proofErr w:type="gramStart"/>
      <w:r w:rsidRPr="00122405">
        <w:rPr>
          <w:i/>
          <w:szCs w:val="26"/>
        </w:rPr>
        <w:t>Patterson v. Bell Telephone Company of Pennsylvania</w:t>
      </w:r>
      <w:r>
        <w:rPr>
          <w:szCs w:val="26"/>
        </w:rPr>
        <w:t>, 72 Pa. P.U.C. 196 (1990).</w:t>
      </w:r>
      <w:proofErr w:type="gramEnd"/>
      <w:r>
        <w:rPr>
          <w:szCs w:val="26"/>
        </w:rPr>
        <w:t xml:space="preserve">  Such a showing must be by a preponderance of the evidence.  </w:t>
      </w:r>
      <w:proofErr w:type="gramStart"/>
      <w:r w:rsidRPr="008F0B41">
        <w:rPr>
          <w:i/>
          <w:iCs/>
          <w:szCs w:val="26"/>
        </w:rPr>
        <w:t xml:space="preserve">Samuel J. </w:t>
      </w:r>
      <w:proofErr w:type="spellStart"/>
      <w:r w:rsidRPr="008F0B41">
        <w:rPr>
          <w:i/>
          <w:iCs/>
          <w:szCs w:val="26"/>
        </w:rPr>
        <w:t>Lansberry</w:t>
      </w:r>
      <w:proofErr w:type="spellEnd"/>
      <w:r w:rsidRPr="008F0B41">
        <w:rPr>
          <w:i/>
          <w:iCs/>
          <w:szCs w:val="26"/>
        </w:rPr>
        <w:t>, Inc. v. P</w:t>
      </w:r>
      <w:r>
        <w:rPr>
          <w:i/>
          <w:iCs/>
          <w:szCs w:val="26"/>
        </w:rPr>
        <w:t>a. PUC</w:t>
      </w:r>
      <w:r w:rsidRPr="008F0B41">
        <w:rPr>
          <w:szCs w:val="26"/>
        </w:rPr>
        <w:t xml:space="preserve">, 578 A.2d 600 (Pa. </w:t>
      </w:r>
      <w:proofErr w:type="spellStart"/>
      <w:r w:rsidRPr="008F0B41">
        <w:rPr>
          <w:szCs w:val="26"/>
        </w:rPr>
        <w:t>C</w:t>
      </w:r>
      <w:r>
        <w:rPr>
          <w:szCs w:val="26"/>
        </w:rPr>
        <w:t>m</w:t>
      </w:r>
      <w:r w:rsidRPr="008F0B41">
        <w:rPr>
          <w:szCs w:val="26"/>
        </w:rPr>
        <w:t>w</w:t>
      </w:r>
      <w:r>
        <w:rPr>
          <w:szCs w:val="26"/>
        </w:rPr>
        <w:t>lth</w:t>
      </w:r>
      <w:proofErr w:type="spellEnd"/>
      <w:r w:rsidRPr="008F0B41">
        <w:rPr>
          <w:szCs w:val="26"/>
        </w:rPr>
        <w:t>. 1990)</w:t>
      </w:r>
      <w:r>
        <w:rPr>
          <w:szCs w:val="26"/>
        </w:rPr>
        <w:t xml:space="preserve">, </w:t>
      </w:r>
      <w:proofErr w:type="spellStart"/>
      <w:r w:rsidRPr="005B6109">
        <w:rPr>
          <w:i/>
          <w:szCs w:val="26"/>
        </w:rPr>
        <w:t>alloc</w:t>
      </w:r>
      <w:proofErr w:type="spellEnd"/>
      <w:r w:rsidRPr="005B6109">
        <w:rPr>
          <w:i/>
          <w:szCs w:val="26"/>
        </w:rPr>
        <w:t>.</w:t>
      </w:r>
      <w:proofErr w:type="gramEnd"/>
      <w:r w:rsidRPr="005B6109">
        <w:rPr>
          <w:i/>
          <w:szCs w:val="26"/>
        </w:rPr>
        <w:t xml:space="preserve"> </w:t>
      </w:r>
      <w:proofErr w:type="gramStart"/>
      <w:r w:rsidRPr="005B6109">
        <w:rPr>
          <w:i/>
          <w:szCs w:val="26"/>
        </w:rPr>
        <w:t>denied</w:t>
      </w:r>
      <w:proofErr w:type="gramEnd"/>
      <w:r>
        <w:rPr>
          <w:i/>
          <w:szCs w:val="26"/>
        </w:rPr>
        <w:t>,</w:t>
      </w:r>
      <w:r>
        <w:rPr>
          <w:szCs w:val="26"/>
        </w:rPr>
        <w:t xml:space="preserve"> 529 Pa. 654, 602 A.2d 863 (1992)</w:t>
      </w:r>
      <w:r w:rsidRPr="008F0B41">
        <w:rPr>
          <w:szCs w:val="26"/>
        </w:rPr>
        <w:t xml:space="preserve">.  </w:t>
      </w:r>
      <w:r>
        <w:rPr>
          <w:szCs w:val="26"/>
        </w:rPr>
        <w:t xml:space="preserve">That is, the Complainant’s evidence must be more convincing, by even the smallest amount, than that presented by the </w:t>
      </w:r>
      <w:r w:rsidR="00247BF7">
        <w:rPr>
          <w:szCs w:val="26"/>
        </w:rPr>
        <w:t>Respondent</w:t>
      </w:r>
      <w:r>
        <w:rPr>
          <w:szCs w:val="26"/>
        </w:rPr>
        <w:t xml:space="preserve">.  </w:t>
      </w:r>
      <w:proofErr w:type="gramStart"/>
      <w:r>
        <w:rPr>
          <w:i/>
          <w:szCs w:val="26"/>
        </w:rPr>
        <w:t xml:space="preserve">Se-Ling Hosiery v. </w:t>
      </w:r>
      <w:r w:rsidRPr="00122405">
        <w:rPr>
          <w:i/>
          <w:szCs w:val="26"/>
        </w:rPr>
        <w:t>Mar</w:t>
      </w:r>
      <w:r>
        <w:rPr>
          <w:i/>
          <w:szCs w:val="26"/>
        </w:rPr>
        <w:t>g</w:t>
      </w:r>
      <w:r w:rsidRPr="00122405">
        <w:rPr>
          <w:i/>
          <w:szCs w:val="26"/>
        </w:rPr>
        <w:t>ulies</w:t>
      </w:r>
      <w:r>
        <w:rPr>
          <w:szCs w:val="26"/>
        </w:rPr>
        <w:t>, 364 Pa. 45, 70 A.2d 854 (1950).</w:t>
      </w:r>
      <w:proofErr w:type="gramEnd"/>
      <w:r>
        <w:rPr>
          <w:szCs w:val="26"/>
        </w:rPr>
        <w:t xml:space="preserve">  </w:t>
      </w:r>
      <w:r w:rsidRPr="00122405">
        <w:rPr>
          <w:szCs w:val="26"/>
        </w:rPr>
        <w:t>Additionally</w:t>
      </w:r>
      <w:r w:rsidRPr="008F0B41">
        <w:rPr>
          <w:szCs w:val="26"/>
        </w:rPr>
        <w:t xml:space="preserve">, </w:t>
      </w:r>
      <w:r>
        <w:rPr>
          <w:szCs w:val="26"/>
        </w:rPr>
        <w:t xml:space="preserve">this Commission’s </w:t>
      </w:r>
      <w:r w:rsidRPr="008F0B41">
        <w:lastRenderedPageBreak/>
        <w:t xml:space="preserve">decision </w:t>
      </w:r>
      <w:r>
        <w:t>mu</w:t>
      </w:r>
      <w:r w:rsidRPr="008F0B41">
        <w:t>s</w:t>
      </w:r>
      <w:r>
        <w:t>t be</w:t>
      </w:r>
      <w:r w:rsidRPr="008F0B41">
        <w:t xml:space="preserve"> supported by substantial evidence in the record. </w:t>
      </w:r>
      <w:r>
        <w:t xml:space="preserve"> </w:t>
      </w:r>
      <w:r w:rsidRPr="008F0B41">
        <w:t>More is required than a mere trace of evidence or a suspicion of the existence of a fact sought to be established.</w:t>
      </w:r>
      <w:r>
        <w:t xml:space="preserve">  </w:t>
      </w:r>
      <w:proofErr w:type="gramStart"/>
      <w:r>
        <w:rPr>
          <w:i/>
        </w:rPr>
        <w:t xml:space="preserve">Norfolk &amp; Western Ry. Co. v. Pa. PUC, </w:t>
      </w:r>
      <w:r>
        <w:t>489 Pa. 109, 413 A.2d 1037 (1980).</w:t>
      </w:r>
      <w:proofErr w:type="gramEnd"/>
    </w:p>
    <w:p w:rsidR="00E4245C" w:rsidRPr="008F0B41" w:rsidRDefault="00E4245C" w:rsidP="00E56DDD">
      <w:pPr>
        <w:spacing w:line="360" w:lineRule="auto"/>
        <w:ind w:firstLine="1440"/>
        <w:rPr>
          <w:i/>
        </w:rPr>
      </w:pPr>
    </w:p>
    <w:p w:rsidR="00EC604F" w:rsidRDefault="00EC604F" w:rsidP="00EC604F">
      <w:pPr>
        <w:tabs>
          <w:tab w:val="left" w:pos="-720"/>
        </w:tabs>
        <w:suppressAutoHyphens/>
        <w:spacing w:line="360" w:lineRule="auto"/>
        <w:ind w:firstLine="1440"/>
      </w:pPr>
      <w:r>
        <w:t xml:space="preserve">Initially, we are reminded that we are not required to consider expressly or at great length each and every contention raised by a party to our proceedings.  </w:t>
      </w:r>
    </w:p>
    <w:p w:rsidR="005E466D" w:rsidRDefault="00EC604F" w:rsidP="00EC604F">
      <w:pPr>
        <w:tabs>
          <w:tab w:val="left" w:pos="-720"/>
        </w:tabs>
        <w:suppressAutoHyphens/>
        <w:spacing w:line="360" w:lineRule="auto"/>
      </w:pPr>
      <w:proofErr w:type="gramStart"/>
      <w:r>
        <w:rPr>
          <w:i/>
        </w:rPr>
        <w:t>University of Pennsylvania, et al. v. Pa. PUC</w:t>
      </w:r>
      <w:r>
        <w:t xml:space="preserve">, 485 A.2d 1217 (Pa. </w:t>
      </w:r>
      <w:proofErr w:type="spellStart"/>
      <w:r>
        <w:t>Cmwlth</w:t>
      </w:r>
      <w:proofErr w:type="spellEnd"/>
      <w:r>
        <w:t>. 1984).</w:t>
      </w:r>
      <w:proofErr w:type="gramEnd"/>
      <w:r>
        <w:t xml:space="preserve">  Any argument that is not specifically addressed herein shall be deemed to have been duly considered and denied without further discussion. </w:t>
      </w:r>
    </w:p>
    <w:p w:rsidR="005E466D" w:rsidRDefault="005E466D" w:rsidP="00EC604F">
      <w:pPr>
        <w:tabs>
          <w:tab w:val="left" w:pos="-720"/>
        </w:tabs>
        <w:suppressAutoHyphens/>
        <w:spacing w:line="360" w:lineRule="auto"/>
      </w:pPr>
    </w:p>
    <w:p w:rsidR="005E466D" w:rsidRDefault="00E4245C" w:rsidP="00566563">
      <w:pPr>
        <w:spacing w:line="360" w:lineRule="auto"/>
        <w:ind w:firstLine="1440"/>
        <w:rPr>
          <w:szCs w:val="26"/>
        </w:rPr>
      </w:pPr>
      <w:r>
        <w:t xml:space="preserve">The ALJ </w:t>
      </w:r>
      <w:r w:rsidR="00566563">
        <w:t>made</w:t>
      </w:r>
      <w:r w:rsidR="005E466D">
        <w:t xml:space="preserve"> </w:t>
      </w:r>
      <w:r w:rsidR="00566563">
        <w:rPr>
          <w:spacing w:val="-3"/>
          <w:szCs w:val="26"/>
        </w:rPr>
        <w:t xml:space="preserve">twenty-five Findings of Fact, I.D. at 2-5, and reached five Conclusions of Law, </w:t>
      </w:r>
      <w:r w:rsidR="00566563" w:rsidRPr="00CE0B81">
        <w:rPr>
          <w:i/>
          <w:spacing w:val="-3"/>
          <w:szCs w:val="26"/>
        </w:rPr>
        <w:t>id.</w:t>
      </w:r>
      <w:r w:rsidR="00566563">
        <w:rPr>
          <w:spacing w:val="-3"/>
          <w:szCs w:val="26"/>
        </w:rPr>
        <w:t xml:space="preserve"> </w:t>
      </w:r>
      <w:proofErr w:type="gramStart"/>
      <w:r w:rsidR="00566563">
        <w:rPr>
          <w:spacing w:val="-3"/>
          <w:szCs w:val="26"/>
        </w:rPr>
        <w:t>at</w:t>
      </w:r>
      <w:proofErr w:type="gramEnd"/>
      <w:r w:rsidR="00566563">
        <w:rPr>
          <w:spacing w:val="-3"/>
          <w:szCs w:val="26"/>
        </w:rPr>
        <w:t xml:space="preserve"> 10.</w:t>
      </w:r>
      <w:r w:rsidR="00566563">
        <w:t xml:space="preserve">  </w:t>
      </w:r>
      <w:r w:rsidR="005E466D">
        <w:t>We shall adopt and incorporate herein by reference the ALJ’s Findings of Fact and Conclusions of Law unless they are either expressly or by necessary implication overruled or modified by this Opinion and Order</w:t>
      </w:r>
      <w:r w:rsidR="005E466D" w:rsidRPr="001C7C2B">
        <w:rPr>
          <w:szCs w:val="26"/>
        </w:rPr>
        <w:t>.</w:t>
      </w:r>
    </w:p>
    <w:p w:rsidR="00E56DDD" w:rsidRDefault="00E56DDD" w:rsidP="00566563">
      <w:pPr>
        <w:spacing w:line="360" w:lineRule="auto"/>
        <w:ind w:firstLine="1440"/>
        <w:rPr>
          <w:szCs w:val="26"/>
        </w:rPr>
      </w:pPr>
    </w:p>
    <w:p w:rsidR="00E56DDD" w:rsidRDefault="00E56DDD" w:rsidP="00566563">
      <w:pPr>
        <w:spacing w:line="360" w:lineRule="auto"/>
        <w:ind w:firstLine="1440"/>
        <w:rPr>
          <w:szCs w:val="26"/>
        </w:rPr>
      </w:pPr>
      <w:r>
        <w:rPr>
          <w:szCs w:val="26"/>
        </w:rPr>
        <w:t>The Complainant did not dispute that Duquesne had the right to pursue the termination process for non-payment of bills.  Instead, the Complainant challenged the manner in which Duquesne pursued that process in this instance.  Specifically, the Complainant alleged that Duquesne should have sent the 72-hour termination notice to his billing address, rather than hand-delivering it to the service address.</w:t>
      </w:r>
    </w:p>
    <w:p w:rsidR="00E56DDD" w:rsidRDefault="00E56DDD" w:rsidP="00566563">
      <w:pPr>
        <w:spacing w:line="360" w:lineRule="auto"/>
        <w:ind w:firstLine="1440"/>
        <w:rPr>
          <w:szCs w:val="26"/>
        </w:rPr>
      </w:pPr>
    </w:p>
    <w:p w:rsidR="003E7A49" w:rsidRDefault="00E4245C" w:rsidP="00984C22">
      <w:pPr>
        <w:spacing w:line="360" w:lineRule="auto"/>
        <w:ind w:firstLine="1440"/>
        <w:rPr>
          <w:szCs w:val="26"/>
        </w:rPr>
      </w:pPr>
      <w:r>
        <w:rPr>
          <w:szCs w:val="26"/>
        </w:rPr>
        <w:t>As stated above, t</w:t>
      </w:r>
      <w:r w:rsidR="00E56DDD">
        <w:rPr>
          <w:szCs w:val="26"/>
        </w:rPr>
        <w:t xml:space="preserve">he ALJ </w:t>
      </w:r>
      <w:r>
        <w:rPr>
          <w:szCs w:val="26"/>
        </w:rPr>
        <w:t xml:space="preserve">interpreted 52 Pa. Code § 55.2(b) </w:t>
      </w:r>
      <w:r w:rsidR="003E7A49">
        <w:rPr>
          <w:szCs w:val="26"/>
        </w:rPr>
        <w:t>as requiring that a public utility send a termination notice to a commercial customer’s billing address</w:t>
      </w:r>
      <w:r>
        <w:rPr>
          <w:szCs w:val="26"/>
        </w:rPr>
        <w:t xml:space="preserve">, concluded that Duquesne had violated this regulation, directed Duquesne to credit the Complainant’s account with the $947 security deposit and $50 reconnection fee that were paid to restore service, and </w:t>
      </w:r>
      <w:r w:rsidR="003E7A49">
        <w:rPr>
          <w:szCs w:val="26"/>
        </w:rPr>
        <w:t>imposed a civil penalty of $250 on Duquesne</w:t>
      </w:r>
      <w:r>
        <w:rPr>
          <w:szCs w:val="26"/>
        </w:rPr>
        <w:t>.</w:t>
      </w:r>
      <w:r w:rsidR="00372B27">
        <w:rPr>
          <w:rStyle w:val="FootnoteReference"/>
          <w:szCs w:val="26"/>
        </w:rPr>
        <w:footnoteReference w:id="1"/>
      </w:r>
      <w:r w:rsidR="003E7A49">
        <w:rPr>
          <w:szCs w:val="26"/>
        </w:rPr>
        <w:t xml:space="preserve"> </w:t>
      </w:r>
    </w:p>
    <w:p w:rsidR="000559F0" w:rsidRDefault="003E7A49" w:rsidP="00984C22">
      <w:pPr>
        <w:spacing w:line="360" w:lineRule="auto"/>
        <w:ind w:firstLine="1440"/>
        <w:rPr>
          <w:szCs w:val="26"/>
        </w:rPr>
      </w:pPr>
      <w:r>
        <w:rPr>
          <w:szCs w:val="26"/>
        </w:rPr>
        <w:lastRenderedPageBreak/>
        <w:t>Based on th</w:t>
      </w:r>
      <w:r w:rsidR="00E4245C">
        <w:rPr>
          <w:szCs w:val="26"/>
        </w:rPr>
        <w:t xml:space="preserve">e facts of this case, we disagree </w:t>
      </w:r>
      <w:r>
        <w:rPr>
          <w:szCs w:val="26"/>
        </w:rPr>
        <w:t xml:space="preserve">with the </w:t>
      </w:r>
      <w:r w:rsidR="00E4245C">
        <w:rPr>
          <w:szCs w:val="26"/>
        </w:rPr>
        <w:t xml:space="preserve">ALJ’s interpretation of 52 Pa. Code § 55.2(b), and his </w:t>
      </w:r>
      <w:r>
        <w:rPr>
          <w:szCs w:val="26"/>
        </w:rPr>
        <w:t>concl</w:t>
      </w:r>
      <w:r w:rsidR="00E4245C">
        <w:rPr>
          <w:szCs w:val="26"/>
        </w:rPr>
        <w:t>usion that Duquesne violated this regulation</w:t>
      </w:r>
      <w:r>
        <w:rPr>
          <w:szCs w:val="26"/>
        </w:rPr>
        <w:t xml:space="preserve"> by hand-delivering the 72-hour termination notice to the service address rather than the billing address.  Although 52 Pa. Code § 55.2(b) includes both the billing and service addresses as information to be provided in the 72-hour notice of te</w:t>
      </w:r>
      <w:r w:rsidR="00E4245C">
        <w:rPr>
          <w:szCs w:val="26"/>
        </w:rPr>
        <w:t xml:space="preserve">rmination, it does not specify that the </w:t>
      </w:r>
      <w:r>
        <w:rPr>
          <w:szCs w:val="26"/>
        </w:rPr>
        <w:t xml:space="preserve">notice </w:t>
      </w:r>
      <w:r w:rsidR="00E4245C">
        <w:rPr>
          <w:szCs w:val="26"/>
        </w:rPr>
        <w:t xml:space="preserve">should be delivered </w:t>
      </w:r>
      <w:r>
        <w:rPr>
          <w:szCs w:val="26"/>
        </w:rPr>
        <w:t xml:space="preserve">to one address or the other (if different).  Thus, </w:t>
      </w:r>
      <w:r w:rsidR="00E4245C">
        <w:rPr>
          <w:szCs w:val="26"/>
        </w:rPr>
        <w:t>52 Pa. Code § 55.2(b) is</w:t>
      </w:r>
      <w:r>
        <w:rPr>
          <w:szCs w:val="26"/>
        </w:rPr>
        <w:t xml:space="preserve"> not dispositive of the issue of where the termination notice must be sent. </w:t>
      </w:r>
      <w:r w:rsidR="00984C22">
        <w:rPr>
          <w:szCs w:val="26"/>
        </w:rPr>
        <w:t xml:space="preserve"> </w:t>
      </w:r>
      <w:r>
        <w:rPr>
          <w:szCs w:val="26"/>
        </w:rPr>
        <w:t>Based on a revie</w:t>
      </w:r>
      <w:r w:rsidR="002F4B6F">
        <w:rPr>
          <w:szCs w:val="26"/>
        </w:rPr>
        <w:t>w of the record evidence</w:t>
      </w:r>
      <w:r>
        <w:rPr>
          <w:szCs w:val="26"/>
        </w:rPr>
        <w:t>, we believe that Duquesne acted reasonably in this</w:t>
      </w:r>
      <w:r w:rsidR="000559F0">
        <w:rPr>
          <w:szCs w:val="26"/>
        </w:rPr>
        <w:t xml:space="preserve"> instance and should not be penalized.  We also see no basis for requiring Duquesne to credit the Complainant’s account with the security deposit or reconnection fee that he paid to have service restored following termination.  The record evidence establishes the Complainant’s responsibil</w:t>
      </w:r>
      <w:r w:rsidR="002F4B6F">
        <w:rPr>
          <w:szCs w:val="26"/>
        </w:rPr>
        <w:t>ity for his own predicament</w:t>
      </w:r>
      <w:r w:rsidR="000559F0">
        <w:rPr>
          <w:szCs w:val="26"/>
        </w:rPr>
        <w:t xml:space="preserve">. </w:t>
      </w:r>
      <w:r w:rsidR="002F4B6F">
        <w:rPr>
          <w:szCs w:val="26"/>
        </w:rPr>
        <w:t xml:space="preserve"> He has a poor payment history, and entered Duquesne’s termination process eight times </w:t>
      </w:r>
      <w:r w:rsidR="000559F0">
        <w:rPr>
          <w:szCs w:val="26"/>
        </w:rPr>
        <w:t xml:space="preserve">between November 2009 and December 20, 2010 (the date </w:t>
      </w:r>
      <w:r w:rsidR="002F4B6F">
        <w:rPr>
          <w:szCs w:val="26"/>
        </w:rPr>
        <w:t>of termination)</w:t>
      </w:r>
      <w:r w:rsidR="000559F0">
        <w:rPr>
          <w:szCs w:val="26"/>
        </w:rPr>
        <w:t xml:space="preserve">.  </w:t>
      </w:r>
      <w:proofErr w:type="gramStart"/>
      <w:r w:rsidR="00642B13">
        <w:rPr>
          <w:szCs w:val="26"/>
        </w:rPr>
        <w:t xml:space="preserve">N.T. at 36, 39; </w:t>
      </w:r>
      <w:proofErr w:type="spellStart"/>
      <w:r w:rsidR="00642B13">
        <w:rPr>
          <w:szCs w:val="26"/>
        </w:rPr>
        <w:t>Exh</w:t>
      </w:r>
      <w:proofErr w:type="spellEnd"/>
      <w:r w:rsidR="00642B13">
        <w:rPr>
          <w:szCs w:val="26"/>
        </w:rPr>
        <w:t>.</w:t>
      </w:r>
      <w:proofErr w:type="gramEnd"/>
      <w:r w:rsidR="00642B13">
        <w:rPr>
          <w:szCs w:val="26"/>
        </w:rPr>
        <w:t xml:space="preserve"> 3</w:t>
      </w:r>
      <w:r w:rsidR="002F4B6F">
        <w:rPr>
          <w:szCs w:val="26"/>
        </w:rPr>
        <w:t>.  In each instance, Duquesne provid</w:t>
      </w:r>
      <w:r w:rsidR="000559F0">
        <w:rPr>
          <w:szCs w:val="26"/>
        </w:rPr>
        <w:t>ed t</w:t>
      </w:r>
      <w:r w:rsidR="002F4B6F">
        <w:rPr>
          <w:szCs w:val="26"/>
        </w:rPr>
        <w:t>he 72-hour termination notice to</w:t>
      </w:r>
      <w:r w:rsidR="000559F0">
        <w:rPr>
          <w:szCs w:val="26"/>
        </w:rPr>
        <w:t xml:space="preserve"> the Complainant’s service location.  </w:t>
      </w:r>
      <w:proofErr w:type="gramStart"/>
      <w:r w:rsidR="000559F0">
        <w:rPr>
          <w:szCs w:val="26"/>
        </w:rPr>
        <w:t>Tr. at 36-37, 41.</w:t>
      </w:r>
      <w:proofErr w:type="gramEnd"/>
      <w:r w:rsidR="000559F0">
        <w:rPr>
          <w:szCs w:val="26"/>
        </w:rPr>
        <w:t xml:space="preserve">  Thus, the Complainant was well-versed in Duquesne’s termination procedures, including Duquesne’s practice of delivering the 72-h</w:t>
      </w:r>
      <w:r w:rsidR="002F4B6F">
        <w:rPr>
          <w:szCs w:val="26"/>
        </w:rPr>
        <w:t>our notice of termination to his</w:t>
      </w:r>
      <w:r w:rsidR="000559F0">
        <w:rPr>
          <w:szCs w:val="26"/>
        </w:rPr>
        <w:t xml:space="preserve"> service address.</w:t>
      </w:r>
    </w:p>
    <w:p w:rsidR="00263445" w:rsidRDefault="00263445" w:rsidP="000559F0">
      <w:pPr>
        <w:spacing w:line="360" w:lineRule="auto"/>
        <w:ind w:firstLine="1440"/>
        <w:rPr>
          <w:szCs w:val="26"/>
        </w:rPr>
      </w:pPr>
    </w:p>
    <w:p w:rsidR="00263445" w:rsidRPr="001C7C2B" w:rsidRDefault="00263445" w:rsidP="000559F0">
      <w:pPr>
        <w:spacing w:line="360" w:lineRule="auto"/>
        <w:ind w:firstLine="1440"/>
        <w:rPr>
          <w:szCs w:val="26"/>
        </w:rPr>
      </w:pPr>
      <w:r>
        <w:rPr>
          <w:szCs w:val="26"/>
        </w:rPr>
        <w:t>In addition, the Complainant admitted that the 72-hour termination notice was rec</w:t>
      </w:r>
      <w:r w:rsidR="009E3714">
        <w:rPr>
          <w:szCs w:val="26"/>
        </w:rPr>
        <w:t xml:space="preserve">eived at the service location and </w:t>
      </w:r>
      <w:r>
        <w:rPr>
          <w:szCs w:val="26"/>
        </w:rPr>
        <w:t xml:space="preserve">that, after the notice was received, it was mishandled by him and/or his employees.  </w:t>
      </w:r>
      <w:r w:rsidR="009E3714">
        <w:rPr>
          <w:szCs w:val="26"/>
        </w:rPr>
        <w:t xml:space="preserve">Tr. at 12-13.  </w:t>
      </w:r>
      <w:r>
        <w:rPr>
          <w:szCs w:val="26"/>
        </w:rPr>
        <w:t xml:space="preserve">The Complainant testified that one of his employees placed the notice with some other papers, and that he did not discover the notice until after service had been terminated.  </w:t>
      </w:r>
      <w:r w:rsidRPr="00263445">
        <w:rPr>
          <w:i/>
          <w:szCs w:val="26"/>
        </w:rPr>
        <w:t>Id</w:t>
      </w:r>
      <w:r>
        <w:rPr>
          <w:szCs w:val="26"/>
        </w:rPr>
        <w:t>.  In our opinion, Duquesne should not be held responsible for the Complainant’s lack of care regarding the handling of the termination notice after it was received.</w:t>
      </w:r>
    </w:p>
    <w:p w:rsidR="0081348B" w:rsidRDefault="0081348B" w:rsidP="009E3714">
      <w:pPr>
        <w:tabs>
          <w:tab w:val="left" w:pos="-1440"/>
          <w:tab w:val="left" w:pos="-720"/>
        </w:tabs>
        <w:suppressAutoHyphens/>
        <w:spacing w:line="360" w:lineRule="auto"/>
        <w:rPr>
          <w:b/>
          <w:spacing w:val="-3"/>
          <w:szCs w:val="26"/>
        </w:rPr>
      </w:pPr>
    </w:p>
    <w:p w:rsidR="0081348B" w:rsidRPr="0081348B" w:rsidRDefault="0081348B" w:rsidP="0081348B">
      <w:pPr>
        <w:tabs>
          <w:tab w:val="left" w:pos="-1440"/>
          <w:tab w:val="left" w:pos="-720"/>
        </w:tabs>
        <w:suppressAutoHyphens/>
        <w:spacing w:line="360" w:lineRule="auto"/>
        <w:jc w:val="center"/>
        <w:rPr>
          <w:b/>
          <w:spacing w:val="-3"/>
          <w:szCs w:val="26"/>
        </w:rPr>
      </w:pPr>
      <w:r w:rsidRPr="0081348B">
        <w:rPr>
          <w:b/>
          <w:spacing w:val="-3"/>
          <w:szCs w:val="26"/>
        </w:rPr>
        <w:lastRenderedPageBreak/>
        <w:t>Conclusion</w:t>
      </w:r>
    </w:p>
    <w:p w:rsidR="00BE2F87" w:rsidRDefault="00BE2F87" w:rsidP="00BE2F87">
      <w:pPr>
        <w:tabs>
          <w:tab w:val="left" w:pos="-1440"/>
          <w:tab w:val="left" w:pos="-720"/>
        </w:tabs>
        <w:suppressAutoHyphens/>
        <w:spacing w:line="360" w:lineRule="auto"/>
        <w:rPr>
          <w:spacing w:val="-3"/>
          <w:szCs w:val="26"/>
        </w:rPr>
      </w:pPr>
    </w:p>
    <w:p w:rsidR="00966A49" w:rsidRPr="00E521D9" w:rsidRDefault="00BE2F87" w:rsidP="00E521D9">
      <w:pPr>
        <w:tabs>
          <w:tab w:val="left" w:pos="-1440"/>
          <w:tab w:val="left" w:pos="-720"/>
        </w:tabs>
        <w:suppressAutoHyphens/>
        <w:spacing w:line="360" w:lineRule="auto"/>
        <w:rPr>
          <w:spacing w:val="-3"/>
          <w:szCs w:val="26"/>
        </w:rPr>
      </w:pPr>
      <w:r>
        <w:rPr>
          <w:spacing w:val="-3"/>
          <w:szCs w:val="26"/>
        </w:rPr>
        <w:tab/>
        <w:t xml:space="preserve"> </w:t>
      </w:r>
      <w:r>
        <w:rPr>
          <w:spacing w:val="-3"/>
          <w:szCs w:val="26"/>
        </w:rPr>
        <w:tab/>
      </w:r>
      <w:r w:rsidR="0081348B">
        <w:rPr>
          <w:spacing w:val="-3"/>
          <w:szCs w:val="26"/>
        </w:rPr>
        <w:t>Based upon th</w:t>
      </w:r>
      <w:r w:rsidR="00263445">
        <w:rPr>
          <w:spacing w:val="-3"/>
          <w:szCs w:val="26"/>
        </w:rPr>
        <w:t xml:space="preserve">e foregoing discussion, </w:t>
      </w:r>
      <w:r w:rsidR="0081348B">
        <w:rPr>
          <w:spacing w:val="-3"/>
          <w:szCs w:val="26"/>
        </w:rPr>
        <w:t xml:space="preserve">we shall </w:t>
      </w:r>
      <w:r w:rsidR="00263445">
        <w:rPr>
          <w:spacing w:val="-3"/>
          <w:szCs w:val="26"/>
        </w:rPr>
        <w:t>modify the Initial Decision and dismiss the Complaint</w:t>
      </w:r>
      <w:r w:rsidR="009E3714">
        <w:rPr>
          <w:spacing w:val="-3"/>
          <w:szCs w:val="26"/>
        </w:rPr>
        <w:t xml:space="preserve"> in its entirety</w:t>
      </w:r>
      <w:r w:rsidR="00E521D9">
        <w:rPr>
          <w:szCs w:val="26"/>
        </w:rPr>
        <w:t xml:space="preserve">; </w:t>
      </w:r>
      <w:r w:rsidR="00966A49" w:rsidRPr="00E521D9">
        <w:rPr>
          <w:b/>
          <w:szCs w:val="26"/>
        </w:rPr>
        <w:t>THEREFORE,</w:t>
      </w:r>
    </w:p>
    <w:p w:rsidR="00966A49" w:rsidRPr="00224E09" w:rsidRDefault="00966A49" w:rsidP="00CA735A">
      <w:pPr>
        <w:spacing w:line="360" w:lineRule="auto"/>
        <w:ind w:firstLine="1440"/>
        <w:rPr>
          <w:szCs w:val="26"/>
        </w:rPr>
      </w:pPr>
    </w:p>
    <w:p w:rsidR="00966A49" w:rsidRPr="00E521D9" w:rsidRDefault="00966A49" w:rsidP="00CA735A">
      <w:pPr>
        <w:spacing w:line="360" w:lineRule="auto"/>
        <w:ind w:firstLine="1440"/>
        <w:rPr>
          <w:b/>
          <w:szCs w:val="26"/>
        </w:rPr>
      </w:pPr>
      <w:r w:rsidRPr="00E521D9">
        <w:rPr>
          <w:b/>
          <w:szCs w:val="26"/>
        </w:rPr>
        <w:t xml:space="preserve">IT IS ORDERED: </w:t>
      </w:r>
    </w:p>
    <w:p w:rsidR="00966A49" w:rsidRPr="00224E09" w:rsidRDefault="00966A49" w:rsidP="00CA735A">
      <w:pPr>
        <w:spacing w:line="360" w:lineRule="auto"/>
        <w:ind w:firstLine="1440"/>
        <w:rPr>
          <w:szCs w:val="26"/>
        </w:rPr>
      </w:pPr>
    </w:p>
    <w:p w:rsidR="001A5647" w:rsidRDefault="00966A49" w:rsidP="00CA735A">
      <w:pPr>
        <w:spacing w:line="360" w:lineRule="auto"/>
        <w:ind w:firstLine="1440"/>
        <w:rPr>
          <w:spacing w:val="-3"/>
          <w:szCs w:val="26"/>
        </w:rPr>
      </w:pPr>
      <w:r w:rsidRPr="00224E09">
        <w:rPr>
          <w:szCs w:val="26"/>
        </w:rPr>
        <w:t>1.</w:t>
      </w:r>
      <w:r w:rsidRPr="00224E09">
        <w:rPr>
          <w:szCs w:val="26"/>
        </w:rPr>
        <w:tab/>
      </w:r>
      <w:r w:rsidR="001A5647">
        <w:rPr>
          <w:szCs w:val="26"/>
        </w:rPr>
        <w:t xml:space="preserve">That the Initial Decision of Administrative Law Judge </w:t>
      </w:r>
      <w:r w:rsidR="00263445">
        <w:rPr>
          <w:spacing w:val="-3"/>
          <w:szCs w:val="26"/>
        </w:rPr>
        <w:t xml:space="preserve">John H. Corbett, Jr. issued on September 15, 2011, is modified, consistent with </w:t>
      </w:r>
      <w:r w:rsidR="001A5647">
        <w:rPr>
          <w:spacing w:val="-3"/>
          <w:szCs w:val="26"/>
        </w:rPr>
        <w:t>this Opinion and Order.</w:t>
      </w:r>
    </w:p>
    <w:p w:rsidR="001A5647" w:rsidRDefault="001A5647" w:rsidP="00CA735A">
      <w:pPr>
        <w:spacing w:line="360" w:lineRule="auto"/>
        <w:ind w:firstLine="1440"/>
        <w:rPr>
          <w:szCs w:val="26"/>
        </w:rPr>
      </w:pPr>
    </w:p>
    <w:p w:rsidR="009E3714" w:rsidRDefault="001A5647" w:rsidP="00263445">
      <w:pPr>
        <w:spacing w:line="360" w:lineRule="auto"/>
        <w:ind w:firstLine="1440"/>
        <w:rPr>
          <w:szCs w:val="26"/>
        </w:rPr>
      </w:pPr>
      <w:r>
        <w:rPr>
          <w:szCs w:val="26"/>
        </w:rPr>
        <w:t>2.</w:t>
      </w:r>
      <w:r>
        <w:rPr>
          <w:szCs w:val="26"/>
        </w:rPr>
        <w:tab/>
      </w:r>
      <w:r w:rsidR="00263445">
        <w:rPr>
          <w:szCs w:val="26"/>
        </w:rPr>
        <w:t xml:space="preserve">That </w:t>
      </w:r>
      <w:r w:rsidR="00966A49" w:rsidRPr="00224E09">
        <w:rPr>
          <w:szCs w:val="26"/>
        </w:rPr>
        <w:t xml:space="preserve">the </w:t>
      </w:r>
      <w:r w:rsidR="00263445">
        <w:rPr>
          <w:szCs w:val="26"/>
        </w:rPr>
        <w:t xml:space="preserve">Formal </w:t>
      </w:r>
      <w:r w:rsidR="00966A49" w:rsidRPr="00224E09">
        <w:rPr>
          <w:szCs w:val="26"/>
        </w:rPr>
        <w:t>Com</w:t>
      </w:r>
      <w:r w:rsidR="00263445">
        <w:rPr>
          <w:szCs w:val="26"/>
        </w:rPr>
        <w:t>plaint filed by Ethan Clay against Duquesne Light Company on February 14, 2011, is dismissed.</w:t>
      </w:r>
      <w:r w:rsidR="00966A49" w:rsidRPr="00224E09">
        <w:rPr>
          <w:szCs w:val="26"/>
        </w:rPr>
        <w:t xml:space="preserve"> </w:t>
      </w:r>
    </w:p>
    <w:p w:rsidR="009E3714" w:rsidRDefault="009E3714" w:rsidP="00263445">
      <w:pPr>
        <w:spacing w:line="360" w:lineRule="auto"/>
        <w:ind w:firstLine="1440"/>
        <w:rPr>
          <w:szCs w:val="26"/>
        </w:rPr>
      </w:pPr>
    </w:p>
    <w:p w:rsidR="00984C22" w:rsidRDefault="009E3714" w:rsidP="00984C22">
      <w:pPr>
        <w:spacing w:line="360" w:lineRule="auto"/>
        <w:ind w:firstLine="1440"/>
        <w:rPr>
          <w:szCs w:val="26"/>
        </w:rPr>
      </w:pPr>
      <w:r>
        <w:rPr>
          <w:szCs w:val="26"/>
        </w:rPr>
        <w:t>3.</w:t>
      </w:r>
      <w:r>
        <w:rPr>
          <w:szCs w:val="26"/>
        </w:rPr>
        <w:tab/>
        <w:t xml:space="preserve">That the Commission’s </w:t>
      </w:r>
      <w:r w:rsidR="0089182B">
        <w:rPr>
          <w:szCs w:val="26"/>
        </w:rPr>
        <w:t>Office of Administrative Services, Financial and Assessment Section</w:t>
      </w:r>
      <w:r w:rsidR="00CB6742">
        <w:rPr>
          <w:szCs w:val="26"/>
        </w:rPr>
        <w:t>,</w:t>
      </w:r>
      <w:r>
        <w:rPr>
          <w:szCs w:val="26"/>
        </w:rPr>
        <w:t xml:space="preserve"> shall refund the $250 civil penalty paid by Duquesne Light Company on October 3, 2011.</w:t>
      </w:r>
      <w:r w:rsidR="00F02DBA">
        <w:rPr>
          <w:szCs w:val="26"/>
        </w:rPr>
        <w:t xml:space="preserve"> </w:t>
      </w:r>
    </w:p>
    <w:p w:rsidR="00984C22" w:rsidRDefault="00984C22" w:rsidP="00B81D72">
      <w:pPr>
        <w:spacing w:line="360" w:lineRule="auto"/>
        <w:ind w:firstLine="1440"/>
        <w:rPr>
          <w:szCs w:val="26"/>
        </w:rPr>
      </w:pPr>
    </w:p>
    <w:p w:rsidR="00966A49" w:rsidRDefault="009E3714" w:rsidP="00984C22">
      <w:pPr>
        <w:spacing w:line="360" w:lineRule="auto"/>
        <w:ind w:firstLine="1440"/>
        <w:rPr>
          <w:szCs w:val="26"/>
        </w:rPr>
      </w:pPr>
      <w:r>
        <w:rPr>
          <w:szCs w:val="26"/>
        </w:rPr>
        <w:t>4</w:t>
      </w:r>
      <w:r w:rsidR="00966A49" w:rsidRPr="00224E09">
        <w:rPr>
          <w:szCs w:val="26"/>
        </w:rPr>
        <w:t>.</w:t>
      </w:r>
      <w:r w:rsidR="00966A49" w:rsidRPr="00224E09">
        <w:rPr>
          <w:szCs w:val="26"/>
        </w:rPr>
        <w:tab/>
        <w:t>That</w:t>
      </w:r>
      <w:r w:rsidR="0089182B">
        <w:rPr>
          <w:szCs w:val="26"/>
        </w:rPr>
        <w:t>, upon the payment described in Paragraph 3 above,</w:t>
      </w:r>
      <w:r w:rsidR="00966A49" w:rsidRPr="00224E09">
        <w:rPr>
          <w:szCs w:val="26"/>
        </w:rPr>
        <w:t xml:space="preserve"> </w:t>
      </w:r>
      <w:r w:rsidR="00A7682C" w:rsidRPr="00224E09">
        <w:rPr>
          <w:szCs w:val="26"/>
        </w:rPr>
        <w:t xml:space="preserve">this </w:t>
      </w:r>
      <w:r w:rsidR="00966A49" w:rsidRPr="00224E09">
        <w:rPr>
          <w:szCs w:val="26"/>
        </w:rPr>
        <w:t xml:space="preserve">case </w:t>
      </w:r>
      <w:proofErr w:type="gramStart"/>
      <w:r w:rsidR="00966A49" w:rsidRPr="00224E09">
        <w:rPr>
          <w:szCs w:val="26"/>
        </w:rPr>
        <w:t>be</w:t>
      </w:r>
      <w:proofErr w:type="gramEnd"/>
      <w:r w:rsidR="00966A49" w:rsidRPr="00224E09">
        <w:rPr>
          <w:szCs w:val="26"/>
        </w:rPr>
        <w:t xml:space="preserve"> </w:t>
      </w:r>
      <w:r w:rsidR="00A7682C" w:rsidRPr="00224E09">
        <w:rPr>
          <w:szCs w:val="26"/>
        </w:rPr>
        <w:t>marked closed</w:t>
      </w:r>
      <w:r w:rsidR="00966A49" w:rsidRPr="00224E09">
        <w:rPr>
          <w:szCs w:val="26"/>
        </w:rPr>
        <w:t>.</w:t>
      </w:r>
    </w:p>
    <w:p w:rsidR="00B81D72" w:rsidRDefault="00BD69FB" w:rsidP="00984C22">
      <w:pPr>
        <w:spacing w:line="360" w:lineRule="auto"/>
        <w:rPr>
          <w:szCs w:val="26"/>
        </w:rPr>
      </w:pPr>
      <w:r>
        <w:rPr>
          <w:noProof/>
        </w:rPr>
        <w:drawing>
          <wp:anchor distT="0" distB="0" distL="114300" distR="114300" simplePos="0" relativeHeight="251659264" behindDoc="1" locked="0" layoutInCell="1" allowOverlap="1" wp14:anchorId="546CBACC" wp14:editId="6A46F45B">
            <wp:simplePos x="0" y="0"/>
            <wp:positionH relativeFrom="column">
              <wp:posOffset>2924175</wp:posOffset>
            </wp:positionH>
            <wp:positionV relativeFrom="paragraph">
              <wp:posOffset>114935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2637B1" w:rsidRPr="00984C22" w:rsidRDefault="001A5647" w:rsidP="00984C22">
      <w:pPr>
        <w:spacing w:line="360" w:lineRule="auto"/>
        <w:ind w:left="720" w:firstLine="720"/>
        <w:rPr>
          <w:b/>
          <w:szCs w:val="26"/>
        </w:rPr>
      </w:pPr>
      <w:r>
        <w:rPr>
          <w:szCs w:val="26"/>
        </w:rPr>
        <w:tab/>
      </w:r>
      <w:r>
        <w:rPr>
          <w:szCs w:val="26"/>
        </w:rPr>
        <w:tab/>
      </w:r>
      <w:r>
        <w:rPr>
          <w:szCs w:val="26"/>
        </w:rPr>
        <w:tab/>
      </w:r>
      <w:r>
        <w:rPr>
          <w:szCs w:val="26"/>
        </w:rPr>
        <w:tab/>
      </w:r>
      <w:r>
        <w:rPr>
          <w:szCs w:val="26"/>
        </w:rPr>
        <w:tab/>
      </w:r>
      <w:r w:rsidRPr="002637B1">
        <w:rPr>
          <w:b/>
          <w:szCs w:val="26"/>
        </w:rPr>
        <w:t>BY THE COMMISSION,</w:t>
      </w:r>
    </w:p>
    <w:p w:rsidR="00D14E02" w:rsidRDefault="00D14E02" w:rsidP="001A5647">
      <w:pPr>
        <w:spacing w:line="360" w:lineRule="auto"/>
        <w:rPr>
          <w:szCs w:val="26"/>
        </w:rPr>
      </w:pPr>
    </w:p>
    <w:p w:rsidR="001A5647" w:rsidRDefault="001A5647" w:rsidP="001A5647">
      <w:pPr>
        <w:ind w:left="720" w:firstLine="720"/>
        <w:rPr>
          <w:szCs w:val="26"/>
        </w:rPr>
      </w:pPr>
      <w:r>
        <w:rPr>
          <w:szCs w:val="26"/>
        </w:rPr>
        <w:tab/>
      </w:r>
      <w:r>
        <w:rPr>
          <w:szCs w:val="26"/>
        </w:rPr>
        <w:tab/>
      </w:r>
      <w:r>
        <w:rPr>
          <w:szCs w:val="26"/>
        </w:rPr>
        <w:tab/>
      </w:r>
      <w:r>
        <w:rPr>
          <w:szCs w:val="26"/>
        </w:rPr>
        <w:tab/>
      </w:r>
      <w:r>
        <w:rPr>
          <w:szCs w:val="26"/>
        </w:rPr>
        <w:tab/>
        <w:t>Rosemary Chiavetta</w:t>
      </w:r>
    </w:p>
    <w:p w:rsidR="001A5647" w:rsidRDefault="001A5647" w:rsidP="001A5647">
      <w:pPr>
        <w:ind w:left="720" w:firstLine="720"/>
        <w:rPr>
          <w:szCs w:val="26"/>
        </w:rPr>
      </w:pPr>
      <w:r>
        <w:rPr>
          <w:szCs w:val="26"/>
        </w:rPr>
        <w:tab/>
      </w:r>
      <w:r>
        <w:rPr>
          <w:szCs w:val="26"/>
        </w:rPr>
        <w:tab/>
      </w:r>
      <w:r>
        <w:rPr>
          <w:szCs w:val="26"/>
        </w:rPr>
        <w:tab/>
      </w:r>
      <w:r>
        <w:rPr>
          <w:szCs w:val="26"/>
        </w:rPr>
        <w:tab/>
      </w:r>
      <w:r>
        <w:rPr>
          <w:szCs w:val="26"/>
        </w:rPr>
        <w:tab/>
        <w:t>Secretary</w:t>
      </w:r>
    </w:p>
    <w:p w:rsidR="001A5647" w:rsidRDefault="001A5647" w:rsidP="001A5647">
      <w:pPr>
        <w:rPr>
          <w:szCs w:val="26"/>
        </w:rPr>
      </w:pPr>
    </w:p>
    <w:p w:rsidR="001A5647" w:rsidRDefault="001A5647" w:rsidP="001A5647">
      <w:pPr>
        <w:rPr>
          <w:szCs w:val="26"/>
        </w:rPr>
      </w:pPr>
      <w:r>
        <w:rPr>
          <w:szCs w:val="26"/>
        </w:rPr>
        <w:t>(SEAL)</w:t>
      </w:r>
    </w:p>
    <w:p w:rsidR="002637B1" w:rsidRDefault="002637B1" w:rsidP="001A5647">
      <w:pPr>
        <w:rPr>
          <w:szCs w:val="26"/>
        </w:rPr>
      </w:pPr>
    </w:p>
    <w:p w:rsidR="001A5647" w:rsidRDefault="00BD69FB" w:rsidP="001A5647">
      <w:pPr>
        <w:rPr>
          <w:szCs w:val="26"/>
        </w:rPr>
      </w:pPr>
      <w:r>
        <w:rPr>
          <w:szCs w:val="26"/>
        </w:rPr>
        <w:t xml:space="preserve">ORDER ADOPTED:  </w:t>
      </w:r>
      <w:r w:rsidR="00263445">
        <w:rPr>
          <w:szCs w:val="26"/>
        </w:rPr>
        <w:t>December 1</w:t>
      </w:r>
      <w:r w:rsidR="001A5647">
        <w:rPr>
          <w:szCs w:val="26"/>
        </w:rPr>
        <w:t>, 2011</w:t>
      </w:r>
    </w:p>
    <w:p w:rsidR="001A5647" w:rsidRDefault="001A5647" w:rsidP="001A5647">
      <w:pPr>
        <w:rPr>
          <w:szCs w:val="26"/>
        </w:rPr>
      </w:pPr>
    </w:p>
    <w:p w:rsidR="00BC5588" w:rsidRPr="002637B1" w:rsidRDefault="001A5647" w:rsidP="002637B1">
      <w:pPr>
        <w:rPr>
          <w:szCs w:val="26"/>
        </w:rPr>
      </w:pPr>
      <w:r>
        <w:rPr>
          <w:szCs w:val="26"/>
        </w:rPr>
        <w:t>ORDER ENTERED:</w:t>
      </w:r>
      <w:r w:rsidR="00BD69FB">
        <w:rPr>
          <w:szCs w:val="26"/>
        </w:rPr>
        <w:t xml:space="preserve">   December 16, 2011</w:t>
      </w:r>
      <w:bookmarkStart w:id="0" w:name="_GoBack"/>
      <w:bookmarkEnd w:id="0"/>
    </w:p>
    <w:sectPr w:rsidR="00BC5588" w:rsidRPr="002637B1" w:rsidSect="002137C8">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D94" w:rsidRDefault="00615D94" w:rsidP="004C6B7C">
      <w:r>
        <w:separator/>
      </w:r>
    </w:p>
  </w:endnote>
  <w:endnote w:type="continuationSeparator" w:id="0">
    <w:p w:rsidR="00615D94" w:rsidRDefault="00615D94" w:rsidP="004C6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892" w:rsidRPr="002137C8" w:rsidRDefault="003E5713">
    <w:pPr>
      <w:pStyle w:val="Footer"/>
      <w:jc w:val="center"/>
      <w:rPr>
        <w:sz w:val="20"/>
      </w:rPr>
    </w:pPr>
    <w:r w:rsidRPr="002137C8">
      <w:rPr>
        <w:sz w:val="20"/>
      </w:rPr>
      <w:fldChar w:fldCharType="begin"/>
    </w:r>
    <w:r w:rsidR="00FB535D" w:rsidRPr="002137C8">
      <w:rPr>
        <w:sz w:val="20"/>
      </w:rPr>
      <w:instrText xml:space="preserve"> PAGE   \* MERGEFORMAT </w:instrText>
    </w:r>
    <w:r w:rsidRPr="002137C8">
      <w:rPr>
        <w:sz w:val="20"/>
      </w:rPr>
      <w:fldChar w:fldCharType="separate"/>
    </w:r>
    <w:r w:rsidR="00BD69FB">
      <w:rPr>
        <w:noProof/>
        <w:sz w:val="20"/>
      </w:rPr>
      <w:t>6</w:t>
    </w:r>
    <w:r w:rsidRPr="002137C8">
      <w:rPr>
        <w:sz w:val="20"/>
      </w:rPr>
      <w:fldChar w:fldCharType="end"/>
    </w:r>
  </w:p>
  <w:p w:rsidR="00206892" w:rsidRDefault="002068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D94" w:rsidRDefault="00615D94" w:rsidP="004C6B7C">
      <w:r>
        <w:separator/>
      </w:r>
    </w:p>
  </w:footnote>
  <w:footnote w:type="continuationSeparator" w:id="0">
    <w:p w:rsidR="00615D94" w:rsidRDefault="00615D94" w:rsidP="004C6B7C">
      <w:r>
        <w:continuationSeparator/>
      </w:r>
    </w:p>
  </w:footnote>
  <w:footnote w:id="1">
    <w:p w:rsidR="00372B27" w:rsidRPr="00E4245C" w:rsidRDefault="00372B27" w:rsidP="00E4245C">
      <w:pPr>
        <w:pStyle w:val="FootnoteText"/>
        <w:ind w:firstLine="720"/>
        <w:rPr>
          <w:sz w:val="26"/>
          <w:szCs w:val="26"/>
        </w:rPr>
      </w:pPr>
      <w:r w:rsidRPr="00E4245C">
        <w:rPr>
          <w:rStyle w:val="FootnoteReference"/>
          <w:sz w:val="26"/>
          <w:szCs w:val="26"/>
        </w:rPr>
        <w:footnoteRef/>
      </w:r>
      <w:r w:rsidRPr="00E4245C">
        <w:rPr>
          <w:sz w:val="26"/>
          <w:szCs w:val="26"/>
        </w:rPr>
        <w:t xml:space="preserve"> </w:t>
      </w:r>
      <w:r w:rsidRPr="00E4245C">
        <w:rPr>
          <w:sz w:val="26"/>
          <w:szCs w:val="26"/>
        </w:rPr>
        <w:tab/>
        <w:t>The record indicates that Duquesne paid the $250 civil penalty on October 3, 2011.</w:t>
      </w:r>
      <w:r w:rsidR="009E3714">
        <w:rPr>
          <w:sz w:val="26"/>
          <w:szCs w:val="26"/>
        </w:rPr>
        <w:t xml:space="preserve">  </w:t>
      </w:r>
      <w:r w:rsidR="00245857">
        <w:rPr>
          <w:sz w:val="26"/>
          <w:szCs w:val="26"/>
        </w:rPr>
        <w:t>Considering our disposition of this matter, w</w:t>
      </w:r>
      <w:r w:rsidR="009E3714">
        <w:rPr>
          <w:sz w:val="26"/>
          <w:szCs w:val="26"/>
        </w:rPr>
        <w:t xml:space="preserve">e shall direct the Commission’s </w:t>
      </w:r>
      <w:r w:rsidR="00843444">
        <w:rPr>
          <w:sz w:val="26"/>
          <w:szCs w:val="26"/>
        </w:rPr>
        <w:t>Office of Administrative Services, Financial and Assessment Section,</w:t>
      </w:r>
      <w:r w:rsidR="009E3714">
        <w:rPr>
          <w:sz w:val="26"/>
          <w:szCs w:val="26"/>
        </w:rPr>
        <w:t xml:space="preserve"> to refund this payment to Duquesne.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6F556A"/>
    <w:multiLevelType w:val="hybridMultilevel"/>
    <w:tmpl w:val="558A1EF2"/>
    <w:lvl w:ilvl="0" w:tplc="2268413E">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30D46EF5"/>
    <w:multiLevelType w:val="hybridMultilevel"/>
    <w:tmpl w:val="C2A4A038"/>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0F959A4"/>
    <w:multiLevelType w:val="hybridMultilevel"/>
    <w:tmpl w:val="72FA51F0"/>
    <w:lvl w:ilvl="0" w:tplc="60F0745C">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4528405A"/>
    <w:multiLevelType w:val="hybridMultilevel"/>
    <w:tmpl w:val="ABF0C0F4"/>
    <w:lvl w:ilvl="0" w:tplc="5694DB42">
      <w:start w:val="2"/>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46A9768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48FE0BD0"/>
    <w:multiLevelType w:val="hybridMultilevel"/>
    <w:tmpl w:val="0ADE3A2C"/>
    <w:lvl w:ilvl="0" w:tplc="B55612FA">
      <w:start w:val="6"/>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4DA45D9D"/>
    <w:multiLevelType w:val="hybridMultilevel"/>
    <w:tmpl w:val="4D227CB8"/>
    <w:lvl w:ilvl="0" w:tplc="BB74F1C8">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5E4B2AA5"/>
    <w:multiLevelType w:val="hybridMultilevel"/>
    <w:tmpl w:val="181401CC"/>
    <w:lvl w:ilvl="0" w:tplc="01D0F380">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625A5D34"/>
    <w:multiLevelType w:val="hybridMultilevel"/>
    <w:tmpl w:val="0CE6269E"/>
    <w:lvl w:ilvl="0" w:tplc="EFE6EDB6">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62981A95"/>
    <w:multiLevelType w:val="hybridMultilevel"/>
    <w:tmpl w:val="B52A832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0D1641E"/>
    <w:multiLevelType w:val="hybridMultilevel"/>
    <w:tmpl w:val="1688A324"/>
    <w:lvl w:ilvl="0" w:tplc="BA82C59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3"/>
  </w:num>
  <w:num w:numId="3">
    <w:abstractNumId w:val="2"/>
  </w:num>
  <w:num w:numId="4">
    <w:abstractNumId w:val="6"/>
  </w:num>
  <w:num w:numId="5">
    <w:abstractNumId w:val="9"/>
  </w:num>
  <w:num w:numId="6">
    <w:abstractNumId w:val="10"/>
  </w:num>
  <w:num w:numId="7">
    <w:abstractNumId w:val="0"/>
  </w:num>
  <w:num w:numId="8">
    <w:abstractNumId w:val="8"/>
  </w:num>
  <w:num w:numId="9">
    <w:abstractNumId w:val="1"/>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3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ADE"/>
    <w:rsid w:val="00000DEA"/>
    <w:rsid w:val="0000796D"/>
    <w:rsid w:val="000115FD"/>
    <w:rsid w:val="00012532"/>
    <w:rsid w:val="00032309"/>
    <w:rsid w:val="00034A29"/>
    <w:rsid w:val="000424CB"/>
    <w:rsid w:val="00044F6E"/>
    <w:rsid w:val="00046894"/>
    <w:rsid w:val="00055372"/>
    <w:rsid w:val="000559F0"/>
    <w:rsid w:val="000674BA"/>
    <w:rsid w:val="00070392"/>
    <w:rsid w:val="00071DF7"/>
    <w:rsid w:val="000723EA"/>
    <w:rsid w:val="000955D5"/>
    <w:rsid w:val="000972EE"/>
    <w:rsid w:val="00097335"/>
    <w:rsid w:val="000A29F6"/>
    <w:rsid w:val="000A5F72"/>
    <w:rsid w:val="000A7AA8"/>
    <w:rsid w:val="000B1558"/>
    <w:rsid w:val="000B48CF"/>
    <w:rsid w:val="000C1B9B"/>
    <w:rsid w:val="000D3F25"/>
    <w:rsid w:val="000D490B"/>
    <w:rsid w:val="000D6B9F"/>
    <w:rsid w:val="000E069F"/>
    <w:rsid w:val="000E4C55"/>
    <w:rsid w:val="000E58C0"/>
    <w:rsid w:val="000E629C"/>
    <w:rsid w:val="000E7180"/>
    <w:rsid w:val="000F1786"/>
    <w:rsid w:val="000F3A6C"/>
    <w:rsid w:val="001270D4"/>
    <w:rsid w:val="0013283A"/>
    <w:rsid w:val="00140404"/>
    <w:rsid w:val="00151331"/>
    <w:rsid w:val="00151576"/>
    <w:rsid w:val="00153EEB"/>
    <w:rsid w:val="00155C66"/>
    <w:rsid w:val="00160228"/>
    <w:rsid w:val="00160646"/>
    <w:rsid w:val="00166AAD"/>
    <w:rsid w:val="0017003C"/>
    <w:rsid w:val="001713F7"/>
    <w:rsid w:val="001821EA"/>
    <w:rsid w:val="001917AF"/>
    <w:rsid w:val="0019768F"/>
    <w:rsid w:val="001A16B3"/>
    <w:rsid w:val="001A5647"/>
    <w:rsid w:val="001A70A2"/>
    <w:rsid w:val="001B033E"/>
    <w:rsid w:val="001B23F2"/>
    <w:rsid w:val="001B35D1"/>
    <w:rsid w:val="001C71FC"/>
    <w:rsid w:val="001C7DDF"/>
    <w:rsid w:val="001D2B59"/>
    <w:rsid w:val="001D52C3"/>
    <w:rsid w:val="001E0C2D"/>
    <w:rsid w:val="001E1C9E"/>
    <w:rsid w:val="001E2B2C"/>
    <w:rsid w:val="001F05C6"/>
    <w:rsid w:val="001F4989"/>
    <w:rsid w:val="001F4B47"/>
    <w:rsid w:val="00203CEB"/>
    <w:rsid w:val="00206892"/>
    <w:rsid w:val="00207CBC"/>
    <w:rsid w:val="002137C8"/>
    <w:rsid w:val="00217DE0"/>
    <w:rsid w:val="00217FF6"/>
    <w:rsid w:val="00224B8B"/>
    <w:rsid w:val="00224E09"/>
    <w:rsid w:val="00226BB6"/>
    <w:rsid w:val="0024232A"/>
    <w:rsid w:val="00244384"/>
    <w:rsid w:val="00245857"/>
    <w:rsid w:val="00247BF7"/>
    <w:rsid w:val="00254F82"/>
    <w:rsid w:val="00263445"/>
    <w:rsid w:val="002637B1"/>
    <w:rsid w:val="00263CED"/>
    <w:rsid w:val="00264B4D"/>
    <w:rsid w:val="002732A6"/>
    <w:rsid w:val="0029378F"/>
    <w:rsid w:val="0029427B"/>
    <w:rsid w:val="002B4FED"/>
    <w:rsid w:val="002C6DCC"/>
    <w:rsid w:val="002E5D1A"/>
    <w:rsid w:val="002F0719"/>
    <w:rsid w:val="002F2DFD"/>
    <w:rsid w:val="002F46E0"/>
    <w:rsid w:val="002F4B6F"/>
    <w:rsid w:val="003015A3"/>
    <w:rsid w:val="003028DB"/>
    <w:rsid w:val="003067F1"/>
    <w:rsid w:val="00314F46"/>
    <w:rsid w:val="00323519"/>
    <w:rsid w:val="00341614"/>
    <w:rsid w:val="00342031"/>
    <w:rsid w:val="0034562B"/>
    <w:rsid w:val="00365C75"/>
    <w:rsid w:val="00372B27"/>
    <w:rsid w:val="00380809"/>
    <w:rsid w:val="0039553C"/>
    <w:rsid w:val="00395DAE"/>
    <w:rsid w:val="003B0F80"/>
    <w:rsid w:val="003C47BE"/>
    <w:rsid w:val="003C7163"/>
    <w:rsid w:val="003D0B84"/>
    <w:rsid w:val="003D618D"/>
    <w:rsid w:val="003E4DC4"/>
    <w:rsid w:val="003E5713"/>
    <w:rsid w:val="003E7A49"/>
    <w:rsid w:val="00401C0F"/>
    <w:rsid w:val="0040339C"/>
    <w:rsid w:val="0040410E"/>
    <w:rsid w:val="004134CE"/>
    <w:rsid w:val="004216DA"/>
    <w:rsid w:val="0043268C"/>
    <w:rsid w:val="00441244"/>
    <w:rsid w:val="0044224E"/>
    <w:rsid w:val="00444FC3"/>
    <w:rsid w:val="0044750E"/>
    <w:rsid w:val="00450A7C"/>
    <w:rsid w:val="00452AA3"/>
    <w:rsid w:val="00460218"/>
    <w:rsid w:val="00467C11"/>
    <w:rsid w:val="00474E00"/>
    <w:rsid w:val="00490125"/>
    <w:rsid w:val="004915C6"/>
    <w:rsid w:val="00493CBF"/>
    <w:rsid w:val="004A54A3"/>
    <w:rsid w:val="004A551F"/>
    <w:rsid w:val="004B5F3A"/>
    <w:rsid w:val="004B721B"/>
    <w:rsid w:val="004C4327"/>
    <w:rsid w:val="004C6B7C"/>
    <w:rsid w:val="004C7937"/>
    <w:rsid w:val="004D1567"/>
    <w:rsid w:val="004E5173"/>
    <w:rsid w:val="004E63F7"/>
    <w:rsid w:val="004F43C6"/>
    <w:rsid w:val="00501112"/>
    <w:rsid w:val="005315A6"/>
    <w:rsid w:val="005323F3"/>
    <w:rsid w:val="00532B61"/>
    <w:rsid w:val="005338F0"/>
    <w:rsid w:val="00540CA8"/>
    <w:rsid w:val="0055581C"/>
    <w:rsid w:val="00557A61"/>
    <w:rsid w:val="00560F7E"/>
    <w:rsid w:val="00562C01"/>
    <w:rsid w:val="00566563"/>
    <w:rsid w:val="00571CC2"/>
    <w:rsid w:val="00573FAD"/>
    <w:rsid w:val="0057585A"/>
    <w:rsid w:val="005762A6"/>
    <w:rsid w:val="00593308"/>
    <w:rsid w:val="00593E5D"/>
    <w:rsid w:val="00596E88"/>
    <w:rsid w:val="005B2FC4"/>
    <w:rsid w:val="005B3FBF"/>
    <w:rsid w:val="005D062E"/>
    <w:rsid w:val="005D48EF"/>
    <w:rsid w:val="005D7D06"/>
    <w:rsid w:val="005E1C4F"/>
    <w:rsid w:val="005E2A84"/>
    <w:rsid w:val="005E3CA2"/>
    <w:rsid w:val="005E466D"/>
    <w:rsid w:val="005E7117"/>
    <w:rsid w:val="0060748E"/>
    <w:rsid w:val="00607CD0"/>
    <w:rsid w:val="006119B8"/>
    <w:rsid w:val="00615D94"/>
    <w:rsid w:val="00622D3C"/>
    <w:rsid w:val="00623B5B"/>
    <w:rsid w:val="00642B13"/>
    <w:rsid w:val="006510E2"/>
    <w:rsid w:val="00655B37"/>
    <w:rsid w:val="00662DEE"/>
    <w:rsid w:val="006715DB"/>
    <w:rsid w:val="00674B7A"/>
    <w:rsid w:val="00676DA1"/>
    <w:rsid w:val="00685036"/>
    <w:rsid w:val="00697793"/>
    <w:rsid w:val="006A0FE3"/>
    <w:rsid w:val="006A1218"/>
    <w:rsid w:val="006A51D9"/>
    <w:rsid w:val="006B127A"/>
    <w:rsid w:val="006B39D4"/>
    <w:rsid w:val="006B5077"/>
    <w:rsid w:val="006B57DA"/>
    <w:rsid w:val="006C0A81"/>
    <w:rsid w:val="006C50C3"/>
    <w:rsid w:val="006C6A5D"/>
    <w:rsid w:val="006D4BE1"/>
    <w:rsid w:val="006D59AD"/>
    <w:rsid w:val="006F26C1"/>
    <w:rsid w:val="006F60CC"/>
    <w:rsid w:val="006F671A"/>
    <w:rsid w:val="00700A4E"/>
    <w:rsid w:val="00711BCA"/>
    <w:rsid w:val="0071429E"/>
    <w:rsid w:val="007218BF"/>
    <w:rsid w:val="00723B56"/>
    <w:rsid w:val="00731760"/>
    <w:rsid w:val="007348EE"/>
    <w:rsid w:val="00755701"/>
    <w:rsid w:val="0077110D"/>
    <w:rsid w:val="007850BB"/>
    <w:rsid w:val="00793794"/>
    <w:rsid w:val="00793DA1"/>
    <w:rsid w:val="007962C2"/>
    <w:rsid w:val="007A11AC"/>
    <w:rsid w:val="007A2B94"/>
    <w:rsid w:val="007A66A2"/>
    <w:rsid w:val="007B0D99"/>
    <w:rsid w:val="007B5B1C"/>
    <w:rsid w:val="007D1AB5"/>
    <w:rsid w:val="007D6113"/>
    <w:rsid w:val="007E12B5"/>
    <w:rsid w:val="007E4762"/>
    <w:rsid w:val="00801127"/>
    <w:rsid w:val="00801401"/>
    <w:rsid w:val="0081348B"/>
    <w:rsid w:val="00837812"/>
    <w:rsid w:val="00842CB4"/>
    <w:rsid w:val="00843444"/>
    <w:rsid w:val="00843796"/>
    <w:rsid w:val="00846974"/>
    <w:rsid w:val="00850272"/>
    <w:rsid w:val="00857CE5"/>
    <w:rsid w:val="00873050"/>
    <w:rsid w:val="0089182B"/>
    <w:rsid w:val="008929C3"/>
    <w:rsid w:val="008A4F08"/>
    <w:rsid w:val="008D6546"/>
    <w:rsid w:val="008D75D6"/>
    <w:rsid w:val="008F6EF3"/>
    <w:rsid w:val="00901E9D"/>
    <w:rsid w:val="00907FFA"/>
    <w:rsid w:val="0091087E"/>
    <w:rsid w:val="0091196B"/>
    <w:rsid w:val="009136BD"/>
    <w:rsid w:val="009143E1"/>
    <w:rsid w:val="009165B6"/>
    <w:rsid w:val="0092349B"/>
    <w:rsid w:val="009243BF"/>
    <w:rsid w:val="009411D5"/>
    <w:rsid w:val="00943E1E"/>
    <w:rsid w:val="00945700"/>
    <w:rsid w:val="00952065"/>
    <w:rsid w:val="009610AE"/>
    <w:rsid w:val="00962746"/>
    <w:rsid w:val="00966A49"/>
    <w:rsid w:val="00970CDA"/>
    <w:rsid w:val="00971738"/>
    <w:rsid w:val="009741B5"/>
    <w:rsid w:val="009806CE"/>
    <w:rsid w:val="00984C22"/>
    <w:rsid w:val="00995316"/>
    <w:rsid w:val="00997386"/>
    <w:rsid w:val="009A15A7"/>
    <w:rsid w:val="009A7607"/>
    <w:rsid w:val="009B1966"/>
    <w:rsid w:val="009C1D0F"/>
    <w:rsid w:val="009D0B44"/>
    <w:rsid w:val="009E3714"/>
    <w:rsid w:val="009E4CE0"/>
    <w:rsid w:val="009F48C6"/>
    <w:rsid w:val="00A03C70"/>
    <w:rsid w:val="00A05D30"/>
    <w:rsid w:val="00A06132"/>
    <w:rsid w:val="00A154D5"/>
    <w:rsid w:val="00A210AB"/>
    <w:rsid w:val="00A21834"/>
    <w:rsid w:val="00A35E67"/>
    <w:rsid w:val="00A42A84"/>
    <w:rsid w:val="00A55753"/>
    <w:rsid w:val="00A658DB"/>
    <w:rsid w:val="00A66918"/>
    <w:rsid w:val="00A67276"/>
    <w:rsid w:val="00A72419"/>
    <w:rsid w:val="00A7682C"/>
    <w:rsid w:val="00A9373C"/>
    <w:rsid w:val="00AA1544"/>
    <w:rsid w:val="00AA4F81"/>
    <w:rsid w:val="00AB64CF"/>
    <w:rsid w:val="00AE0D5A"/>
    <w:rsid w:val="00AE17EA"/>
    <w:rsid w:val="00AE19EC"/>
    <w:rsid w:val="00AE224B"/>
    <w:rsid w:val="00AF54FC"/>
    <w:rsid w:val="00AF60F8"/>
    <w:rsid w:val="00AF69A7"/>
    <w:rsid w:val="00B0087B"/>
    <w:rsid w:val="00B04D3D"/>
    <w:rsid w:val="00B14BD5"/>
    <w:rsid w:val="00B23771"/>
    <w:rsid w:val="00B26638"/>
    <w:rsid w:val="00B32F01"/>
    <w:rsid w:val="00B35E41"/>
    <w:rsid w:val="00B37DCB"/>
    <w:rsid w:val="00B41C0F"/>
    <w:rsid w:val="00B43D9D"/>
    <w:rsid w:val="00B462AB"/>
    <w:rsid w:val="00B463B3"/>
    <w:rsid w:val="00B608C8"/>
    <w:rsid w:val="00B618A2"/>
    <w:rsid w:val="00B65E4F"/>
    <w:rsid w:val="00B70401"/>
    <w:rsid w:val="00B73028"/>
    <w:rsid w:val="00B77C2E"/>
    <w:rsid w:val="00B81202"/>
    <w:rsid w:val="00B81D72"/>
    <w:rsid w:val="00B9601A"/>
    <w:rsid w:val="00B97C94"/>
    <w:rsid w:val="00BA262A"/>
    <w:rsid w:val="00BA2CDF"/>
    <w:rsid w:val="00BC2543"/>
    <w:rsid w:val="00BC5588"/>
    <w:rsid w:val="00BD0ADA"/>
    <w:rsid w:val="00BD45B0"/>
    <w:rsid w:val="00BD52AA"/>
    <w:rsid w:val="00BD69FB"/>
    <w:rsid w:val="00BE0BC1"/>
    <w:rsid w:val="00BE11B2"/>
    <w:rsid w:val="00BE2F87"/>
    <w:rsid w:val="00BE2FDA"/>
    <w:rsid w:val="00BF0D00"/>
    <w:rsid w:val="00C02FF1"/>
    <w:rsid w:val="00C10286"/>
    <w:rsid w:val="00C103F1"/>
    <w:rsid w:val="00C44045"/>
    <w:rsid w:val="00C4492D"/>
    <w:rsid w:val="00C53D9D"/>
    <w:rsid w:val="00C55E55"/>
    <w:rsid w:val="00C70970"/>
    <w:rsid w:val="00C72047"/>
    <w:rsid w:val="00C75C07"/>
    <w:rsid w:val="00C82A6F"/>
    <w:rsid w:val="00C82E53"/>
    <w:rsid w:val="00C973DB"/>
    <w:rsid w:val="00CA0B80"/>
    <w:rsid w:val="00CA735A"/>
    <w:rsid w:val="00CB07EB"/>
    <w:rsid w:val="00CB0A14"/>
    <w:rsid w:val="00CB0FE4"/>
    <w:rsid w:val="00CB4EC0"/>
    <w:rsid w:val="00CB6742"/>
    <w:rsid w:val="00CC2A19"/>
    <w:rsid w:val="00CC311D"/>
    <w:rsid w:val="00CC318D"/>
    <w:rsid w:val="00CC3878"/>
    <w:rsid w:val="00CD41F7"/>
    <w:rsid w:val="00CE0B81"/>
    <w:rsid w:val="00CE28DD"/>
    <w:rsid w:val="00CE79A5"/>
    <w:rsid w:val="00CF4040"/>
    <w:rsid w:val="00D044FC"/>
    <w:rsid w:val="00D050C0"/>
    <w:rsid w:val="00D14E02"/>
    <w:rsid w:val="00D1782B"/>
    <w:rsid w:val="00D23897"/>
    <w:rsid w:val="00D32C96"/>
    <w:rsid w:val="00D33DA6"/>
    <w:rsid w:val="00D47C6F"/>
    <w:rsid w:val="00D62331"/>
    <w:rsid w:val="00D705E2"/>
    <w:rsid w:val="00D73740"/>
    <w:rsid w:val="00D74230"/>
    <w:rsid w:val="00D81275"/>
    <w:rsid w:val="00D93ADE"/>
    <w:rsid w:val="00DA2230"/>
    <w:rsid w:val="00DA5752"/>
    <w:rsid w:val="00DB6584"/>
    <w:rsid w:val="00DC0289"/>
    <w:rsid w:val="00DC1DF4"/>
    <w:rsid w:val="00DC37E0"/>
    <w:rsid w:val="00DD02D9"/>
    <w:rsid w:val="00DD4C87"/>
    <w:rsid w:val="00DD5F2C"/>
    <w:rsid w:val="00DD6370"/>
    <w:rsid w:val="00DD6BEC"/>
    <w:rsid w:val="00DD704C"/>
    <w:rsid w:val="00DF23F5"/>
    <w:rsid w:val="00DF62CA"/>
    <w:rsid w:val="00E013D1"/>
    <w:rsid w:val="00E0227A"/>
    <w:rsid w:val="00E21A58"/>
    <w:rsid w:val="00E2227F"/>
    <w:rsid w:val="00E32D73"/>
    <w:rsid w:val="00E4245C"/>
    <w:rsid w:val="00E44236"/>
    <w:rsid w:val="00E521D9"/>
    <w:rsid w:val="00E5693B"/>
    <w:rsid w:val="00E56DDD"/>
    <w:rsid w:val="00E61971"/>
    <w:rsid w:val="00E632C7"/>
    <w:rsid w:val="00E67E48"/>
    <w:rsid w:val="00E85C95"/>
    <w:rsid w:val="00E900FA"/>
    <w:rsid w:val="00EA3AC1"/>
    <w:rsid w:val="00EA3D82"/>
    <w:rsid w:val="00EC30DF"/>
    <w:rsid w:val="00EC4ACC"/>
    <w:rsid w:val="00EC604F"/>
    <w:rsid w:val="00EE4446"/>
    <w:rsid w:val="00EE5F1C"/>
    <w:rsid w:val="00EF278B"/>
    <w:rsid w:val="00EF3EB5"/>
    <w:rsid w:val="00EF54AE"/>
    <w:rsid w:val="00F02DBA"/>
    <w:rsid w:val="00F06111"/>
    <w:rsid w:val="00F14EE8"/>
    <w:rsid w:val="00F159BE"/>
    <w:rsid w:val="00F165F9"/>
    <w:rsid w:val="00F23EC3"/>
    <w:rsid w:val="00F27A83"/>
    <w:rsid w:val="00F30C67"/>
    <w:rsid w:val="00F530F1"/>
    <w:rsid w:val="00F5431C"/>
    <w:rsid w:val="00F63AD0"/>
    <w:rsid w:val="00F72FF7"/>
    <w:rsid w:val="00F733DE"/>
    <w:rsid w:val="00F806B2"/>
    <w:rsid w:val="00F84FF4"/>
    <w:rsid w:val="00F874F8"/>
    <w:rsid w:val="00F915A7"/>
    <w:rsid w:val="00FA2E10"/>
    <w:rsid w:val="00FA414B"/>
    <w:rsid w:val="00FB535D"/>
    <w:rsid w:val="00FC3B14"/>
    <w:rsid w:val="00FC6350"/>
    <w:rsid w:val="00FC65A7"/>
    <w:rsid w:val="00FC66C4"/>
    <w:rsid w:val="00FD0148"/>
    <w:rsid w:val="00FD1BBC"/>
    <w:rsid w:val="00FD3BFD"/>
    <w:rsid w:val="00FD4526"/>
    <w:rsid w:val="00FD5B6D"/>
    <w:rsid w:val="00FE1C24"/>
    <w:rsid w:val="00FE695E"/>
    <w:rsid w:val="00FE7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ADE"/>
    <w:rPr>
      <w:rFonts w:ascii="Times New Roman" w:eastAsia="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uiPriority w:val="99"/>
    <w:unhideWhenUsed/>
    <w:rsid w:val="004C6B7C"/>
    <w:rPr>
      <w:sz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4C6B7C"/>
    <w:rPr>
      <w:rFonts w:ascii="Times New Roman" w:eastAsia="Times New Roman" w:hAnsi="Times New Roman" w:cs="Times New Roman"/>
      <w:sz w:val="20"/>
      <w:szCs w:val="20"/>
    </w:rPr>
  </w:style>
  <w:style w:type="character" w:styleId="FootnoteReference">
    <w:name w:val="footnote reference"/>
    <w:aliases w:val="o,fr"/>
    <w:basedOn w:val="DefaultParagraphFont"/>
    <w:uiPriority w:val="99"/>
    <w:unhideWhenUsed/>
    <w:rsid w:val="004C6B7C"/>
    <w:rPr>
      <w:vertAlign w:val="superscript"/>
    </w:rPr>
  </w:style>
  <w:style w:type="paragraph" w:styleId="Header">
    <w:name w:val="header"/>
    <w:basedOn w:val="Normal"/>
    <w:link w:val="HeaderChar"/>
    <w:uiPriority w:val="99"/>
    <w:semiHidden/>
    <w:unhideWhenUsed/>
    <w:rsid w:val="004B5F3A"/>
    <w:pPr>
      <w:tabs>
        <w:tab w:val="center" w:pos="4680"/>
        <w:tab w:val="right" w:pos="9360"/>
      </w:tabs>
    </w:pPr>
  </w:style>
  <w:style w:type="character" w:customStyle="1" w:styleId="HeaderChar">
    <w:name w:val="Header Char"/>
    <w:basedOn w:val="DefaultParagraphFont"/>
    <w:link w:val="Header"/>
    <w:uiPriority w:val="99"/>
    <w:semiHidden/>
    <w:rsid w:val="004B5F3A"/>
    <w:rPr>
      <w:rFonts w:ascii="Times New Roman" w:eastAsia="Times New Roman" w:hAnsi="Times New Roman"/>
      <w:sz w:val="26"/>
    </w:rPr>
  </w:style>
  <w:style w:type="paragraph" w:styleId="Footer">
    <w:name w:val="footer"/>
    <w:basedOn w:val="Normal"/>
    <w:link w:val="FooterChar"/>
    <w:uiPriority w:val="99"/>
    <w:unhideWhenUsed/>
    <w:rsid w:val="004B5F3A"/>
    <w:pPr>
      <w:tabs>
        <w:tab w:val="center" w:pos="4680"/>
        <w:tab w:val="right" w:pos="9360"/>
      </w:tabs>
    </w:pPr>
  </w:style>
  <w:style w:type="character" w:customStyle="1" w:styleId="FooterChar">
    <w:name w:val="Footer Char"/>
    <w:basedOn w:val="DefaultParagraphFont"/>
    <w:link w:val="Footer"/>
    <w:uiPriority w:val="99"/>
    <w:rsid w:val="004B5F3A"/>
    <w:rPr>
      <w:rFonts w:ascii="Times New Roman" w:eastAsia="Times New Roman" w:hAnsi="Times New Roman"/>
      <w:sz w:val="26"/>
    </w:rPr>
  </w:style>
  <w:style w:type="character" w:styleId="Hyperlink">
    <w:name w:val="Hyperlink"/>
    <w:basedOn w:val="DefaultParagraphFont"/>
    <w:uiPriority w:val="99"/>
    <w:unhideWhenUsed/>
    <w:rsid w:val="00943E1E"/>
    <w:rPr>
      <w:strike w:val="0"/>
      <w:dstrike w:val="0"/>
      <w:color w:val="004B91"/>
      <w:u w:val="none"/>
      <w:effect w:val="none"/>
    </w:rPr>
  </w:style>
  <w:style w:type="paragraph" w:styleId="BalloonText">
    <w:name w:val="Balloon Text"/>
    <w:basedOn w:val="Normal"/>
    <w:link w:val="BalloonTextChar"/>
    <w:uiPriority w:val="99"/>
    <w:semiHidden/>
    <w:unhideWhenUsed/>
    <w:rsid w:val="00F733DE"/>
    <w:rPr>
      <w:rFonts w:ascii="Tahoma" w:hAnsi="Tahoma" w:cs="Tahoma"/>
      <w:sz w:val="16"/>
      <w:szCs w:val="16"/>
    </w:rPr>
  </w:style>
  <w:style w:type="character" w:customStyle="1" w:styleId="BalloonTextChar">
    <w:name w:val="Balloon Text Char"/>
    <w:basedOn w:val="DefaultParagraphFont"/>
    <w:link w:val="BalloonText"/>
    <w:uiPriority w:val="99"/>
    <w:semiHidden/>
    <w:rsid w:val="00F733DE"/>
    <w:rPr>
      <w:rFonts w:ascii="Tahoma" w:eastAsia="Times New Roman" w:hAnsi="Tahoma" w:cs="Tahoma"/>
      <w:sz w:val="16"/>
      <w:szCs w:val="16"/>
    </w:rPr>
  </w:style>
  <w:style w:type="paragraph" w:styleId="ListParagraph">
    <w:name w:val="List Paragraph"/>
    <w:basedOn w:val="Normal"/>
    <w:uiPriority w:val="34"/>
    <w:qFormat/>
    <w:rsid w:val="001A5647"/>
    <w:pPr>
      <w:ind w:left="720"/>
      <w:contextualSpacing/>
    </w:pPr>
  </w:style>
  <w:style w:type="character" w:styleId="CommentReference">
    <w:name w:val="annotation reference"/>
    <w:basedOn w:val="DefaultParagraphFont"/>
    <w:uiPriority w:val="99"/>
    <w:semiHidden/>
    <w:unhideWhenUsed/>
    <w:rsid w:val="001A70A2"/>
    <w:rPr>
      <w:sz w:val="16"/>
      <w:szCs w:val="16"/>
    </w:rPr>
  </w:style>
  <w:style w:type="paragraph" w:styleId="CommentText">
    <w:name w:val="annotation text"/>
    <w:basedOn w:val="Normal"/>
    <w:link w:val="CommentTextChar"/>
    <w:uiPriority w:val="99"/>
    <w:semiHidden/>
    <w:unhideWhenUsed/>
    <w:rsid w:val="001A70A2"/>
    <w:rPr>
      <w:sz w:val="20"/>
    </w:rPr>
  </w:style>
  <w:style w:type="character" w:customStyle="1" w:styleId="CommentTextChar">
    <w:name w:val="Comment Text Char"/>
    <w:basedOn w:val="DefaultParagraphFont"/>
    <w:link w:val="CommentText"/>
    <w:uiPriority w:val="99"/>
    <w:semiHidden/>
    <w:rsid w:val="001A70A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A70A2"/>
    <w:rPr>
      <w:b/>
      <w:bCs/>
    </w:rPr>
  </w:style>
  <w:style w:type="character" w:customStyle="1" w:styleId="CommentSubjectChar">
    <w:name w:val="Comment Subject Char"/>
    <w:basedOn w:val="CommentTextChar"/>
    <w:link w:val="CommentSubject"/>
    <w:uiPriority w:val="99"/>
    <w:semiHidden/>
    <w:rsid w:val="001A70A2"/>
    <w:rPr>
      <w:rFonts w:ascii="Times New Roman" w:eastAsia="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ADE"/>
    <w:rPr>
      <w:rFonts w:ascii="Times New Roman" w:eastAsia="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uiPriority w:val="99"/>
    <w:unhideWhenUsed/>
    <w:rsid w:val="004C6B7C"/>
    <w:rPr>
      <w:sz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4C6B7C"/>
    <w:rPr>
      <w:rFonts w:ascii="Times New Roman" w:eastAsia="Times New Roman" w:hAnsi="Times New Roman" w:cs="Times New Roman"/>
      <w:sz w:val="20"/>
      <w:szCs w:val="20"/>
    </w:rPr>
  </w:style>
  <w:style w:type="character" w:styleId="FootnoteReference">
    <w:name w:val="footnote reference"/>
    <w:aliases w:val="o,fr"/>
    <w:basedOn w:val="DefaultParagraphFont"/>
    <w:uiPriority w:val="99"/>
    <w:unhideWhenUsed/>
    <w:rsid w:val="004C6B7C"/>
    <w:rPr>
      <w:vertAlign w:val="superscript"/>
    </w:rPr>
  </w:style>
  <w:style w:type="paragraph" w:styleId="Header">
    <w:name w:val="header"/>
    <w:basedOn w:val="Normal"/>
    <w:link w:val="HeaderChar"/>
    <w:uiPriority w:val="99"/>
    <w:semiHidden/>
    <w:unhideWhenUsed/>
    <w:rsid w:val="004B5F3A"/>
    <w:pPr>
      <w:tabs>
        <w:tab w:val="center" w:pos="4680"/>
        <w:tab w:val="right" w:pos="9360"/>
      </w:tabs>
    </w:pPr>
  </w:style>
  <w:style w:type="character" w:customStyle="1" w:styleId="HeaderChar">
    <w:name w:val="Header Char"/>
    <w:basedOn w:val="DefaultParagraphFont"/>
    <w:link w:val="Header"/>
    <w:uiPriority w:val="99"/>
    <w:semiHidden/>
    <w:rsid w:val="004B5F3A"/>
    <w:rPr>
      <w:rFonts w:ascii="Times New Roman" w:eastAsia="Times New Roman" w:hAnsi="Times New Roman"/>
      <w:sz w:val="26"/>
    </w:rPr>
  </w:style>
  <w:style w:type="paragraph" w:styleId="Footer">
    <w:name w:val="footer"/>
    <w:basedOn w:val="Normal"/>
    <w:link w:val="FooterChar"/>
    <w:uiPriority w:val="99"/>
    <w:unhideWhenUsed/>
    <w:rsid w:val="004B5F3A"/>
    <w:pPr>
      <w:tabs>
        <w:tab w:val="center" w:pos="4680"/>
        <w:tab w:val="right" w:pos="9360"/>
      </w:tabs>
    </w:pPr>
  </w:style>
  <w:style w:type="character" w:customStyle="1" w:styleId="FooterChar">
    <w:name w:val="Footer Char"/>
    <w:basedOn w:val="DefaultParagraphFont"/>
    <w:link w:val="Footer"/>
    <w:uiPriority w:val="99"/>
    <w:rsid w:val="004B5F3A"/>
    <w:rPr>
      <w:rFonts w:ascii="Times New Roman" w:eastAsia="Times New Roman" w:hAnsi="Times New Roman"/>
      <w:sz w:val="26"/>
    </w:rPr>
  </w:style>
  <w:style w:type="character" w:styleId="Hyperlink">
    <w:name w:val="Hyperlink"/>
    <w:basedOn w:val="DefaultParagraphFont"/>
    <w:uiPriority w:val="99"/>
    <w:unhideWhenUsed/>
    <w:rsid w:val="00943E1E"/>
    <w:rPr>
      <w:strike w:val="0"/>
      <w:dstrike w:val="0"/>
      <w:color w:val="004B91"/>
      <w:u w:val="none"/>
      <w:effect w:val="none"/>
    </w:rPr>
  </w:style>
  <w:style w:type="paragraph" w:styleId="BalloonText">
    <w:name w:val="Balloon Text"/>
    <w:basedOn w:val="Normal"/>
    <w:link w:val="BalloonTextChar"/>
    <w:uiPriority w:val="99"/>
    <w:semiHidden/>
    <w:unhideWhenUsed/>
    <w:rsid w:val="00F733DE"/>
    <w:rPr>
      <w:rFonts w:ascii="Tahoma" w:hAnsi="Tahoma" w:cs="Tahoma"/>
      <w:sz w:val="16"/>
      <w:szCs w:val="16"/>
    </w:rPr>
  </w:style>
  <w:style w:type="character" w:customStyle="1" w:styleId="BalloonTextChar">
    <w:name w:val="Balloon Text Char"/>
    <w:basedOn w:val="DefaultParagraphFont"/>
    <w:link w:val="BalloonText"/>
    <w:uiPriority w:val="99"/>
    <w:semiHidden/>
    <w:rsid w:val="00F733DE"/>
    <w:rPr>
      <w:rFonts w:ascii="Tahoma" w:eastAsia="Times New Roman" w:hAnsi="Tahoma" w:cs="Tahoma"/>
      <w:sz w:val="16"/>
      <w:szCs w:val="16"/>
    </w:rPr>
  </w:style>
  <w:style w:type="paragraph" w:styleId="ListParagraph">
    <w:name w:val="List Paragraph"/>
    <w:basedOn w:val="Normal"/>
    <w:uiPriority w:val="34"/>
    <w:qFormat/>
    <w:rsid w:val="001A5647"/>
    <w:pPr>
      <w:ind w:left="720"/>
      <w:contextualSpacing/>
    </w:pPr>
  </w:style>
  <w:style w:type="character" w:styleId="CommentReference">
    <w:name w:val="annotation reference"/>
    <w:basedOn w:val="DefaultParagraphFont"/>
    <w:uiPriority w:val="99"/>
    <w:semiHidden/>
    <w:unhideWhenUsed/>
    <w:rsid w:val="001A70A2"/>
    <w:rPr>
      <w:sz w:val="16"/>
      <w:szCs w:val="16"/>
    </w:rPr>
  </w:style>
  <w:style w:type="paragraph" w:styleId="CommentText">
    <w:name w:val="annotation text"/>
    <w:basedOn w:val="Normal"/>
    <w:link w:val="CommentTextChar"/>
    <w:uiPriority w:val="99"/>
    <w:semiHidden/>
    <w:unhideWhenUsed/>
    <w:rsid w:val="001A70A2"/>
    <w:rPr>
      <w:sz w:val="20"/>
    </w:rPr>
  </w:style>
  <w:style w:type="character" w:customStyle="1" w:styleId="CommentTextChar">
    <w:name w:val="Comment Text Char"/>
    <w:basedOn w:val="DefaultParagraphFont"/>
    <w:link w:val="CommentText"/>
    <w:uiPriority w:val="99"/>
    <w:semiHidden/>
    <w:rsid w:val="001A70A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A70A2"/>
    <w:rPr>
      <w:b/>
      <w:bCs/>
    </w:rPr>
  </w:style>
  <w:style w:type="character" w:customStyle="1" w:styleId="CommentSubjectChar">
    <w:name w:val="Comment Subject Char"/>
    <w:basedOn w:val="CommentTextChar"/>
    <w:link w:val="CommentSubject"/>
    <w:uiPriority w:val="99"/>
    <w:semiHidden/>
    <w:rsid w:val="001A70A2"/>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017979">
      <w:bodyDiv w:val="1"/>
      <w:marLeft w:val="0"/>
      <w:marRight w:val="0"/>
      <w:marTop w:val="0"/>
      <w:marBottom w:val="0"/>
      <w:divBdr>
        <w:top w:val="none" w:sz="0" w:space="0" w:color="auto"/>
        <w:left w:val="none" w:sz="0" w:space="0" w:color="auto"/>
        <w:bottom w:val="none" w:sz="0" w:space="0" w:color="auto"/>
        <w:right w:val="none" w:sz="0" w:space="0" w:color="auto"/>
      </w:divBdr>
      <w:divsChild>
        <w:div w:id="1082029226">
          <w:marLeft w:val="0"/>
          <w:marRight w:val="0"/>
          <w:marTop w:val="0"/>
          <w:marBottom w:val="0"/>
          <w:divBdr>
            <w:top w:val="none" w:sz="0" w:space="0" w:color="auto"/>
            <w:left w:val="none" w:sz="0" w:space="0" w:color="auto"/>
            <w:bottom w:val="none" w:sz="0" w:space="0" w:color="auto"/>
            <w:right w:val="none" w:sz="0" w:space="0" w:color="auto"/>
          </w:divBdr>
          <w:divsChild>
            <w:div w:id="1965842133">
              <w:marLeft w:val="0"/>
              <w:marRight w:val="0"/>
              <w:marTop w:val="0"/>
              <w:marBottom w:val="0"/>
              <w:divBdr>
                <w:top w:val="none" w:sz="0" w:space="0" w:color="auto"/>
                <w:left w:val="none" w:sz="0" w:space="0" w:color="auto"/>
                <w:bottom w:val="none" w:sz="0" w:space="0" w:color="auto"/>
                <w:right w:val="none" w:sz="0" w:space="0" w:color="auto"/>
              </w:divBdr>
              <w:divsChild>
                <w:div w:id="1107237559">
                  <w:marLeft w:val="0"/>
                  <w:marRight w:val="0"/>
                  <w:marTop w:val="0"/>
                  <w:marBottom w:val="0"/>
                  <w:divBdr>
                    <w:top w:val="none" w:sz="0" w:space="0" w:color="auto"/>
                    <w:left w:val="none" w:sz="0" w:space="0" w:color="auto"/>
                    <w:bottom w:val="none" w:sz="0" w:space="0" w:color="auto"/>
                    <w:right w:val="none" w:sz="0" w:space="0" w:color="auto"/>
                  </w:divBdr>
                  <w:divsChild>
                    <w:div w:id="820999862">
                      <w:marLeft w:val="343"/>
                      <w:marRight w:val="34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685841">
      <w:bodyDiv w:val="1"/>
      <w:marLeft w:val="0"/>
      <w:marRight w:val="0"/>
      <w:marTop w:val="0"/>
      <w:marBottom w:val="0"/>
      <w:divBdr>
        <w:top w:val="none" w:sz="0" w:space="0" w:color="auto"/>
        <w:left w:val="none" w:sz="0" w:space="0" w:color="auto"/>
        <w:bottom w:val="none" w:sz="0" w:space="0" w:color="auto"/>
        <w:right w:val="none" w:sz="0" w:space="0" w:color="auto"/>
      </w:divBdr>
      <w:divsChild>
        <w:div w:id="1763141772">
          <w:marLeft w:val="0"/>
          <w:marRight w:val="0"/>
          <w:marTop w:val="0"/>
          <w:marBottom w:val="0"/>
          <w:divBdr>
            <w:top w:val="none" w:sz="0" w:space="0" w:color="auto"/>
            <w:left w:val="none" w:sz="0" w:space="0" w:color="auto"/>
            <w:bottom w:val="none" w:sz="0" w:space="0" w:color="auto"/>
            <w:right w:val="none" w:sz="0" w:space="0" w:color="auto"/>
          </w:divBdr>
          <w:divsChild>
            <w:div w:id="931354129">
              <w:marLeft w:val="0"/>
              <w:marRight w:val="0"/>
              <w:marTop w:val="0"/>
              <w:marBottom w:val="0"/>
              <w:divBdr>
                <w:top w:val="none" w:sz="0" w:space="0" w:color="auto"/>
                <w:left w:val="none" w:sz="0" w:space="0" w:color="auto"/>
                <w:bottom w:val="none" w:sz="0" w:space="0" w:color="auto"/>
                <w:right w:val="none" w:sz="0" w:space="0" w:color="auto"/>
              </w:divBdr>
              <w:divsChild>
                <w:div w:id="716006575">
                  <w:marLeft w:val="0"/>
                  <w:marRight w:val="0"/>
                  <w:marTop w:val="0"/>
                  <w:marBottom w:val="0"/>
                  <w:divBdr>
                    <w:top w:val="none" w:sz="0" w:space="0" w:color="auto"/>
                    <w:left w:val="none" w:sz="0" w:space="0" w:color="auto"/>
                    <w:bottom w:val="none" w:sz="0" w:space="0" w:color="auto"/>
                    <w:right w:val="none" w:sz="0" w:space="0" w:color="auto"/>
                  </w:divBdr>
                  <w:divsChild>
                    <w:div w:id="462582493">
                      <w:marLeft w:val="343"/>
                      <w:marRight w:val="34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9825F-180D-424D-989F-0DE973F0A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1515</Words>
  <Characters>8641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machestnut</dc:creator>
  <cp:lastModifiedBy>Miller, Sara</cp:lastModifiedBy>
  <cp:revision>4</cp:revision>
  <cp:lastPrinted>2011-12-16T15:05:00Z</cp:lastPrinted>
  <dcterms:created xsi:type="dcterms:W3CDTF">2011-12-09T17:49:00Z</dcterms:created>
  <dcterms:modified xsi:type="dcterms:W3CDTF">2011-12-16T15:05:00Z</dcterms:modified>
</cp:coreProperties>
</file>