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Pr="001A04B8" w:rsidRDefault="00332CA0" w:rsidP="00560DC5">
      <w:pPr>
        <w:tabs>
          <w:tab w:val="left" w:pos="0"/>
        </w:tabs>
        <w:spacing w:line="233" w:lineRule="auto"/>
        <w:jc w:val="both"/>
        <w:rPr>
          <w:sz w:val="24"/>
        </w:rPr>
      </w:pPr>
    </w:p>
    <w:p w:rsidR="00332CA0" w:rsidRPr="001A04B8" w:rsidRDefault="00332CA0" w:rsidP="00560DC5">
      <w:pPr>
        <w:tabs>
          <w:tab w:val="left" w:pos="0"/>
        </w:tabs>
        <w:spacing w:line="233" w:lineRule="auto"/>
        <w:jc w:val="both"/>
        <w:rPr>
          <w:sz w:val="24"/>
        </w:rPr>
      </w:pPr>
    </w:p>
    <w:p w:rsidR="00332CA0" w:rsidRPr="001A04B8" w:rsidRDefault="00332CA0" w:rsidP="00560DC5">
      <w:pPr>
        <w:tabs>
          <w:tab w:val="left" w:pos="0"/>
        </w:tabs>
        <w:spacing w:line="233" w:lineRule="auto"/>
        <w:jc w:val="both"/>
        <w:rPr>
          <w:sz w:val="24"/>
        </w:rPr>
      </w:pPr>
    </w:p>
    <w:p w:rsidR="00332CA0" w:rsidRPr="001A04B8" w:rsidRDefault="00884E9C" w:rsidP="00560DC5">
      <w:pPr>
        <w:tabs>
          <w:tab w:val="left" w:pos="0"/>
        </w:tabs>
        <w:spacing w:line="233" w:lineRule="auto"/>
        <w:jc w:val="both"/>
        <w:rPr>
          <w:sz w:val="24"/>
        </w:rPr>
      </w:pPr>
      <w:r>
        <w:rPr>
          <w:sz w:val="24"/>
        </w:rPr>
        <w:t>Theodore Presutti</w:t>
      </w:r>
      <w:r w:rsidR="00332CA0">
        <w:rPr>
          <w:sz w:val="24"/>
        </w:rPr>
        <w:tab/>
      </w:r>
      <w:r w:rsidR="00560DC5">
        <w:rPr>
          <w:sz w:val="24"/>
        </w:rPr>
        <w:tab/>
      </w:r>
      <w:r w:rsidR="00247900">
        <w:rPr>
          <w:sz w:val="24"/>
        </w:rPr>
        <w:tab/>
      </w:r>
      <w:r w:rsidR="00247900">
        <w:rPr>
          <w:sz w:val="24"/>
        </w:rPr>
        <w:tab/>
      </w:r>
      <w:r w:rsidR="00844F99">
        <w:rPr>
          <w:sz w:val="24"/>
        </w:rPr>
        <w:tab/>
      </w:r>
      <w:r w:rsidR="00332CA0" w:rsidRPr="001A04B8">
        <w:rPr>
          <w:sz w:val="24"/>
        </w:rPr>
        <w:t>:</w:t>
      </w:r>
    </w:p>
    <w:p w:rsidR="00332CA0" w:rsidRPr="001A04B8" w:rsidRDefault="00332CA0" w:rsidP="00560DC5">
      <w:pPr>
        <w:tabs>
          <w:tab w:val="left" w:pos="0"/>
        </w:tabs>
        <w:spacing w:line="233" w:lineRule="auto"/>
        <w:jc w:val="both"/>
        <w:rPr>
          <w:sz w:val="24"/>
        </w:rPr>
      </w:pPr>
      <w:r w:rsidRPr="001A04B8">
        <w:rPr>
          <w:sz w:val="24"/>
        </w:rPr>
        <w:tab/>
      </w:r>
      <w:r w:rsidRPr="001A04B8">
        <w:rPr>
          <w:sz w:val="24"/>
        </w:rPr>
        <w:tab/>
      </w:r>
      <w:r w:rsidRPr="001A04B8">
        <w:rPr>
          <w:sz w:val="24"/>
        </w:rPr>
        <w:tab/>
      </w:r>
      <w:r w:rsidRPr="001A04B8">
        <w:rPr>
          <w:sz w:val="24"/>
        </w:rPr>
        <w:tab/>
      </w:r>
      <w:r w:rsidRPr="001A04B8">
        <w:rPr>
          <w:sz w:val="24"/>
        </w:rPr>
        <w:tab/>
      </w:r>
      <w:r w:rsidRPr="001A04B8">
        <w:rPr>
          <w:sz w:val="24"/>
        </w:rPr>
        <w:tab/>
      </w:r>
      <w:r w:rsidRPr="001A04B8">
        <w:rPr>
          <w:sz w:val="24"/>
        </w:rPr>
        <w:tab/>
        <w:t>:</w:t>
      </w:r>
    </w:p>
    <w:p w:rsidR="00332CA0" w:rsidRPr="001A04B8" w:rsidRDefault="00332CA0" w:rsidP="00560DC5">
      <w:pPr>
        <w:tabs>
          <w:tab w:val="left" w:pos="0"/>
        </w:tabs>
        <w:spacing w:line="233" w:lineRule="auto"/>
        <w:jc w:val="both"/>
        <w:rPr>
          <w:sz w:val="24"/>
        </w:rPr>
      </w:pPr>
      <w:r w:rsidRPr="001A04B8">
        <w:rPr>
          <w:sz w:val="24"/>
        </w:rPr>
        <w:tab/>
        <w:t>v.</w:t>
      </w:r>
      <w:r w:rsidR="00560DC5" w:rsidRPr="001A04B8">
        <w:rPr>
          <w:sz w:val="24"/>
        </w:rPr>
        <w:tab/>
      </w:r>
      <w:r w:rsidRPr="001A04B8">
        <w:rPr>
          <w:sz w:val="24"/>
        </w:rPr>
        <w:tab/>
      </w:r>
      <w:r w:rsidRPr="001A04B8">
        <w:rPr>
          <w:sz w:val="24"/>
        </w:rPr>
        <w:tab/>
      </w:r>
      <w:r w:rsidRPr="001A04B8">
        <w:rPr>
          <w:sz w:val="24"/>
        </w:rPr>
        <w:tab/>
      </w:r>
      <w:r w:rsidRPr="001A04B8">
        <w:rPr>
          <w:sz w:val="24"/>
        </w:rPr>
        <w:tab/>
      </w:r>
      <w:r w:rsidR="00560DC5" w:rsidRPr="001A04B8">
        <w:rPr>
          <w:sz w:val="24"/>
        </w:rPr>
        <w:tab/>
      </w:r>
      <w:r w:rsidRPr="001A04B8">
        <w:rPr>
          <w:sz w:val="24"/>
        </w:rPr>
        <w:t>:</w:t>
      </w:r>
      <w:r w:rsidRPr="001A04B8">
        <w:rPr>
          <w:sz w:val="24"/>
        </w:rPr>
        <w:tab/>
      </w:r>
      <w:r w:rsidR="00560DC5" w:rsidRPr="001A04B8">
        <w:rPr>
          <w:sz w:val="24"/>
        </w:rPr>
        <w:tab/>
      </w:r>
      <w:r w:rsidR="001A04B8" w:rsidRPr="001A04B8">
        <w:rPr>
          <w:sz w:val="24"/>
        </w:rPr>
        <w:tab/>
      </w:r>
      <w:r w:rsidR="00884E9C" w:rsidRPr="001A04B8">
        <w:rPr>
          <w:sz w:val="24"/>
        </w:rPr>
        <w:t>F-2010-2174509</w:t>
      </w:r>
    </w:p>
    <w:p w:rsidR="004F53DA" w:rsidRPr="001A04B8" w:rsidRDefault="001461CA" w:rsidP="004F53DA">
      <w:pPr>
        <w:tabs>
          <w:tab w:val="left" w:pos="0"/>
        </w:tabs>
        <w:spacing w:line="233" w:lineRule="auto"/>
        <w:jc w:val="both"/>
        <w:rPr>
          <w:sz w:val="24"/>
        </w:rPr>
      </w:pPr>
      <w:r w:rsidRPr="001A04B8">
        <w:rPr>
          <w:sz w:val="24"/>
        </w:rPr>
        <w:tab/>
      </w:r>
      <w:r w:rsidRPr="001A04B8">
        <w:rPr>
          <w:sz w:val="24"/>
        </w:rPr>
        <w:tab/>
      </w:r>
      <w:r w:rsidRPr="001A04B8">
        <w:rPr>
          <w:sz w:val="24"/>
        </w:rPr>
        <w:tab/>
      </w:r>
      <w:r w:rsidRPr="001A04B8">
        <w:rPr>
          <w:sz w:val="24"/>
        </w:rPr>
        <w:tab/>
      </w:r>
      <w:r w:rsidRPr="001A04B8">
        <w:rPr>
          <w:sz w:val="24"/>
        </w:rPr>
        <w:tab/>
      </w:r>
      <w:r w:rsidRPr="001A04B8">
        <w:rPr>
          <w:sz w:val="24"/>
        </w:rPr>
        <w:tab/>
      </w:r>
      <w:r w:rsidRPr="001A04B8">
        <w:rPr>
          <w:sz w:val="24"/>
        </w:rPr>
        <w:tab/>
        <w:t>:</w:t>
      </w:r>
      <w:r w:rsidR="004F53DA" w:rsidRPr="001A04B8">
        <w:rPr>
          <w:sz w:val="24"/>
        </w:rPr>
        <w:tab/>
      </w:r>
      <w:r w:rsidR="004F53DA" w:rsidRPr="001A04B8">
        <w:rPr>
          <w:sz w:val="24"/>
        </w:rPr>
        <w:tab/>
      </w:r>
      <w:r w:rsidR="001A04B8" w:rsidRPr="001A04B8">
        <w:rPr>
          <w:sz w:val="24"/>
        </w:rPr>
        <w:tab/>
      </w:r>
      <w:r w:rsidR="004F53DA" w:rsidRPr="001A04B8">
        <w:rPr>
          <w:sz w:val="24"/>
        </w:rPr>
        <w:t>C-2010-2177251</w:t>
      </w:r>
    </w:p>
    <w:p w:rsidR="00332CA0" w:rsidRDefault="00884E9C" w:rsidP="00560DC5">
      <w:pPr>
        <w:tabs>
          <w:tab w:val="left" w:pos="0"/>
        </w:tabs>
        <w:spacing w:line="233" w:lineRule="auto"/>
        <w:jc w:val="both"/>
        <w:rPr>
          <w:sz w:val="24"/>
        </w:rPr>
      </w:pPr>
      <w:r w:rsidRPr="001A04B8">
        <w:rPr>
          <w:sz w:val="24"/>
        </w:rPr>
        <w:t>Duquesne Light Company</w:t>
      </w:r>
      <w:r w:rsidR="001A00E0" w:rsidRPr="001A04B8">
        <w:rPr>
          <w:sz w:val="24"/>
        </w:rPr>
        <w:tab/>
      </w:r>
      <w:r w:rsidR="001A00E0" w:rsidRPr="001A04B8">
        <w:rPr>
          <w:sz w:val="24"/>
        </w:rPr>
        <w:tab/>
      </w:r>
      <w:r w:rsidR="00332CA0" w:rsidRPr="001A04B8">
        <w:rPr>
          <w:sz w:val="24"/>
        </w:rPr>
        <w:tab/>
      </w:r>
      <w:r w:rsidR="00332CA0" w:rsidRPr="001A04B8">
        <w:rPr>
          <w:sz w:val="24"/>
        </w:rPr>
        <w:tab/>
        <w:t>:</w:t>
      </w:r>
    </w:p>
    <w:p w:rsidR="00332CA0" w:rsidRPr="001A04B8" w:rsidRDefault="00332CA0" w:rsidP="00560DC5">
      <w:pPr>
        <w:tabs>
          <w:tab w:val="left" w:pos="0"/>
        </w:tabs>
        <w:spacing w:line="233" w:lineRule="auto"/>
        <w:jc w:val="both"/>
        <w:rPr>
          <w:sz w:val="24"/>
        </w:rPr>
      </w:pPr>
    </w:p>
    <w:p w:rsidR="00332CA0" w:rsidRPr="001A04B8" w:rsidRDefault="00332CA0" w:rsidP="00560DC5">
      <w:pPr>
        <w:tabs>
          <w:tab w:val="left" w:pos="0"/>
        </w:tabs>
        <w:spacing w:line="233" w:lineRule="auto"/>
        <w:jc w:val="both"/>
        <w:rPr>
          <w:sz w:val="24"/>
        </w:rPr>
      </w:pPr>
    </w:p>
    <w:p w:rsidR="00332CA0" w:rsidRPr="001A04B8" w:rsidRDefault="00332CA0" w:rsidP="00560DC5">
      <w:pPr>
        <w:tabs>
          <w:tab w:val="left" w:pos="0"/>
        </w:tabs>
        <w:spacing w:line="233" w:lineRule="auto"/>
        <w:jc w:val="both"/>
        <w:rPr>
          <w:sz w:val="24"/>
        </w:rPr>
      </w:pPr>
    </w:p>
    <w:p w:rsidR="00C1344F" w:rsidRPr="009273CA" w:rsidRDefault="00B45AD0" w:rsidP="001A04B8">
      <w:pPr>
        <w:tabs>
          <w:tab w:val="left" w:pos="0"/>
        </w:tabs>
        <w:jc w:val="center"/>
        <w:rPr>
          <w:b/>
          <w:sz w:val="24"/>
          <w:u w:val="single"/>
        </w:rPr>
      </w:pPr>
      <w:r w:rsidRPr="009273CA">
        <w:rPr>
          <w:b/>
          <w:sz w:val="24"/>
          <w:u w:val="single"/>
        </w:rPr>
        <w:t>INITIAL DEC</w:t>
      </w:r>
      <w:r w:rsidR="001461CA">
        <w:rPr>
          <w:b/>
          <w:sz w:val="24"/>
          <w:u w:val="single"/>
        </w:rPr>
        <w:t>I</w:t>
      </w:r>
      <w:r w:rsidRPr="009273CA">
        <w:rPr>
          <w:b/>
          <w:sz w:val="24"/>
          <w:u w:val="single"/>
        </w:rPr>
        <w:t>SION</w:t>
      </w:r>
    </w:p>
    <w:p w:rsidR="001461CA" w:rsidRDefault="001461CA" w:rsidP="001A04B8">
      <w:pPr>
        <w:tabs>
          <w:tab w:val="left" w:pos="0"/>
        </w:tabs>
        <w:jc w:val="center"/>
        <w:rPr>
          <w:sz w:val="24"/>
        </w:rPr>
      </w:pPr>
    </w:p>
    <w:p w:rsidR="008B54B1" w:rsidRDefault="008B54B1" w:rsidP="001A04B8">
      <w:pPr>
        <w:tabs>
          <w:tab w:val="left" w:pos="0"/>
        </w:tabs>
        <w:jc w:val="center"/>
        <w:rPr>
          <w:sz w:val="24"/>
        </w:rPr>
      </w:pPr>
    </w:p>
    <w:p w:rsidR="00B45AD0" w:rsidRPr="009273CA" w:rsidRDefault="00B45AD0" w:rsidP="001A04B8">
      <w:pPr>
        <w:tabs>
          <w:tab w:val="left" w:pos="0"/>
        </w:tabs>
        <w:jc w:val="center"/>
        <w:rPr>
          <w:sz w:val="24"/>
        </w:rPr>
      </w:pPr>
      <w:r w:rsidRPr="009273CA">
        <w:rPr>
          <w:sz w:val="24"/>
        </w:rPr>
        <w:t>By</w:t>
      </w:r>
    </w:p>
    <w:p w:rsidR="00B45AD0" w:rsidRPr="009273CA" w:rsidRDefault="00B45AD0" w:rsidP="001A04B8">
      <w:pPr>
        <w:tabs>
          <w:tab w:val="left" w:pos="0"/>
        </w:tabs>
        <w:jc w:val="center"/>
        <w:rPr>
          <w:sz w:val="24"/>
        </w:rPr>
      </w:pPr>
      <w:r w:rsidRPr="009273CA">
        <w:rPr>
          <w:sz w:val="24"/>
        </w:rPr>
        <w:t>Mary D. Long</w:t>
      </w:r>
    </w:p>
    <w:p w:rsidR="00B45AD0" w:rsidRPr="009273CA" w:rsidRDefault="00B45AD0" w:rsidP="001A04B8">
      <w:pPr>
        <w:tabs>
          <w:tab w:val="left" w:pos="0"/>
        </w:tabs>
        <w:jc w:val="center"/>
        <w:rPr>
          <w:sz w:val="24"/>
        </w:rPr>
      </w:pPr>
      <w:r w:rsidRPr="009273CA">
        <w:rPr>
          <w:sz w:val="24"/>
        </w:rPr>
        <w:t>Administrative Law Judge</w:t>
      </w:r>
    </w:p>
    <w:p w:rsidR="00B45AD0" w:rsidRDefault="00B45AD0" w:rsidP="001A04B8">
      <w:pPr>
        <w:tabs>
          <w:tab w:val="left" w:pos="0"/>
        </w:tabs>
        <w:rPr>
          <w:sz w:val="24"/>
        </w:rPr>
      </w:pPr>
    </w:p>
    <w:p w:rsidR="008B54B1" w:rsidRDefault="008B54B1" w:rsidP="001A04B8">
      <w:pPr>
        <w:tabs>
          <w:tab w:val="left" w:pos="0"/>
        </w:tabs>
        <w:rPr>
          <w:sz w:val="24"/>
        </w:rPr>
      </w:pPr>
    </w:p>
    <w:p w:rsidR="00B45AD0" w:rsidRDefault="00B45AD0" w:rsidP="00873D5F">
      <w:pPr>
        <w:tabs>
          <w:tab w:val="left" w:pos="0"/>
        </w:tabs>
        <w:spacing w:line="360" w:lineRule="auto"/>
        <w:rPr>
          <w:sz w:val="24"/>
        </w:rPr>
      </w:pPr>
      <w:r>
        <w:rPr>
          <w:sz w:val="24"/>
        </w:rPr>
        <w:tab/>
      </w:r>
      <w:r>
        <w:rPr>
          <w:sz w:val="24"/>
        </w:rPr>
        <w:tab/>
        <w:t>This decision dismisses the complaints of Theodore Presutti because there is insufficient eviden</w:t>
      </w:r>
      <w:r w:rsidR="001461CA">
        <w:rPr>
          <w:sz w:val="24"/>
        </w:rPr>
        <w:t>ce to conclude that he was over</w:t>
      </w:r>
      <w:r>
        <w:rPr>
          <w:sz w:val="24"/>
        </w:rPr>
        <w:t>charged for electric utility service by Duquesne Light Company.</w:t>
      </w:r>
    </w:p>
    <w:p w:rsidR="00B45AD0" w:rsidRDefault="00B45AD0" w:rsidP="00873D5F">
      <w:pPr>
        <w:tabs>
          <w:tab w:val="left" w:pos="0"/>
        </w:tabs>
        <w:spacing w:line="360" w:lineRule="auto"/>
        <w:rPr>
          <w:sz w:val="24"/>
        </w:rPr>
      </w:pPr>
    </w:p>
    <w:p w:rsidR="00B45AD0" w:rsidRPr="009273CA" w:rsidRDefault="00B45AD0" w:rsidP="009273CA">
      <w:pPr>
        <w:tabs>
          <w:tab w:val="left" w:pos="0"/>
        </w:tabs>
        <w:spacing w:line="360" w:lineRule="auto"/>
        <w:jc w:val="center"/>
        <w:rPr>
          <w:sz w:val="24"/>
          <w:u w:val="single"/>
        </w:rPr>
      </w:pPr>
      <w:r w:rsidRPr="009273CA">
        <w:rPr>
          <w:sz w:val="24"/>
          <w:u w:val="single"/>
        </w:rPr>
        <w:t>HISTORY OF THE PROCEEDINGS</w:t>
      </w:r>
    </w:p>
    <w:p w:rsidR="00B45AD0" w:rsidRDefault="00B45AD0" w:rsidP="00873D5F">
      <w:pPr>
        <w:tabs>
          <w:tab w:val="left" w:pos="0"/>
        </w:tabs>
        <w:spacing w:line="360" w:lineRule="auto"/>
        <w:rPr>
          <w:sz w:val="24"/>
        </w:rPr>
      </w:pPr>
    </w:p>
    <w:p w:rsidR="00B45AD0" w:rsidRDefault="00B45AD0" w:rsidP="00873D5F">
      <w:pPr>
        <w:tabs>
          <w:tab w:val="left" w:pos="0"/>
        </w:tabs>
        <w:spacing w:line="360" w:lineRule="auto"/>
        <w:rPr>
          <w:sz w:val="24"/>
        </w:rPr>
      </w:pPr>
      <w:r>
        <w:rPr>
          <w:sz w:val="24"/>
        </w:rPr>
        <w:tab/>
      </w:r>
      <w:r>
        <w:rPr>
          <w:sz w:val="24"/>
        </w:rPr>
        <w:tab/>
        <w:t>On May 4, 2010, Theodore Presutti (Complainant) filed a formal complaint against Duquesne Light Company c</w:t>
      </w:r>
      <w:r w:rsidR="001461CA">
        <w:rPr>
          <w:sz w:val="24"/>
        </w:rPr>
        <w:t>ontending that he had been over</w:t>
      </w:r>
      <w:r>
        <w:rPr>
          <w:sz w:val="24"/>
        </w:rPr>
        <w:t xml:space="preserve">charged for electric utility service in 2008 and 2009, especially in the winter months from December to March.  Duquesne Light answered this complaint, which was docketed at F-2010-2174509, on May 26, 2010.  On May 17, 2010, Mr. Presutti filed a second complaint which was docketed at C-2010-2177251.  This complaint also alleged that he had been overcharged, but included bills in 2010.  He also requested a payment arrangement.  Duquesne Light filed an answer to this complaint on June 11, 2010.  On that date Duquesne Light also filed a motion to consolidate the two complaints. </w:t>
      </w:r>
      <w:r w:rsidR="009324B3">
        <w:rPr>
          <w:sz w:val="24"/>
        </w:rPr>
        <w:t xml:space="preserve"> </w:t>
      </w:r>
      <w:r>
        <w:rPr>
          <w:sz w:val="24"/>
        </w:rPr>
        <w:t xml:space="preserve">This motion was granted by order dated </w:t>
      </w:r>
      <w:r w:rsidR="00C241E3">
        <w:rPr>
          <w:sz w:val="24"/>
        </w:rPr>
        <w:t>May 20, 2011.</w:t>
      </w:r>
    </w:p>
    <w:p w:rsidR="00B72196" w:rsidRDefault="00B72196" w:rsidP="00873D5F">
      <w:pPr>
        <w:tabs>
          <w:tab w:val="left" w:pos="0"/>
        </w:tabs>
        <w:spacing w:line="360" w:lineRule="auto"/>
        <w:rPr>
          <w:sz w:val="24"/>
        </w:rPr>
      </w:pPr>
    </w:p>
    <w:p w:rsidR="00B72196" w:rsidRDefault="00B72196" w:rsidP="00873D5F">
      <w:pPr>
        <w:tabs>
          <w:tab w:val="left" w:pos="0"/>
        </w:tabs>
        <w:spacing w:line="360" w:lineRule="auto"/>
        <w:rPr>
          <w:sz w:val="24"/>
        </w:rPr>
      </w:pPr>
      <w:r>
        <w:rPr>
          <w:sz w:val="24"/>
        </w:rPr>
        <w:tab/>
      </w:r>
      <w:r>
        <w:rPr>
          <w:sz w:val="24"/>
        </w:rPr>
        <w:tab/>
        <w:t xml:space="preserve">By hearing notice </w:t>
      </w:r>
      <w:r w:rsidR="009324B3">
        <w:rPr>
          <w:sz w:val="24"/>
        </w:rPr>
        <w:t xml:space="preserve">dated </w:t>
      </w:r>
      <w:r>
        <w:rPr>
          <w:sz w:val="24"/>
        </w:rPr>
        <w:t xml:space="preserve">June 9, 2011, this matter was assigned to me and set for hearing on July 20, 2011.  </w:t>
      </w:r>
      <w:r w:rsidR="00EB041E">
        <w:rPr>
          <w:sz w:val="24"/>
        </w:rPr>
        <w:t xml:space="preserve">My customary prehearing order was sent on June 10, 2011.  </w:t>
      </w:r>
      <w:r w:rsidR="001A04B8">
        <w:rPr>
          <w:sz w:val="24"/>
        </w:rPr>
        <w:t xml:space="preserve">On </w:t>
      </w:r>
      <w:r w:rsidR="001A04B8">
        <w:rPr>
          <w:sz w:val="24"/>
        </w:rPr>
        <w:lastRenderedPageBreak/>
        <w:t>June </w:t>
      </w:r>
      <w:r>
        <w:rPr>
          <w:sz w:val="24"/>
        </w:rPr>
        <w:t>15, 2011 the Complainant filed a written request for a continuance because he was scheduled for surgery.  The motion was granted and the hearin</w:t>
      </w:r>
      <w:r w:rsidR="001A04B8">
        <w:rPr>
          <w:sz w:val="24"/>
        </w:rPr>
        <w:t>g was rescheduled for September </w:t>
      </w:r>
      <w:r>
        <w:rPr>
          <w:sz w:val="24"/>
        </w:rPr>
        <w:t>27, 2011.</w:t>
      </w:r>
    </w:p>
    <w:p w:rsidR="009146D2" w:rsidRDefault="009146D2" w:rsidP="00873D5F">
      <w:pPr>
        <w:tabs>
          <w:tab w:val="left" w:pos="0"/>
        </w:tabs>
        <w:spacing w:line="360" w:lineRule="auto"/>
        <w:rPr>
          <w:sz w:val="24"/>
        </w:rPr>
      </w:pPr>
    </w:p>
    <w:p w:rsidR="00E65FFF" w:rsidRDefault="009146D2" w:rsidP="00873D5F">
      <w:pPr>
        <w:tabs>
          <w:tab w:val="left" w:pos="0"/>
        </w:tabs>
        <w:spacing w:line="360" w:lineRule="auto"/>
        <w:rPr>
          <w:sz w:val="24"/>
        </w:rPr>
      </w:pPr>
      <w:r>
        <w:rPr>
          <w:sz w:val="24"/>
        </w:rPr>
        <w:tab/>
      </w:r>
      <w:r>
        <w:rPr>
          <w:sz w:val="24"/>
        </w:rPr>
        <w:tab/>
        <w:t xml:space="preserve">The hearing was held by telephone from the Commission’s offices in Pittsburgh.  Mr. Presutti appeared on his own behalf. </w:t>
      </w:r>
      <w:r w:rsidR="009324B3">
        <w:rPr>
          <w:sz w:val="24"/>
        </w:rPr>
        <w:t xml:space="preserve"> </w:t>
      </w:r>
      <w:r>
        <w:rPr>
          <w:sz w:val="24"/>
        </w:rPr>
        <w:t xml:space="preserve">He presented no documents for admission into evidence and only offered his own testimony. </w:t>
      </w:r>
      <w:r w:rsidR="009324B3">
        <w:rPr>
          <w:sz w:val="24"/>
        </w:rPr>
        <w:t xml:space="preserve"> </w:t>
      </w:r>
      <w:r>
        <w:rPr>
          <w:sz w:val="24"/>
        </w:rPr>
        <w:t xml:space="preserve">Duquesne Light was represented by Jennifer L. Allison, Esquire.  Duquesne Light proffered the testimony of three witnesses.  Seven exhibits were admitted into the record without objection.  The hearing generated a transcript of </w:t>
      </w:r>
      <w:r w:rsidR="006F2A2E">
        <w:rPr>
          <w:sz w:val="24"/>
        </w:rPr>
        <w:t xml:space="preserve">102 pages.  </w:t>
      </w:r>
      <w:r w:rsidR="00E65FFF">
        <w:rPr>
          <w:sz w:val="24"/>
        </w:rPr>
        <w:t xml:space="preserve">The record was closed by order dated October 17, 2011.  </w:t>
      </w:r>
    </w:p>
    <w:p w:rsidR="00E65FFF" w:rsidRDefault="00E65FFF" w:rsidP="00873D5F">
      <w:pPr>
        <w:tabs>
          <w:tab w:val="left" w:pos="0"/>
        </w:tabs>
        <w:spacing w:line="360" w:lineRule="auto"/>
        <w:rPr>
          <w:sz w:val="24"/>
        </w:rPr>
      </w:pPr>
    </w:p>
    <w:p w:rsidR="009146D2" w:rsidRDefault="00E65FFF" w:rsidP="00873D5F">
      <w:pPr>
        <w:tabs>
          <w:tab w:val="left" w:pos="0"/>
        </w:tabs>
        <w:spacing w:line="360" w:lineRule="auto"/>
        <w:rPr>
          <w:sz w:val="24"/>
        </w:rPr>
      </w:pPr>
      <w:r>
        <w:rPr>
          <w:sz w:val="24"/>
        </w:rPr>
        <w:tab/>
      </w:r>
      <w:r>
        <w:rPr>
          <w:sz w:val="24"/>
        </w:rPr>
        <w:tab/>
        <w:t>After full consideration of the record in this case, I make the following:</w:t>
      </w:r>
    </w:p>
    <w:p w:rsidR="009C0145" w:rsidRDefault="009C0145" w:rsidP="00873D5F">
      <w:pPr>
        <w:tabs>
          <w:tab w:val="left" w:pos="0"/>
        </w:tabs>
        <w:spacing w:line="360" w:lineRule="auto"/>
        <w:rPr>
          <w:sz w:val="24"/>
        </w:rPr>
      </w:pPr>
    </w:p>
    <w:p w:rsidR="00E65FFF" w:rsidRPr="009273CA" w:rsidRDefault="00E65FFF" w:rsidP="009273CA">
      <w:pPr>
        <w:tabs>
          <w:tab w:val="left" w:pos="0"/>
        </w:tabs>
        <w:spacing w:line="360" w:lineRule="auto"/>
        <w:jc w:val="center"/>
        <w:rPr>
          <w:sz w:val="24"/>
          <w:u w:val="single"/>
        </w:rPr>
      </w:pPr>
      <w:r w:rsidRPr="009273CA">
        <w:rPr>
          <w:sz w:val="24"/>
          <w:u w:val="single"/>
        </w:rPr>
        <w:t>FINDINGS OF FACT</w:t>
      </w:r>
    </w:p>
    <w:p w:rsidR="00E65FFF" w:rsidRDefault="00E65FFF" w:rsidP="00873D5F">
      <w:pPr>
        <w:tabs>
          <w:tab w:val="left" w:pos="0"/>
        </w:tabs>
        <w:spacing w:line="360" w:lineRule="auto"/>
        <w:rPr>
          <w:sz w:val="24"/>
        </w:rPr>
      </w:pPr>
    </w:p>
    <w:p w:rsidR="00E65FFF" w:rsidRDefault="00F31256" w:rsidP="00F31256">
      <w:pPr>
        <w:pStyle w:val="ListParagraph"/>
        <w:numPr>
          <w:ilvl w:val="0"/>
          <w:numId w:val="4"/>
        </w:numPr>
        <w:tabs>
          <w:tab w:val="left" w:pos="0"/>
        </w:tabs>
        <w:spacing w:line="360" w:lineRule="auto"/>
        <w:rPr>
          <w:sz w:val="24"/>
        </w:rPr>
      </w:pPr>
      <w:r>
        <w:rPr>
          <w:sz w:val="24"/>
        </w:rPr>
        <w:t>Mr. Theodore Presutti resides at 409 Forest Hill</w:t>
      </w:r>
      <w:r w:rsidRPr="00F31256">
        <w:rPr>
          <w:sz w:val="24"/>
        </w:rPr>
        <w:t xml:space="preserve"> Road, Industry</w:t>
      </w:r>
      <w:r w:rsidR="004F53DA">
        <w:rPr>
          <w:sz w:val="24"/>
        </w:rPr>
        <w:t>,</w:t>
      </w:r>
      <w:r w:rsidRPr="00F31256">
        <w:rPr>
          <w:sz w:val="24"/>
        </w:rPr>
        <w:t xml:space="preserve"> Pennsylvania with his college-age daughter.</w:t>
      </w:r>
      <w:r>
        <w:rPr>
          <w:sz w:val="24"/>
        </w:rPr>
        <w:t xml:space="preserve"> </w:t>
      </w:r>
      <w:r w:rsidR="009324B3">
        <w:rPr>
          <w:sz w:val="24"/>
        </w:rPr>
        <w:t xml:space="preserve"> </w:t>
      </w:r>
      <w:r>
        <w:rPr>
          <w:sz w:val="24"/>
        </w:rPr>
        <w:t>He built this house and has lived there since 2006.  (Complaint; N.T. 29, 42)</w:t>
      </w:r>
    </w:p>
    <w:p w:rsidR="00322780" w:rsidRDefault="00322780" w:rsidP="00322780">
      <w:pPr>
        <w:pStyle w:val="ListParagraph"/>
        <w:tabs>
          <w:tab w:val="left" w:pos="0"/>
        </w:tabs>
        <w:spacing w:line="360" w:lineRule="auto"/>
        <w:ind w:left="1440"/>
        <w:rPr>
          <w:sz w:val="24"/>
        </w:rPr>
      </w:pPr>
    </w:p>
    <w:p w:rsidR="00F31256" w:rsidRDefault="00F31256" w:rsidP="00F31256">
      <w:pPr>
        <w:pStyle w:val="ListParagraph"/>
        <w:numPr>
          <w:ilvl w:val="0"/>
          <w:numId w:val="4"/>
        </w:numPr>
        <w:tabs>
          <w:tab w:val="left" w:pos="0"/>
        </w:tabs>
        <w:spacing w:line="360" w:lineRule="auto"/>
        <w:rPr>
          <w:sz w:val="24"/>
        </w:rPr>
      </w:pPr>
      <w:r>
        <w:rPr>
          <w:sz w:val="24"/>
        </w:rPr>
        <w:t>Duquesne Light Company provides residential electricity service to Mr.</w:t>
      </w:r>
      <w:r w:rsidR="009324B3">
        <w:rPr>
          <w:sz w:val="24"/>
        </w:rPr>
        <w:t> </w:t>
      </w:r>
      <w:r>
        <w:rPr>
          <w:sz w:val="24"/>
        </w:rPr>
        <w:t>Presutti at that address.</w:t>
      </w:r>
    </w:p>
    <w:p w:rsidR="00322780" w:rsidRDefault="00322780" w:rsidP="00322780">
      <w:pPr>
        <w:pStyle w:val="ListParagraph"/>
        <w:tabs>
          <w:tab w:val="left" w:pos="0"/>
        </w:tabs>
        <w:spacing w:line="360" w:lineRule="auto"/>
        <w:ind w:left="1440"/>
        <w:rPr>
          <w:sz w:val="24"/>
        </w:rPr>
      </w:pPr>
    </w:p>
    <w:p w:rsidR="00F31256" w:rsidRDefault="00F31256" w:rsidP="00F31256">
      <w:pPr>
        <w:pStyle w:val="ListParagraph"/>
        <w:numPr>
          <w:ilvl w:val="0"/>
          <w:numId w:val="4"/>
        </w:numPr>
        <w:tabs>
          <w:tab w:val="left" w:pos="0"/>
        </w:tabs>
        <w:spacing w:line="360" w:lineRule="auto"/>
        <w:rPr>
          <w:sz w:val="24"/>
        </w:rPr>
      </w:pPr>
      <w:r>
        <w:rPr>
          <w:sz w:val="24"/>
        </w:rPr>
        <w:t>Mr. Presutti lives in a single-family home that is approximately 2</w:t>
      </w:r>
      <w:r w:rsidR="001461CA">
        <w:rPr>
          <w:sz w:val="24"/>
        </w:rPr>
        <w:t>,</w:t>
      </w:r>
      <w:r>
        <w:rPr>
          <w:sz w:val="24"/>
        </w:rPr>
        <w:t>240 square feet.</w:t>
      </w:r>
      <w:r w:rsidR="009324B3">
        <w:rPr>
          <w:sz w:val="24"/>
        </w:rPr>
        <w:t xml:space="preserve"> </w:t>
      </w:r>
      <w:r>
        <w:rPr>
          <w:sz w:val="24"/>
        </w:rPr>
        <w:t xml:space="preserve"> It includes three bedrooms and three-and-a-half bathrooms.  All of his appliances are electric, including a grinder pump, televisions, two hot tubs, computer, dishwasher, </w:t>
      </w:r>
      <w:r w:rsidR="00977C13">
        <w:rPr>
          <w:sz w:val="24"/>
        </w:rPr>
        <w:t>refrigerator</w:t>
      </w:r>
      <w:r>
        <w:rPr>
          <w:sz w:val="24"/>
        </w:rPr>
        <w:t xml:space="preserve">, upright freezer, washer, dryer and a heat pump for heat and air conditioning. </w:t>
      </w:r>
      <w:r w:rsidR="009324B3">
        <w:rPr>
          <w:sz w:val="24"/>
        </w:rPr>
        <w:t xml:space="preserve"> </w:t>
      </w:r>
      <w:r>
        <w:rPr>
          <w:sz w:val="24"/>
        </w:rPr>
        <w:t xml:space="preserve">Many of these appliances are energy-efficient or energy star appliances. </w:t>
      </w:r>
      <w:r w:rsidR="009324B3">
        <w:rPr>
          <w:sz w:val="24"/>
        </w:rPr>
        <w:t xml:space="preserve"> </w:t>
      </w:r>
      <w:r>
        <w:rPr>
          <w:sz w:val="24"/>
        </w:rPr>
        <w:t>(N.T. 30-32)</w:t>
      </w:r>
    </w:p>
    <w:p w:rsidR="00322780" w:rsidRDefault="00322780" w:rsidP="00322780">
      <w:pPr>
        <w:pStyle w:val="ListParagraph"/>
        <w:tabs>
          <w:tab w:val="left" w:pos="0"/>
        </w:tabs>
        <w:spacing w:line="360" w:lineRule="auto"/>
        <w:ind w:left="1440"/>
        <w:rPr>
          <w:sz w:val="24"/>
        </w:rPr>
      </w:pPr>
    </w:p>
    <w:p w:rsidR="00B06237" w:rsidRDefault="00B06237" w:rsidP="00F31256">
      <w:pPr>
        <w:pStyle w:val="ListParagraph"/>
        <w:numPr>
          <w:ilvl w:val="0"/>
          <w:numId w:val="4"/>
        </w:numPr>
        <w:tabs>
          <w:tab w:val="left" w:pos="0"/>
        </w:tabs>
        <w:spacing w:line="360" w:lineRule="auto"/>
        <w:rPr>
          <w:sz w:val="24"/>
        </w:rPr>
      </w:pPr>
      <w:r>
        <w:rPr>
          <w:sz w:val="24"/>
        </w:rPr>
        <w:t xml:space="preserve">Mr. Presutti works as a casino dealer. </w:t>
      </w:r>
      <w:r w:rsidR="009324B3">
        <w:rPr>
          <w:sz w:val="24"/>
        </w:rPr>
        <w:t xml:space="preserve"> </w:t>
      </w:r>
      <w:r w:rsidR="00565C6B">
        <w:rPr>
          <w:sz w:val="24"/>
        </w:rPr>
        <w:t xml:space="preserve">His employer pays him $4.00 per hour.  </w:t>
      </w:r>
      <w:r>
        <w:rPr>
          <w:sz w:val="24"/>
        </w:rPr>
        <w:t xml:space="preserve">His income is based largely on tips and </w:t>
      </w:r>
      <w:r w:rsidR="00565C6B">
        <w:rPr>
          <w:sz w:val="24"/>
        </w:rPr>
        <w:t>averages</w:t>
      </w:r>
      <w:r>
        <w:rPr>
          <w:sz w:val="24"/>
        </w:rPr>
        <w:t xml:space="preserve"> $</w:t>
      </w:r>
      <w:r w:rsidR="00565C6B">
        <w:rPr>
          <w:sz w:val="24"/>
        </w:rPr>
        <w:t>1,2</w:t>
      </w:r>
      <w:r>
        <w:rPr>
          <w:sz w:val="24"/>
        </w:rPr>
        <w:t xml:space="preserve">00 to $1,300 every two weeks. </w:t>
      </w:r>
      <w:r w:rsidR="009324B3">
        <w:rPr>
          <w:sz w:val="24"/>
        </w:rPr>
        <w:t xml:space="preserve"> </w:t>
      </w:r>
      <w:r>
        <w:rPr>
          <w:sz w:val="24"/>
        </w:rPr>
        <w:t xml:space="preserve">His daughter is a full-time student and does not work. </w:t>
      </w:r>
      <w:r w:rsidR="009324B3">
        <w:rPr>
          <w:sz w:val="24"/>
        </w:rPr>
        <w:t xml:space="preserve"> </w:t>
      </w:r>
      <w:r>
        <w:rPr>
          <w:sz w:val="24"/>
        </w:rPr>
        <w:t>(N.T. 96)</w:t>
      </w:r>
    </w:p>
    <w:p w:rsidR="001A04B8" w:rsidRDefault="001A04B8" w:rsidP="001A04B8">
      <w:pPr>
        <w:pStyle w:val="ListParagraph"/>
        <w:tabs>
          <w:tab w:val="left" w:pos="0"/>
        </w:tabs>
        <w:spacing w:line="360" w:lineRule="auto"/>
        <w:ind w:left="1440"/>
        <w:rPr>
          <w:sz w:val="24"/>
        </w:rPr>
      </w:pPr>
    </w:p>
    <w:p w:rsidR="009C0145" w:rsidRDefault="009C0145" w:rsidP="00F31256">
      <w:pPr>
        <w:pStyle w:val="ListParagraph"/>
        <w:numPr>
          <w:ilvl w:val="0"/>
          <w:numId w:val="4"/>
        </w:numPr>
        <w:tabs>
          <w:tab w:val="left" w:pos="0"/>
        </w:tabs>
        <w:spacing w:line="360" w:lineRule="auto"/>
        <w:rPr>
          <w:sz w:val="24"/>
        </w:rPr>
      </w:pPr>
      <w:r>
        <w:rPr>
          <w:sz w:val="24"/>
        </w:rPr>
        <w:lastRenderedPageBreak/>
        <w:t xml:space="preserve">Mr. Presutti has a digital thermostat on his heating and air conditioning system and he does not often change the temperature. </w:t>
      </w:r>
      <w:r w:rsidR="009324B3">
        <w:rPr>
          <w:sz w:val="24"/>
        </w:rPr>
        <w:t xml:space="preserve"> </w:t>
      </w:r>
      <w:r>
        <w:rPr>
          <w:sz w:val="24"/>
        </w:rPr>
        <w:t>Typically the</w:t>
      </w:r>
      <w:r w:rsidR="00787C7F">
        <w:rPr>
          <w:sz w:val="24"/>
        </w:rPr>
        <w:t xml:space="preserve"> thermostat is set between 70 and 72 degrees when he is home, but it is turned down to 68 or 69 when he leaves. </w:t>
      </w:r>
      <w:r w:rsidR="009324B3">
        <w:rPr>
          <w:sz w:val="24"/>
        </w:rPr>
        <w:t xml:space="preserve"> </w:t>
      </w:r>
      <w:r w:rsidR="00787C7F">
        <w:rPr>
          <w:sz w:val="24"/>
        </w:rPr>
        <w:t>(N.T. 40)</w:t>
      </w:r>
    </w:p>
    <w:p w:rsidR="00322780" w:rsidRDefault="00322780" w:rsidP="00322780">
      <w:pPr>
        <w:pStyle w:val="ListParagraph"/>
        <w:tabs>
          <w:tab w:val="left" w:pos="0"/>
        </w:tabs>
        <w:spacing w:line="360" w:lineRule="auto"/>
        <w:ind w:left="1440"/>
        <w:rPr>
          <w:sz w:val="24"/>
        </w:rPr>
      </w:pPr>
    </w:p>
    <w:p w:rsidR="00A5082E" w:rsidRDefault="00A5082E" w:rsidP="00F31256">
      <w:pPr>
        <w:pStyle w:val="ListParagraph"/>
        <w:numPr>
          <w:ilvl w:val="0"/>
          <w:numId w:val="4"/>
        </w:numPr>
        <w:tabs>
          <w:tab w:val="left" w:pos="0"/>
        </w:tabs>
        <w:spacing w:line="360" w:lineRule="auto"/>
        <w:rPr>
          <w:sz w:val="24"/>
        </w:rPr>
      </w:pPr>
      <w:r>
        <w:rPr>
          <w:sz w:val="24"/>
        </w:rPr>
        <w:t>Mr. Presutti’s</w:t>
      </w:r>
      <w:r w:rsidR="00A273B2">
        <w:rPr>
          <w:sz w:val="24"/>
        </w:rPr>
        <w:t xml:space="preserve"> annual daily </w:t>
      </w:r>
      <w:r>
        <w:rPr>
          <w:sz w:val="24"/>
        </w:rPr>
        <w:t xml:space="preserve">average </w:t>
      </w:r>
      <w:r w:rsidR="00A273B2">
        <w:rPr>
          <w:sz w:val="24"/>
        </w:rPr>
        <w:t>electricity</w:t>
      </w:r>
      <w:r>
        <w:rPr>
          <w:sz w:val="24"/>
        </w:rPr>
        <w:t xml:space="preserve"> </w:t>
      </w:r>
      <w:r w:rsidR="002F7B40">
        <w:rPr>
          <w:sz w:val="24"/>
        </w:rPr>
        <w:t xml:space="preserve">consumption </w:t>
      </w:r>
      <w:r>
        <w:rPr>
          <w:sz w:val="24"/>
        </w:rPr>
        <w:t>remains consistent</w:t>
      </w:r>
      <w:r w:rsidR="002F7B40">
        <w:rPr>
          <w:sz w:val="24"/>
        </w:rPr>
        <w:t xml:space="preserve"> from year to year</w:t>
      </w:r>
      <w:r>
        <w:rPr>
          <w:sz w:val="24"/>
        </w:rPr>
        <w:t>, ranging from an average of 75.3 to 84.5</w:t>
      </w:r>
      <w:r w:rsidR="001461CA">
        <w:rPr>
          <w:sz w:val="24"/>
        </w:rPr>
        <w:t xml:space="preserve"> kwH</w:t>
      </w:r>
      <w:r>
        <w:rPr>
          <w:sz w:val="24"/>
        </w:rPr>
        <w:t>.  (N.T. 50-51; Duquesne Light Ex. 4)</w:t>
      </w:r>
    </w:p>
    <w:p w:rsidR="00322780" w:rsidRDefault="00322780" w:rsidP="00322780">
      <w:pPr>
        <w:pStyle w:val="ListParagraph"/>
        <w:tabs>
          <w:tab w:val="left" w:pos="0"/>
        </w:tabs>
        <w:spacing w:line="360" w:lineRule="auto"/>
        <w:ind w:left="1440"/>
        <w:rPr>
          <w:sz w:val="24"/>
        </w:rPr>
      </w:pPr>
    </w:p>
    <w:p w:rsidR="00B25187" w:rsidRDefault="00B25187" w:rsidP="00F31256">
      <w:pPr>
        <w:pStyle w:val="ListParagraph"/>
        <w:numPr>
          <w:ilvl w:val="0"/>
          <w:numId w:val="4"/>
        </w:numPr>
        <w:tabs>
          <w:tab w:val="left" w:pos="0"/>
        </w:tabs>
        <w:spacing w:line="360" w:lineRule="auto"/>
        <w:rPr>
          <w:sz w:val="24"/>
        </w:rPr>
      </w:pPr>
      <w:r>
        <w:rPr>
          <w:sz w:val="24"/>
        </w:rPr>
        <w:t xml:space="preserve">Many of Mr. Presutti’s bills presented different amounts due for the same amount of consumption. </w:t>
      </w:r>
      <w:r w:rsidR="009324B3">
        <w:rPr>
          <w:sz w:val="24"/>
        </w:rPr>
        <w:t xml:space="preserve"> </w:t>
      </w:r>
      <w:r>
        <w:rPr>
          <w:sz w:val="24"/>
        </w:rPr>
        <w:t xml:space="preserve">He especially noticed that the amount due began “jumping” around January or February 2008.  Sometimes he consumes less electricity, but his bill is higher, especially when he compares a winter bill </w:t>
      </w:r>
      <w:r w:rsidR="004F53DA">
        <w:rPr>
          <w:sz w:val="24"/>
        </w:rPr>
        <w:t>to a spring bill.  (N.T. 17-45)</w:t>
      </w:r>
    </w:p>
    <w:p w:rsidR="00322780" w:rsidRDefault="00322780" w:rsidP="00322780">
      <w:pPr>
        <w:pStyle w:val="ListParagraph"/>
        <w:tabs>
          <w:tab w:val="left" w:pos="0"/>
        </w:tabs>
        <w:spacing w:line="360" w:lineRule="auto"/>
        <w:ind w:left="1440"/>
        <w:rPr>
          <w:sz w:val="24"/>
        </w:rPr>
      </w:pPr>
    </w:p>
    <w:p w:rsidR="0095565B" w:rsidRDefault="0095565B" w:rsidP="00F31256">
      <w:pPr>
        <w:pStyle w:val="ListParagraph"/>
        <w:numPr>
          <w:ilvl w:val="0"/>
          <w:numId w:val="4"/>
        </w:numPr>
        <w:tabs>
          <w:tab w:val="left" w:pos="0"/>
        </w:tabs>
        <w:spacing w:line="360" w:lineRule="auto"/>
        <w:rPr>
          <w:sz w:val="24"/>
        </w:rPr>
      </w:pPr>
      <w:r>
        <w:rPr>
          <w:sz w:val="24"/>
        </w:rPr>
        <w:t xml:space="preserve">Mr. Presutti’s meter has been tested twice by Duquesne Light, in March 2009 and July 2011.  Both tests revealed that the meter was operating within an acceptable range and was registering Mr. Presutti’s consumption accurately. </w:t>
      </w:r>
      <w:r w:rsidR="009324B3">
        <w:rPr>
          <w:sz w:val="24"/>
        </w:rPr>
        <w:t xml:space="preserve"> </w:t>
      </w:r>
      <w:r>
        <w:rPr>
          <w:sz w:val="24"/>
        </w:rPr>
        <w:t>(N.T. 52-56</w:t>
      </w:r>
      <w:r w:rsidR="004F53DA">
        <w:rPr>
          <w:sz w:val="24"/>
        </w:rPr>
        <w:t>,</w:t>
      </w:r>
      <w:r>
        <w:rPr>
          <w:sz w:val="24"/>
        </w:rPr>
        <w:t xml:space="preserve"> 64-67; Duquesne Light Exs. 2, 3)</w:t>
      </w:r>
    </w:p>
    <w:p w:rsidR="00322780" w:rsidRDefault="00322780" w:rsidP="00322780">
      <w:pPr>
        <w:pStyle w:val="ListParagraph"/>
        <w:tabs>
          <w:tab w:val="left" w:pos="0"/>
        </w:tabs>
        <w:spacing w:line="360" w:lineRule="auto"/>
        <w:ind w:left="1440"/>
        <w:rPr>
          <w:sz w:val="24"/>
        </w:rPr>
      </w:pPr>
    </w:p>
    <w:p w:rsidR="00946356" w:rsidRDefault="00946356" w:rsidP="00F31256">
      <w:pPr>
        <w:pStyle w:val="ListParagraph"/>
        <w:numPr>
          <w:ilvl w:val="0"/>
          <w:numId w:val="4"/>
        </w:numPr>
        <w:tabs>
          <w:tab w:val="left" w:pos="0"/>
        </w:tabs>
        <w:spacing w:line="360" w:lineRule="auto"/>
        <w:rPr>
          <w:sz w:val="24"/>
        </w:rPr>
      </w:pPr>
      <w:r>
        <w:rPr>
          <w:sz w:val="24"/>
        </w:rPr>
        <w:t xml:space="preserve">Since 2007, the rates and surcharges charged by Duquesne Light for residential electricity service have changed 29 times. </w:t>
      </w:r>
      <w:r w:rsidR="009324B3">
        <w:rPr>
          <w:sz w:val="24"/>
        </w:rPr>
        <w:t xml:space="preserve"> </w:t>
      </w:r>
      <w:r>
        <w:rPr>
          <w:sz w:val="24"/>
        </w:rPr>
        <w:t>Some of these rate changes include increases, while other</w:t>
      </w:r>
      <w:r w:rsidR="009324B3">
        <w:rPr>
          <w:sz w:val="24"/>
        </w:rPr>
        <w:t>s</w:t>
      </w:r>
      <w:r>
        <w:rPr>
          <w:sz w:val="24"/>
        </w:rPr>
        <w:t xml:space="preserve"> are decreases.  Some charges on a customer’s bill are flat per-customer charges, while others are based on consumption. </w:t>
      </w:r>
      <w:r w:rsidR="009324B3">
        <w:rPr>
          <w:sz w:val="24"/>
        </w:rPr>
        <w:t xml:space="preserve"> </w:t>
      </w:r>
      <w:r>
        <w:rPr>
          <w:sz w:val="24"/>
        </w:rPr>
        <w:t>(N.T. 79, 90)</w:t>
      </w:r>
    </w:p>
    <w:p w:rsidR="00322780" w:rsidRDefault="00322780" w:rsidP="00322780">
      <w:pPr>
        <w:pStyle w:val="ListParagraph"/>
        <w:tabs>
          <w:tab w:val="left" w:pos="0"/>
        </w:tabs>
        <w:spacing w:line="360" w:lineRule="auto"/>
        <w:ind w:left="1440"/>
        <w:rPr>
          <w:sz w:val="24"/>
        </w:rPr>
      </w:pPr>
    </w:p>
    <w:p w:rsidR="006C3F6C" w:rsidRDefault="006C3F6C" w:rsidP="00F31256">
      <w:pPr>
        <w:pStyle w:val="ListParagraph"/>
        <w:numPr>
          <w:ilvl w:val="0"/>
          <w:numId w:val="4"/>
        </w:numPr>
        <w:tabs>
          <w:tab w:val="left" w:pos="0"/>
        </w:tabs>
        <w:spacing w:line="360" w:lineRule="auto"/>
        <w:rPr>
          <w:sz w:val="24"/>
        </w:rPr>
      </w:pPr>
      <w:r>
        <w:rPr>
          <w:sz w:val="24"/>
        </w:rPr>
        <w:t xml:space="preserve">In January 2011, increased supply rates went into effect in which Duquesne Light moved from </w:t>
      </w:r>
      <w:r w:rsidR="001E3FF0">
        <w:rPr>
          <w:sz w:val="24"/>
        </w:rPr>
        <w:t>a declining block rate structure</w:t>
      </w:r>
      <w:r>
        <w:rPr>
          <w:sz w:val="24"/>
        </w:rPr>
        <w:t xml:space="preserve"> to a single block rate</w:t>
      </w:r>
      <w:r w:rsidR="001E3FF0">
        <w:rPr>
          <w:sz w:val="24"/>
        </w:rPr>
        <w:t xml:space="preserve"> structure</w:t>
      </w:r>
      <w:r>
        <w:rPr>
          <w:sz w:val="24"/>
        </w:rPr>
        <w:t xml:space="preserve">.  </w:t>
      </w:r>
      <w:r w:rsidR="00F27A2B">
        <w:rPr>
          <w:sz w:val="24"/>
        </w:rPr>
        <w:t xml:space="preserve">Duquesne Light also </w:t>
      </w:r>
      <w:r w:rsidR="00A027A6">
        <w:rPr>
          <w:sz w:val="24"/>
        </w:rPr>
        <w:t xml:space="preserve">phased out </w:t>
      </w:r>
      <w:r w:rsidR="00F27A2B">
        <w:rPr>
          <w:sz w:val="24"/>
        </w:rPr>
        <w:t xml:space="preserve">a discount offered for electric heating. </w:t>
      </w:r>
      <w:r>
        <w:rPr>
          <w:sz w:val="24"/>
        </w:rPr>
        <w:t xml:space="preserve"> </w:t>
      </w:r>
      <w:r w:rsidR="001E3FF0">
        <w:rPr>
          <w:sz w:val="24"/>
        </w:rPr>
        <w:t xml:space="preserve">In </w:t>
      </w:r>
      <w:r>
        <w:rPr>
          <w:sz w:val="24"/>
        </w:rPr>
        <w:t xml:space="preserve">April 2011, new, increased distribution rates went into effect.  </w:t>
      </w:r>
      <w:r w:rsidR="00F27A2B">
        <w:rPr>
          <w:sz w:val="24"/>
        </w:rPr>
        <w:t>(N.T. 71-73)</w:t>
      </w:r>
    </w:p>
    <w:p w:rsidR="00322780" w:rsidRDefault="00322780" w:rsidP="00322780">
      <w:pPr>
        <w:pStyle w:val="ListParagraph"/>
        <w:tabs>
          <w:tab w:val="left" w:pos="0"/>
        </w:tabs>
        <w:spacing w:line="360" w:lineRule="auto"/>
        <w:ind w:left="1440"/>
        <w:rPr>
          <w:sz w:val="24"/>
        </w:rPr>
      </w:pPr>
    </w:p>
    <w:p w:rsidR="00F27A2B" w:rsidRDefault="00F27A2B" w:rsidP="00F31256">
      <w:pPr>
        <w:pStyle w:val="ListParagraph"/>
        <w:numPr>
          <w:ilvl w:val="0"/>
          <w:numId w:val="4"/>
        </w:numPr>
        <w:tabs>
          <w:tab w:val="left" w:pos="0"/>
        </w:tabs>
        <w:spacing w:line="360" w:lineRule="auto"/>
        <w:rPr>
          <w:sz w:val="24"/>
        </w:rPr>
      </w:pPr>
      <w:r>
        <w:rPr>
          <w:sz w:val="24"/>
        </w:rPr>
        <w:t>Duquesne Light’s transmission rates also change every June 1</w:t>
      </w:r>
      <w:r w:rsidRPr="00F27A2B">
        <w:rPr>
          <w:sz w:val="24"/>
          <w:vertAlign w:val="superscript"/>
        </w:rPr>
        <w:t>st</w:t>
      </w:r>
      <w:r>
        <w:rPr>
          <w:sz w:val="24"/>
        </w:rPr>
        <w:t>.</w:t>
      </w:r>
      <w:r w:rsidR="009324B3">
        <w:rPr>
          <w:sz w:val="24"/>
        </w:rPr>
        <w:t xml:space="preserve"> </w:t>
      </w:r>
      <w:r>
        <w:rPr>
          <w:sz w:val="24"/>
        </w:rPr>
        <w:t xml:space="preserve"> (N.T. 75)</w:t>
      </w:r>
    </w:p>
    <w:p w:rsidR="00322780" w:rsidRDefault="00322780" w:rsidP="00322780">
      <w:pPr>
        <w:pStyle w:val="ListParagraph"/>
        <w:tabs>
          <w:tab w:val="left" w:pos="0"/>
        </w:tabs>
        <w:spacing w:line="360" w:lineRule="auto"/>
        <w:ind w:left="1440"/>
        <w:rPr>
          <w:sz w:val="24"/>
        </w:rPr>
      </w:pPr>
    </w:p>
    <w:p w:rsidR="00465EC2" w:rsidRDefault="00F27A2B" w:rsidP="00465EC2">
      <w:pPr>
        <w:pStyle w:val="ListParagraph"/>
        <w:numPr>
          <w:ilvl w:val="0"/>
          <w:numId w:val="4"/>
        </w:numPr>
        <w:tabs>
          <w:tab w:val="left" w:pos="0"/>
        </w:tabs>
        <w:spacing w:line="360" w:lineRule="auto"/>
        <w:rPr>
          <w:sz w:val="24"/>
        </w:rPr>
      </w:pPr>
      <w:r>
        <w:rPr>
          <w:sz w:val="24"/>
        </w:rPr>
        <w:t xml:space="preserve">In addition to supply, distribution and transmission charges, Duquesne Light includes Commission-approved surcharges which include a smart meter rider, energy </w:t>
      </w:r>
      <w:r>
        <w:rPr>
          <w:sz w:val="24"/>
        </w:rPr>
        <w:lastRenderedPageBreak/>
        <w:t xml:space="preserve">efficiency rider and a universal service charge.  </w:t>
      </w:r>
      <w:r w:rsidR="00465EC2">
        <w:rPr>
          <w:sz w:val="24"/>
        </w:rPr>
        <w:t xml:space="preserve">Some of these charges change quarterly, while others change annually. </w:t>
      </w:r>
      <w:r w:rsidR="009324B3">
        <w:rPr>
          <w:sz w:val="24"/>
        </w:rPr>
        <w:t xml:space="preserve"> </w:t>
      </w:r>
      <w:r w:rsidR="00465EC2">
        <w:rPr>
          <w:sz w:val="24"/>
        </w:rPr>
        <w:t>These surcharges were introduced in 2010.  (N.T. 74-79)</w:t>
      </w:r>
    </w:p>
    <w:p w:rsidR="00322780" w:rsidRDefault="00322780" w:rsidP="00322780">
      <w:pPr>
        <w:pStyle w:val="ListParagraph"/>
        <w:tabs>
          <w:tab w:val="left" w:pos="0"/>
        </w:tabs>
        <w:spacing w:line="360" w:lineRule="auto"/>
        <w:ind w:left="1440"/>
        <w:rPr>
          <w:sz w:val="24"/>
        </w:rPr>
      </w:pPr>
    </w:p>
    <w:p w:rsidR="00322780" w:rsidRPr="001E3FF0" w:rsidRDefault="00A010AD" w:rsidP="00465EC2">
      <w:pPr>
        <w:pStyle w:val="ListParagraph"/>
        <w:numPr>
          <w:ilvl w:val="0"/>
          <w:numId w:val="4"/>
        </w:numPr>
        <w:tabs>
          <w:tab w:val="left" w:pos="0"/>
        </w:tabs>
        <w:spacing w:line="360" w:lineRule="auto"/>
        <w:rPr>
          <w:sz w:val="24"/>
        </w:rPr>
      </w:pPr>
      <w:r w:rsidRPr="001E3FF0">
        <w:rPr>
          <w:sz w:val="24"/>
        </w:rPr>
        <w:t xml:space="preserve">Ribeka Garrity, a Duquesne Light rate analyst ran several sample bill impact calculations to determine whether Mr. Presutti was being charged the correct rates. </w:t>
      </w:r>
      <w:r w:rsidR="009324B3">
        <w:rPr>
          <w:sz w:val="24"/>
        </w:rPr>
        <w:t xml:space="preserve"> </w:t>
      </w:r>
      <w:r w:rsidRPr="001E3FF0">
        <w:rPr>
          <w:sz w:val="24"/>
        </w:rPr>
        <w:t>Her analysis revealed that the rates charged on the bills that she analyzed were correct.</w:t>
      </w:r>
      <w:r w:rsidR="009324B3">
        <w:rPr>
          <w:sz w:val="24"/>
        </w:rPr>
        <w:t xml:space="preserve"> </w:t>
      </w:r>
      <w:r w:rsidRPr="001E3FF0">
        <w:rPr>
          <w:sz w:val="24"/>
        </w:rPr>
        <w:t xml:space="preserve"> (N.T. 69-70)</w:t>
      </w:r>
      <w:r w:rsidR="00322780" w:rsidRPr="001E3FF0">
        <w:rPr>
          <w:sz w:val="24"/>
        </w:rPr>
        <w:t xml:space="preserve"> </w:t>
      </w:r>
    </w:p>
    <w:p w:rsidR="001E3FF0" w:rsidRDefault="001E3FF0" w:rsidP="00322780">
      <w:pPr>
        <w:tabs>
          <w:tab w:val="left" w:pos="0"/>
        </w:tabs>
        <w:spacing w:line="360" w:lineRule="auto"/>
        <w:jc w:val="center"/>
        <w:rPr>
          <w:sz w:val="24"/>
          <w:u w:val="single"/>
        </w:rPr>
      </w:pPr>
    </w:p>
    <w:p w:rsidR="00322780" w:rsidRDefault="00322780" w:rsidP="00322780">
      <w:pPr>
        <w:tabs>
          <w:tab w:val="left" w:pos="0"/>
        </w:tabs>
        <w:spacing w:line="360" w:lineRule="auto"/>
        <w:jc w:val="center"/>
        <w:rPr>
          <w:sz w:val="24"/>
          <w:u w:val="single"/>
        </w:rPr>
      </w:pPr>
      <w:r w:rsidRPr="00322780">
        <w:rPr>
          <w:sz w:val="24"/>
          <w:u w:val="single"/>
        </w:rPr>
        <w:t>DISCUSSION</w:t>
      </w:r>
    </w:p>
    <w:p w:rsidR="00322780" w:rsidRDefault="00322780" w:rsidP="00322780">
      <w:pPr>
        <w:tabs>
          <w:tab w:val="left" w:pos="0"/>
        </w:tabs>
        <w:spacing w:line="360" w:lineRule="auto"/>
        <w:rPr>
          <w:sz w:val="24"/>
          <w:u w:val="single"/>
        </w:rPr>
      </w:pPr>
    </w:p>
    <w:p w:rsidR="00035CC2" w:rsidRPr="00035CC2" w:rsidRDefault="00035CC2" w:rsidP="00035CC2">
      <w:pPr>
        <w:spacing w:line="360" w:lineRule="auto"/>
        <w:ind w:firstLine="1440"/>
        <w:rPr>
          <w:sz w:val="24"/>
          <w:szCs w:val="24"/>
        </w:rPr>
      </w:pPr>
      <w:r w:rsidRPr="00035CC2">
        <w:rPr>
          <w:sz w:val="24"/>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035CC2">
        <w:rPr>
          <w:rStyle w:val="FootnoteReference"/>
          <w:sz w:val="24"/>
          <w:szCs w:val="24"/>
        </w:rPr>
        <w:footnoteReference w:id="1"/>
      </w:r>
      <w:r w:rsidRPr="00035CC2">
        <w:rPr>
          <w:sz w:val="24"/>
          <w:szCs w:val="24"/>
        </w:rPr>
        <w:t xml:space="preserve">  A person seeking affirmative relief from the Commission has the burden of proof.</w:t>
      </w:r>
      <w:r w:rsidRPr="00035CC2">
        <w:rPr>
          <w:rStyle w:val="FootnoteReference"/>
          <w:sz w:val="24"/>
          <w:szCs w:val="24"/>
        </w:rPr>
        <w:footnoteReference w:id="2"/>
      </w:r>
    </w:p>
    <w:p w:rsidR="00035CC2" w:rsidRPr="00035CC2" w:rsidRDefault="00035CC2" w:rsidP="00035CC2">
      <w:pPr>
        <w:spacing w:line="360" w:lineRule="auto"/>
        <w:rPr>
          <w:sz w:val="24"/>
          <w:szCs w:val="24"/>
        </w:rPr>
      </w:pPr>
    </w:p>
    <w:p w:rsidR="00035CC2" w:rsidRDefault="00035CC2" w:rsidP="00035CC2">
      <w:pPr>
        <w:spacing w:line="360" w:lineRule="auto"/>
        <w:ind w:firstLine="1440"/>
        <w:rPr>
          <w:sz w:val="24"/>
          <w:szCs w:val="24"/>
        </w:rPr>
      </w:pPr>
      <w:r w:rsidRPr="00035CC2">
        <w:rPr>
          <w:sz w:val="24"/>
          <w:szCs w:val="24"/>
        </w:rPr>
        <w:t xml:space="preserve">In this matter, the Complainant is the party seeking affirmative relief from the </w:t>
      </w:r>
      <w:r w:rsidR="008B54B1" w:rsidRPr="00035CC2">
        <w:rPr>
          <w:sz w:val="24"/>
          <w:szCs w:val="24"/>
        </w:rPr>
        <w:t>Commission;</w:t>
      </w:r>
      <w:r w:rsidRPr="00035CC2">
        <w:rPr>
          <w:sz w:val="24"/>
          <w:szCs w:val="24"/>
        </w:rPr>
        <w:t xml:space="preserve"> therefore, he has the burden of proof.  This means that he has the duty to establish a fact by a preponderance of the evidence, and must show that Duquesne</w:t>
      </w:r>
      <w:r>
        <w:rPr>
          <w:sz w:val="24"/>
          <w:szCs w:val="24"/>
        </w:rPr>
        <w:t xml:space="preserve"> Light </w:t>
      </w:r>
      <w:r w:rsidRPr="00035CC2">
        <w:rPr>
          <w:sz w:val="24"/>
          <w:szCs w:val="24"/>
        </w:rPr>
        <w:t>has violated the Public Utility Code or Commission regulations.</w:t>
      </w:r>
      <w:r w:rsidRPr="00035CC2">
        <w:rPr>
          <w:rStyle w:val="FootnoteReference"/>
          <w:sz w:val="24"/>
          <w:szCs w:val="24"/>
        </w:rPr>
        <w:footnoteReference w:id="3"/>
      </w:r>
      <w:r w:rsidRPr="00035CC2">
        <w:rPr>
          <w:sz w:val="24"/>
          <w:szCs w:val="24"/>
        </w:rPr>
        <w:t xml:space="preserve"> </w:t>
      </w:r>
    </w:p>
    <w:p w:rsidR="002536F5" w:rsidRDefault="002536F5" w:rsidP="00035CC2">
      <w:pPr>
        <w:spacing w:line="360" w:lineRule="auto"/>
        <w:ind w:firstLine="1440"/>
        <w:rPr>
          <w:sz w:val="24"/>
          <w:szCs w:val="24"/>
        </w:rPr>
      </w:pPr>
    </w:p>
    <w:p w:rsidR="002536F5" w:rsidRDefault="002536F5" w:rsidP="00035CC2">
      <w:pPr>
        <w:spacing w:line="360" w:lineRule="auto"/>
        <w:ind w:firstLine="1440"/>
        <w:rPr>
          <w:sz w:val="24"/>
          <w:szCs w:val="24"/>
        </w:rPr>
      </w:pPr>
      <w:r>
        <w:rPr>
          <w:sz w:val="24"/>
          <w:szCs w:val="24"/>
        </w:rPr>
        <w:t xml:space="preserve">The Complainant contends that his bills are not correct because the billing amount </w:t>
      </w:r>
      <w:r w:rsidR="001E3FF0">
        <w:rPr>
          <w:sz w:val="24"/>
          <w:szCs w:val="24"/>
        </w:rPr>
        <w:t>wa</w:t>
      </w:r>
      <w:r>
        <w:rPr>
          <w:sz w:val="24"/>
          <w:szCs w:val="24"/>
        </w:rPr>
        <w:t>s sometimes different even though his consumption remained the same.  No doubt the Complainant, like many consumers, is confused by the myriad of surcharges and rates which are part of the billing amount for each month’s bill.  There is no question that there are more surcharges on his bill now than there were four years ago.</w:t>
      </w:r>
      <w:r>
        <w:rPr>
          <w:rStyle w:val="FootnoteReference"/>
          <w:sz w:val="24"/>
          <w:szCs w:val="24"/>
        </w:rPr>
        <w:footnoteReference w:id="4"/>
      </w:r>
      <w:r>
        <w:rPr>
          <w:sz w:val="24"/>
          <w:szCs w:val="24"/>
        </w:rPr>
        <w:t xml:space="preserve">  It is clear from his testimony that the Complainant is frustrated by what he perceives is his lack of ability to control his utility bills, especially in months where his consumption is down in a spring bill, but the bill amount is higher </w:t>
      </w:r>
      <w:r>
        <w:rPr>
          <w:sz w:val="24"/>
          <w:szCs w:val="24"/>
        </w:rPr>
        <w:lastRenderedPageBreak/>
        <w:t xml:space="preserve">than a winter bill when his consumption was higher.  However, there is no evidence that the Complainant’s bills were improperly calculated or that he did not consume the electricity </w:t>
      </w:r>
      <w:r w:rsidR="001E3FF0">
        <w:rPr>
          <w:sz w:val="24"/>
          <w:szCs w:val="24"/>
        </w:rPr>
        <w:t>for which he was billed</w:t>
      </w:r>
      <w:r>
        <w:rPr>
          <w:sz w:val="24"/>
          <w:szCs w:val="24"/>
        </w:rPr>
        <w:t>.</w:t>
      </w:r>
    </w:p>
    <w:p w:rsidR="002536F5" w:rsidRDefault="002536F5" w:rsidP="00035CC2">
      <w:pPr>
        <w:spacing w:line="360" w:lineRule="auto"/>
        <w:ind w:firstLine="1440"/>
        <w:rPr>
          <w:sz w:val="24"/>
          <w:szCs w:val="24"/>
        </w:rPr>
      </w:pPr>
    </w:p>
    <w:p w:rsidR="00BE4CA2" w:rsidRDefault="00220FAD" w:rsidP="00035CC2">
      <w:pPr>
        <w:spacing w:line="360" w:lineRule="auto"/>
        <w:ind w:firstLine="1440"/>
        <w:rPr>
          <w:sz w:val="24"/>
          <w:szCs w:val="24"/>
        </w:rPr>
      </w:pPr>
      <w:r>
        <w:rPr>
          <w:sz w:val="24"/>
          <w:szCs w:val="24"/>
        </w:rPr>
        <w:t xml:space="preserve">There are many factors which contribute to the increase in the billing amount and complexity of the Complainant’s bills. </w:t>
      </w:r>
      <w:r w:rsidR="008B2AD6">
        <w:rPr>
          <w:sz w:val="24"/>
          <w:szCs w:val="24"/>
        </w:rPr>
        <w:t xml:space="preserve"> </w:t>
      </w:r>
      <w:r w:rsidR="002536F5">
        <w:rPr>
          <w:sz w:val="24"/>
          <w:szCs w:val="24"/>
        </w:rPr>
        <w:t xml:space="preserve">Ribeka Garrity testified at length concerning the distribution and supply rates charged by Duquesne Light and the various surcharges that are included in a residential electricity bill.  Since 2007, the rates and surcharges charged by Duquesne Light for residential electricity service have changed 29 times. </w:t>
      </w:r>
      <w:r w:rsidR="008B2AD6">
        <w:rPr>
          <w:sz w:val="24"/>
          <w:szCs w:val="24"/>
        </w:rPr>
        <w:t xml:space="preserve"> </w:t>
      </w:r>
      <w:r w:rsidR="002536F5">
        <w:rPr>
          <w:sz w:val="24"/>
          <w:szCs w:val="24"/>
        </w:rPr>
        <w:t>Some of these rate changes include increases, while others are decreases.  Some charges on a customer’s bill are flat per-customer charges, while others are based on consumption.</w:t>
      </w:r>
      <w:r w:rsidR="00BE4CA2">
        <w:rPr>
          <w:sz w:val="24"/>
          <w:szCs w:val="24"/>
        </w:rPr>
        <w:t xml:space="preserve">  </w:t>
      </w:r>
    </w:p>
    <w:p w:rsidR="00BE4CA2" w:rsidRDefault="00BE4CA2" w:rsidP="00035CC2">
      <w:pPr>
        <w:spacing w:line="360" w:lineRule="auto"/>
        <w:ind w:firstLine="1440"/>
        <w:rPr>
          <w:sz w:val="24"/>
          <w:szCs w:val="24"/>
        </w:rPr>
      </w:pPr>
    </w:p>
    <w:p w:rsidR="00BE4CA2" w:rsidRDefault="00BE4CA2" w:rsidP="00035CC2">
      <w:pPr>
        <w:spacing w:line="360" w:lineRule="auto"/>
        <w:ind w:firstLine="1440"/>
        <w:rPr>
          <w:sz w:val="24"/>
          <w:szCs w:val="24"/>
        </w:rPr>
      </w:pPr>
      <w:r>
        <w:rPr>
          <w:sz w:val="24"/>
          <w:szCs w:val="24"/>
        </w:rPr>
        <w:t>Beginning in 2008 and culminating in January 2011, Duquesne Light phased out its declining block rate</w:t>
      </w:r>
      <w:r w:rsidR="001E3FF0">
        <w:rPr>
          <w:sz w:val="24"/>
          <w:szCs w:val="24"/>
        </w:rPr>
        <w:t xml:space="preserve"> structure</w:t>
      </w:r>
      <w:r>
        <w:rPr>
          <w:sz w:val="24"/>
          <w:szCs w:val="24"/>
        </w:rPr>
        <w:t xml:space="preserve"> for supply charges to a single block rate</w:t>
      </w:r>
      <w:r w:rsidR="001E3FF0">
        <w:rPr>
          <w:sz w:val="24"/>
          <w:szCs w:val="24"/>
        </w:rPr>
        <w:t xml:space="preserve"> structure</w:t>
      </w:r>
      <w:r>
        <w:rPr>
          <w:sz w:val="24"/>
          <w:szCs w:val="24"/>
        </w:rPr>
        <w:t xml:space="preserve">. </w:t>
      </w:r>
      <w:r w:rsidR="008B2AD6">
        <w:rPr>
          <w:sz w:val="24"/>
          <w:szCs w:val="24"/>
        </w:rPr>
        <w:t xml:space="preserve"> </w:t>
      </w:r>
      <w:r>
        <w:rPr>
          <w:sz w:val="24"/>
          <w:szCs w:val="24"/>
        </w:rPr>
        <w:t>It also phased out a discount offered for electric heating.</w:t>
      </w:r>
      <w:r>
        <w:rPr>
          <w:rStyle w:val="FootnoteReference"/>
          <w:sz w:val="24"/>
          <w:szCs w:val="24"/>
        </w:rPr>
        <w:footnoteReference w:id="5"/>
      </w:r>
      <w:r>
        <w:rPr>
          <w:sz w:val="24"/>
          <w:szCs w:val="24"/>
        </w:rPr>
        <w:t xml:space="preserve">  </w:t>
      </w:r>
      <w:r w:rsidR="001E3FF0">
        <w:rPr>
          <w:sz w:val="24"/>
          <w:szCs w:val="24"/>
        </w:rPr>
        <w:t>These changes occurred</w:t>
      </w:r>
      <w:r>
        <w:rPr>
          <w:sz w:val="24"/>
          <w:szCs w:val="24"/>
        </w:rPr>
        <w:t xml:space="preserve"> about th</w:t>
      </w:r>
      <w:r w:rsidR="008B2AD6">
        <w:rPr>
          <w:sz w:val="24"/>
          <w:szCs w:val="24"/>
        </w:rPr>
        <w:t>e</w:t>
      </w:r>
      <w:r>
        <w:rPr>
          <w:sz w:val="24"/>
          <w:szCs w:val="24"/>
        </w:rPr>
        <w:t xml:space="preserve"> time that the Complainant first began to notice that the amount due on his electricity bill</w:t>
      </w:r>
      <w:r w:rsidR="00933B1B">
        <w:rPr>
          <w:sz w:val="24"/>
          <w:szCs w:val="24"/>
        </w:rPr>
        <w:t xml:space="preserve"> was “jumping around.”</w:t>
      </w:r>
    </w:p>
    <w:p w:rsidR="00BE4CA2" w:rsidRDefault="00BE4CA2" w:rsidP="00035CC2">
      <w:pPr>
        <w:spacing w:line="360" w:lineRule="auto"/>
        <w:ind w:firstLine="1440"/>
        <w:rPr>
          <w:sz w:val="24"/>
          <w:szCs w:val="24"/>
        </w:rPr>
      </w:pPr>
    </w:p>
    <w:p w:rsidR="00BE4CA2" w:rsidRDefault="00933B1B" w:rsidP="00035CC2">
      <w:pPr>
        <w:spacing w:line="360" w:lineRule="auto"/>
        <w:ind w:firstLine="1440"/>
        <w:rPr>
          <w:sz w:val="24"/>
          <w:szCs w:val="24"/>
        </w:rPr>
      </w:pPr>
      <w:r>
        <w:rPr>
          <w:sz w:val="24"/>
          <w:szCs w:val="24"/>
        </w:rPr>
        <w:t>Additionally, m</w:t>
      </w:r>
      <w:r w:rsidR="00BE4CA2">
        <w:rPr>
          <w:sz w:val="24"/>
          <w:szCs w:val="24"/>
        </w:rPr>
        <w:t>any of the riders and surcharges included in bills were introduced in 2010.  Some of these charges change quarterly, while others change annually.  Duquesne Light’s distribution rates are lower in the winter than they are the rest of the year.  Ms. Garrity spot checked several of Mr. Presutti’s bills and verified that he was being charged the correct rates for his consumption.</w:t>
      </w:r>
    </w:p>
    <w:p w:rsidR="00BC6AA4" w:rsidRDefault="00BC6AA4" w:rsidP="00035CC2">
      <w:pPr>
        <w:spacing w:line="360" w:lineRule="auto"/>
        <w:ind w:firstLine="1440"/>
        <w:rPr>
          <w:sz w:val="24"/>
          <w:szCs w:val="24"/>
        </w:rPr>
      </w:pPr>
    </w:p>
    <w:p w:rsidR="00CE50DF" w:rsidRDefault="00CE50DF" w:rsidP="00035CC2">
      <w:pPr>
        <w:spacing w:line="360" w:lineRule="auto"/>
        <w:ind w:firstLine="1440"/>
        <w:rPr>
          <w:sz w:val="24"/>
          <w:szCs w:val="24"/>
        </w:rPr>
      </w:pPr>
      <w:r>
        <w:rPr>
          <w:sz w:val="24"/>
          <w:szCs w:val="24"/>
        </w:rPr>
        <w:t>In sum, Duquesne Light’s rates and charges have changed significantly in the last several years which has resulted in an increase in the amounts billed to the Complainant for utility service.  However, there is no evidence that he was charged the wrong rate for his consumption.</w:t>
      </w:r>
    </w:p>
    <w:p w:rsidR="00CE50DF" w:rsidRDefault="00CE50DF" w:rsidP="00035CC2">
      <w:pPr>
        <w:spacing w:line="360" w:lineRule="auto"/>
        <w:ind w:firstLine="1440"/>
        <w:rPr>
          <w:sz w:val="24"/>
          <w:szCs w:val="24"/>
        </w:rPr>
      </w:pPr>
    </w:p>
    <w:p w:rsidR="00CE50DF" w:rsidRDefault="00CE50DF" w:rsidP="00035CC2">
      <w:pPr>
        <w:spacing w:line="360" w:lineRule="auto"/>
        <w:ind w:firstLine="1440"/>
        <w:rPr>
          <w:sz w:val="24"/>
          <w:szCs w:val="24"/>
        </w:rPr>
      </w:pPr>
      <w:r>
        <w:rPr>
          <w:sz w:val="24"/>
          <w:szCs w:val="24"/>
        </w:rPr>
        <w:lastRenderedPageBreak/>
        <w:t>There is also no evidence that the Complainant’s consumption recorded on his meter was incorrect.  The Complainant</w:t>
      </w:r>
      <w:r w:rsidR="00FC1BFF">
        <w:rPr>
          <w:sz w:val="24"/>
          <w:szCs w:val="24"/>
        </w:rPr>
        <w:t xml:space="preserve"> moved into his house in 2006, </w:t>
      </w:r>
      <w:r>
        <w:rPr>
          <w:sz w:val="24"/>
          <w:szCs w:val="24"/>
        </w:rPr>
        <w:t>which is approximately 2</w:t>
      </w:r>
      <w:r w:rsidR="00FC1BFF">
        <w:rPr>
          <w:sz w:val="24"/>
          <w:szCs w:val="24"/>
        </w:rPr>
        <w:t>,</w:t>
      </w:r>
      <w:r>
        <w:rPr>
          <w:sz w:val="24"/>
          <w:szCs w:val="24"/>
        </w:rPr>
        <w:t xml:space="preserve">240 square feet in size.  All of his appliances are electric including the heat and air conditioning, as well as the usual kitchen and household appliances. </w:t>
      </w:r>
      <w:r w:rsidR="008B2AD6">
        <w:rPr>
          <w:sz w:val="24"/>
          <w:szCs w:val="24"/>
        </w:rPr>
        <w:t xml:space="preserve"> </w:t>
      </w:r>
      <w:r>
        <w:rPr>
          <w:sz w:val="24"/>
          <w:szCs w:val="24"/>
        </w:rPr>
        <w:t xml:space="preserve">He testified that he has not changed his usage patterns during the time that he has lived in the house.  This testimony is borne out by the consumption analysis performed by Duquesne Light.  That is, his average consumption has remained fairly consistent from year to year.  </w:t>
      </w:r>
    </w:p>
    <w:p w:rsidR="00CE50DF" w:rsidRDefault="00CE50DF" w:rsidP="00035CC2">
      <w:pPr>
        <w:spacing w:line="360" w:lineRule="auto"/>
        <w:ind w:firstLine="1440"/>
        <w:rPr>
          <w:sz w:val="24"/>
          <w:szCs w:val="24"/>
        </w:rPr>
      </w:pPr>
    </w:p>
    <w:p w:rsidR="00BC6AA4" w:rsidRDefault="00CE50DF" w:rsidP="00035CC2">
      <w:pPr>
        <w:spacing w:line="360" w:lineRule="auto"/>
        <w:ind w:firstLine="1440"/>
        <w:rPr>
          <w:sz w:val="24"/>
          <w:szCs w:val="24"/>
        </w:rPr>
      </w:pPr>
      <w:r>
        <w:rPr>
          <w:sz w:val="24"/>
          <w:szCs w:val="24"/>
        </w:rPr>
        <w:t>The Complainant’s meter has been tested twice, in 2009 and 2011.  Both tests revealed that the meter was operating within an acceptable range and was registering the Complainant’s consumption accurately.  Further, his household has the capacity to use the level of consumption that is recorded on the meter.</w:t>
      </w:r>
      <w:r w:rsidR="00BC6AA4">
        <w:rPr>
          <w:sz w:val="24"/>
          <w:szCs w:val="24"/>
        </w:rPr>
        <w:t xml:space="preserve">  </w:t>
      </w:r>
    </w:p>
    <w:p w:rsidR="00DA43E0" w:rsidRDefault="00DA43E0" w:rsidP="00035CC2">
      <w:pPr>
        <w:spacing w:line="360" w:lineRule="auto"/>
        <w:ind w:firstLine="1440"/>
        <w:rPr>
          <w:sz w:val="24"/>
          <w:szCs w:val="24"/>
        </w:rPr>
      </w:pPr>
    </w:p>
    <w:p w:rsidR="00DA43E0" w:rsidRDefault="00DA43E0" w:rsidP="00035CC2">
      <w:pPr>
        <w:spacing w:line="360" w:lineRule="auto"/>
        <w:ind w:firstLine="1440"/>
        <w:rPr>
          <w:sz w:val="24"/>
          <w:szCs w:val="24"/>
        </w:rPr>
      </w:pPr>
      <w:r>
        <w:rPr>
          <w:sz w:val="24"/>
          <w:szCs w:val="24"/>
        </w:rPr>
        <w:t>There is no evidence in the record upon which to base a conclusion that the Complainant’s consumption has not been properly recorded by Duquesne Light’s meter or that he has been billed for electricity that he did not use.</w:t>
      </w:r>
    </w:p>
    <w:p w:rsidR="00565C6B" w:rsidRDefault="00565C6B" w:rsidP="00035CC2">
      <w:pPr>
        <w:spacing w:line="360" w:lineRule="auto"/>
        <w:ind w:firstLine="1440"/>
        <w:rPr>
          <w:sz w:val="24"/>
          <w:szCs w:val="24"/>
        </w:rPr>
      </w:pPr>
    </w:p>
    <w:p w:rsidR="00565C6B" w:rsidRDefault="00565C6B" w:rsidP="00035CC2">
      <w:pPr>
        <w:spacing w:line="360" w:lineRule="auto"/>
        <w:ind w:firstLine="1440"/>
        <w:rPr>
          <w:sz w:val="24"/>
          <w:szCs w:val="24"/>
        </w:rPr>
      </w:pPr>
      <w:r>
        <w:rPr>
          <w:sz w:val="24"/>
          <w:szCs w:val="24"/>
        </w:rPr>
        <w:t xml:space="preserve">The Complainant also requested a payment agreement. </w:t>
      </w:r>
      <w:r w:rsidR="008B2AD6">
        <w:rPr>
          <w:sz w:val="24"/>
          <w:szCs w:val="24"/>
        </w:rPr>
        <w:t xml:space="preserve"> </w:t>
      </w:r>
      <w:r w:rsidR="006046C5" w:rsidRPr="006046C5">
        <w:rPr>
          <w:sz w:val="24"/>
          <w:szCs w:val="24"/>
        </w:rPr>
        <w:t xml:space="preserve">Chapter 14 </w:t>
      </w:r>
      <w:r w:rsidR="006046C5">
        <w:rPr>
          <w:sz w:val="24"/>
          <w:szCs w:val="24"/>
        </w:rPr>
        <w:t xml:space="preserve">of the Public Utility Code </w:t>
      </w:r>
      <w:r w:rsidR="006046C5" w:rsidRPr="006046C5">
        <w:rPr>
          <w:sz w:val="24"/>
          <w:szCs w:val="24"/>
        </w:rPr>
        <w:t>provides that in certain circumstances a customer may be permitted to amortize the amount due on a utility account.</w:t>
      </w:r>
      <w:r w:rsidR="006046C5" w:rsidRPr="006046C5">
        <w:rPr>
          <w:rStyle w:val="FootnoteReference"/>
          <w:sz w:val="24"/>
          <w:szCs w:val="24"/>
        </w:rPr>
        <w:footnoteReference w:id="6"/>
      </w:r>
      <w:r w:rsidR="006046C5" w:rsidRPr="006046C5">
        <w:rPr>
          <w:sz w:val="24"/>
          <w:szCs w:val="24"/>
        </w:rPr>
        <w:t xml:space="preserve">  The Commission is authorized to order one payment agreement per customer.</w:t>
      </w:r>
      <w:r w:rsidR="006046C5" w:rsidRPr="006046C5">
        <w:rPr>
          <w:rStyle w:val="FootnoteReference"/>
          <w:sz w:val="24"/>
          <w:szCs w:val="24"/>
        </w:rPr>
        <w:footnoteReference w:id="7"/>
      </w:r>
      <w:r w:rsidR="006046C5" w:rsidRPr="006046C5">
        <w:rPr>
          <w:sz w:val="24"/>
          <w:szCs w:val="24"/>
        </w:rPr>
        <w:t xml:space="preserve">  </w:t>
      </w:r>
      <w:r w:rsidR="006046C5">
        <w:rPr>
          <w:sz w:val="24"/>
          <w:szCs w:val="24"/>
        </w:rPr>
        <w:t xml:space="preserve">Although the Complainant has not made many payments on his account in the last year, for the </w:t>
      </w:r>
      <w:r w:rsidR="00FC1BFF">
        <w:rPr>
          <w:sz w:val="24"/>
          <w:szCs w:val="24"/>
        </w:rPr>
        <w:t>time</w:t>
      </w:r>
      <w:r w:rsidR="006046C5">
        <w:rPr>
          <w:sz w:val="24"/>
          <w:szCs w:val="24"/>
        </w:rPr>
        <w:t xml:space="preserve"> </w:t>
      </w:r>
      <w:r w:rsidR="008F1E10">
        <w:rPr>
          <w:sz w:val="24"/>
          <w:szCs w:val="24"/>
        </w:rPr>
        <w:t>before September 2010</w:t>
      </w:r>
      <w:r w:rsidR="008B54B1">
        <w:rPr>
          <w:sz w:val="24"/>
          <w:szCs w:val="24"/>
        </w:rPr>
        <w:t>, he</w:t>
      </w:r>
      <w:r w:rsidR="006046C5">
        <w:rPr>
          <w:sz w:val="24"/>
          <w:szCs w:val="24"/>
        </w:rPr>
        <w:t xml:space="preserve"> had a reasonable history of making payments on his account</w:t>
      </w:r>
      <w:r w:rsidR="006046C5" w:rsidRPr="006046C5">
        <w:rPr>
          <w:sz w:val="24"/>
          <w:szCs w:val="24"/>
        </w:rPr>
        <w:t>.</w:t>
      </w:r>
      <w:r w:rsidR="008F1E10">
        <w:rPr>
          <w:rStyle w:val="FootnoteReference"/>
          <w:sz w:val="24"/>
          <w:szCs w:val="24"/>
        </w:rPr>
        <w:footnoteReference w:id="8"/>
      </w:r>
      <w:r w:rsidR="006046C5" w:rsidRPr="006046C5">
        <w:rPr>
          <w:sz w:val="24"/>
          <w:szCs w:val="24"/>
        </w:rPr>
        <w:t xml:space="preserve">  </w:t>
      </w:r>
      <w:r w:rsidR="006046C5">
        <w:rPr>
          <w:sz w:val="24"/>
          <w:szCs w:val="24"/>
        </w:rPr>
        <w:t>The Complainant earns less than minimum wage in base salary and depe</w:t>
      </w:r>
      <w:r w:rsidR="004F72CF">
        <w:rPr>
          <w:sz w:val="24"/>
          <w:szCs w:val="24"/>
        </w:rPr>
        <w:t>nds largely on tips for the household</w:t>
      </w:r>
      <w:r w:rsidR="006046C5">
        <w:rPr>
          <w:sz w:val="24"/>
          <w:szCs w:val="24"/>
        </w:rPr>
        <w:t xml:space="preserve"> income.  His daughter lives with him, but does not work as she is a full-time college student.  </w:t>
      </w:r>
      <w:r w:rsidR="00FC1BFF">
        <w:rPr>
          <w:sz w:val="24"/>
          <w:szCs w:val="24"/>
        </w:rPr>
        <w:t>His</w:t>
      </w:r>
      <w:r w:rsidR="006046C5">
        <w:rPr>
          <w:sz w:val="24"/>
          <w:szCs w:val="24"/>
        </w:rPr>
        <w:t xml:space="preserve"> income</w:t>
      </w:r>
      <w:r w:rsidR="00FC1BFF">
        <w:rPr>
          <w:sz w:val="24"/>
          <w:szCs w:val="24"/>
        </w:rPr>
        <w:t xml:space="preserve"> is between</w:t>
      </w:r>
      <w:r w:rsidR="006046C5">
        <w:rPr>
          <w:sz w:val="24"/>
          <w:szCs w:val="24"/>
        </w:rPr>
        <w:t xml:space="preserve"> 150% and 250%</w:t>
      </w:r>
      <w:r w:rsidR="004F72CF">
        <w:rPr>
          <w:rStyle w:val="FootnoteReference"/>
          <w:sz w:val="24"/>
          <w:szCs w:val="24"/>
        </w:rPr>
        <w:footnoteReference w:id="9"/>
      </w:r>
      <w:r w:rsidR="006046C5">
        <w:rPr>
          <w:sz w:val="24"/>
          <w:szCs w:val="24"/>
        </w:rPr>
        <w:t xml:space="preserve"> </w:t>
      </w:r>
      <w:r w:rsidR="006046C5" w:rsidRPr="006046C5">
        <w:rPr>
          <w:sz w:val="24"/>
          <w:szCs w:val="24"/>
        </w:rPr>
        <w:t>of the Federal Poverty Level Guidelines.</w:t>
      </w:r>
      <w:r w:rsidR="006046C5" w:rsidRPr="006046C5">
        <w:rPr>
          <w:rStyle w:val="FootnoteReference"/>
          <w:sz w:val="24"/>
          <w:szCs w:val="24"/>
        </w:rPr>
        <w:footnoteReference w:id="10"/>
      </w:r>
      <w:r w:rsidR="006046C5">
        <w:rPr>
          <w:sz w:val="24"/>
          <w:szCs w:val="24"/>
        </w:rPr>
        <w:t xml:space="preserve">  Section 1405(b)(2</w:t>
      </w:r>
      <w:r w:rsidR="006046C5" w:rsidRPr="006046C5">
        <w:rPr>
          <w:sz w:val="24"/>
          <w:szCs w:val="24"/>
        </w:rPr>
        <w:t xml:space="preserve">) of the Responsible Utility Customer Protection Act, authorizes the Commission to grant the Complainant a repayment term of </w:t>
      </w:r>
      <w:r w:rsidR="006046C5">
        <w:rPr>
          <w:sz w:val="24"/>
          <w:szCs w:val="24"/>
        </w:rPr>
        <w:t xml:space="preserve">two </w:t>
      </w:r>
      <w:r w:rsidR="006046C5">
        <w:rPr>
          <w:sz w:val="24"/>
          <w:szCs w:val="24"/>
        </w:rPr>
        <w:lastRenderedPageBreak/>
        <w:t>years</w:t>
      </w:r>
      <w:r w:rsidR="006046C5" w:rsidRPr="006046C5">
        <w:rPr>
          <w:sz w:val="24"/>
          <w:szCs w:val="24"/>
        </w:rPr>
        <w:t xml:space="preserve"> to repay the arrearage on his account.</w:t>
      </w:r>
      <w:r w:rsidR="006046C5" w:rsidRPr="006046C5">
        <w:rPr>
          <w:rStyle w:val="FootnoteReference"/>
          <w:sz w:val="24"/>
          <w:szCs w:val="24"/>
        </w:rPr>
        <w:footnoteReference w:id="11"/>
      </w:r>
      <w:r w:rsidR="006046C5" w:rsidRPr="006046C5">
        <w:rPr>
          <w:sz w:val="24"/>
          <w:szCs w:val="24"/>
        </w:rPr>
        <w:t xml:space="preserve">  The Complainant is reminded that in addition to making payments on the arrearage of his account, he is also required to make regular, on-time payments for current electricity service as well.</w:t>
      </w:r>
      <w:r w:rsidR="006046C5" w:rsidRPr="006046C5">
        <w:rPr>
          <w:rStyle w:val="FootnoteReference"/>
          <w:sz w:val="24"/>
          <w:szCs w:val="24"/>
        </w:rPr>
        <w:footnoteReference w:id="12"/>
      </w:r>
    </w:p>
    <w:p w:rsidR="008B54B1" w:rsidRPr="006046C5" w:rsidRDefault="008B54B1" w:rsidP="00035CC2">
      <w:pPr>
        <w:spacing w:line="360" w:lineRule="auto"/>
        <w:ind w:firstLine="1440"/>
        <w:rPr>
          <w:sz w:val="24"/>
          <w:szCs w:val="24"/>
        </w:rPr>
      </w:pPr>
    </w:p>
    <w:p w:rsidR="00A70FF2" w:rsidRPr="008B54B1" w:rsidRDefault="00A70FF2" w:rsidP="006B0E93">
      <w:pPr>
        <w:tabs>
          <w:tab w:val="left" w:pos="0"/>
        </w:tabs>
        <w:spacing w:line="360" w:lineRule="auto"/>
        <w:jc w:val="center"/>
        <w:rPr>
          <w:sz w:val="24"/>
          <w:u w:val="single"/>
        </w:rPr>
      </w:pPr>
      <w:r w:rsidRPr="008B54B1">
        <w:rPr>
          <w:sz w:val="24"/>
          <w:u w:val="single"/>
        </w:rPr>
        <w:t>CONCLUSIONS OF LAW</w:t>
      </w:r>
    </w:p>
    <w:p w:rsidR="00A70FF2" w:rsidRPr="00A70FF2" w:rsidRDefault="00A70FF2" w:rsidP="00A70FF2">
      <w:pPr>
        <w:tabs>
          <w:tab w:val="left" w:pos="0"/>
        </w:tabs>
        <w:spacing w:line="360" w:lineRule="auto"/>
        <w:rPr>
          <w:sz w:val="24"/>
        </w:rPr>
      </w:pPr>
    </w:p>
    <w:p w:rsidR="00A70FF2" w:rsidRPr="00A70FF2" w:rsidRDefault="00A70FF2" w:rsidP="00A70FF2">
      <w:pPr>
        <w:tabs>
          <w:tab w:val="left" w:pos="0"/>
        </w:tabs>
        <w:spacing w:line="360" w:lineRule="auto"/>
        <w:rPr>
          <w:sz w:val="24"/>
        </w:rPr>
      </w:pPr>
      <w:r w:rsidRPr="00A70FF2">
        <w:rPr>
          <w:sz w:val="24"/>
        </w:rPr>
        <w:tab/>
      </w:r>
      <w:r w:rsidRPr="00A70FF2">
        <w:rPr>
          <w:sz w:val="24"/>
        </w:rPr>
        <w:tab/>
        <w:t>1.</w:t>
      </w:r>
      <w:r w:rsidRPr="00A70FF2">
        <w:rPr>
          <w:sz w:val="24"/>
        </w:rPr>
        <w:tab/>
        <w:t>The Commission has jurisdiction over the subject matter and parties to this proceeding.</w:t>
      </w:r>
    </w:p>
    <w:p w:rsidR="00A70FF2" w:rsidRPr="00A70FF2" w:rsidRDefault="00A70FF2" w:rsidP="00A70FF2">
      <w:pPr>
        <w:tabs>
          <w:tab w:val="left" w:pos="0"/>
        </w:tabs>
        <w:spacing w:line="360" w:lineRule="auto"/>
        <w:rPr>
          <w:sz w:val="24"/>
        </w:rPr>
      </w:pPr>
    </w:p>
    <w:p w:rsidR="00A70FF2" w:rsidRPr="00A70FF2" w:rsidRDefault="00A70FF2" w:rsidP="00A70FF2">
      <w:pPr>
        <w:tabs>
          <w:tab w:val="left" w:pos="0"/>
        </w:tabs>
        <w:spacing w:line="360" w:lineRule="auto"/>
        <w:rPr>
          <w:sz w:val="24"/>
        </w:rPr>
      </w:pPr>
      <w:r w:rsidRPr="00A70FF2">
        <w:rPr>
          <w:sz w:val="24"/>
        </w:rPr>
        <w:tab/>
      </w:r>
      <w:r w:rsidRPr="00A70FF2">
        <w:rPr>
          <w:sz w:val="24"/>
        </w:rPr>
        <w:tab/>
        <w:t>2.</w:t>
      </w:r>
      <w:r w:rsidRPr="00A70FF2">
        <w:rPr>
          <w:sz w:val="24"/>
        </w:rPr>
        <w:tab/>
      </w:r>
      <w:r w:rsidR="006B0E93">
        <w:rPr>
          <w:sz w:val="24"/>
        </w:rPr>
        <w:t>There is no evidence that Duquesne Light has violated the Public Utility Code or any rules, regulations or order</w:t>
      </w:r>
      <w:r w:rsidR="00DE767C">
        <w:rPr>
          <w:sz w:val="24"/>
        </w:rPr>
        <w:t>s</w:t>
      </w:r>
      <w:r w:rsidR="006B0E93">
        <w:rPr>
          <w:sz w:val="24"/>
        </w:rPr>
        <w:t xml:space="preserve"> of the Commission</w:t>
      </w:r>
      <w:r w:rsidRPr="00A70FF2">
        <w:rPr>
          <w:sz w:val="24"/>
        </w:rPr>
        <w:t>.</w:t>
      </w:r>
    </w:p>
    <w:p w:rsidR="00A70FF2" w:rsidRPr="00A70FF2" w:rsidRDefault="00A70FF2" w:rsidP="00A70FF2">
      <w:pPr>
        <w:tabs>
          <w:tab w:val="left" w:pos="0"/>
        </w:tabs>
        <w:spacing w:line="360" w:lineRule="auto"/>
        <w:rPr>
          <w:sz w:val="24"/>
        </w:rPr>
      </w:pPr>
    </w:p>
    <w:p w:rsidR="00A70FF2" w:rsidRPr="00A70FF2" w:rsidRDefault="00A70FF2" w:rsidP="00A70FF2">
      <w:pPr>
        <w:tabs>
          <w:tab w:val="left" w:pos="0"/>
        </w:tabs>
        <w:spacing w:line="360" w:lineRule="auto"/>
        <w:rPr>
          <w:sz w:val="24"/>
        </w:rPr>
      </w:pPr>
      <w:r w:rsidRPr="00A70FF2">
        <w:rPr>
          <w:sz w:val="24"/>
        </w:rPr>
        <w:tab/>
      </w:r>
      <w:r w:rsidRPr="00A70FF2">
        <w:rPr>
          <w:sz w:val="24"/>
        </w:rPr>
        <w:tab/>
        <w:t>3.</w:t>
      </w:r>
      <w:r w:rsidRPr="00A70FF2">
        <w:rPr>
          <w:sz w:val="24"/>
        </w:rPr>
        <w:tab/>
        <w:t>The Commission is authorized to establish payment agreements between a public utility and customers within the limits established in Chapter 14 of the Public Utility Code.</w:t>
      </w:r>
    </w:p>
    <w:p w:rsidR="00A70FF2" w:rsidRPr="00A70FF2" w:rsidRDefault="00A70FF2" w:rsidP="00A70FF2">
      <w:pPr>
        <w:tabs>
          <w:tab w:val="left" w:pos="0"/>
        </w:tabs>
        <w:spacing w:line="360" w:lineRule="auto"/>
        <w:rPr>
          <w:sz w:val="24"/>
        </w:rPr>
      </w:pPr>
    </w:p>
    <w:p w:rsidR="00A70FF2" w:rsidRPr="00A70FF2" w:rsidRDefault="00A70FF2" w:rsidP="00A70FF2">
      <w:pPr>
        <w:tabs>
          <w:tab w:val="left" w:pos="0"/>
        </w:tabs>
        <w:spacing w:line="360" w:lineRule="auto"/>
        <w:rPr>
          <w:sz w:val="24"/>
        </w:rPr>
      </w:pPr>
    </w:p>
    <w:p w:rsidR="00A70FF2" w:rsidRPr="008B54B1" w:rsidRDefault="00A70FF2" w:rsidP="006B0E93">
      <w:pPr>
        <w:tabs>
          <w:tab w:val="left" w:pos="0"/>
        </w:tabs>
        <w:spacing w:line="360" w:lineRule="auto"/>
        <w:jc w:val="center"/>
        <w:rPr>
          <w:sz w:val="24"/>
          <w:u w:val="single"/>
        </w:rPr>
      </w:pPr>
      <w:r w:rsidRPr="008B54B1">
        <w:rPr>
          <w:sz w:val="24"/>
          <w:u w:val="single"/>
        </w:rPr>
        <w:t>ORDER</w:t>
      </w:r>
    </w:p>
    <w:p w:rsidR="00A70FF2" w:rsidRPr="00A70FF2" w:rsidRDefault="00A70FF2" w:rsidP="00A70FF2">
      <w:pPr>
        <w:tabs>
          <w:tab w:val="left" w:pos="0"/>
        </w:tabs>
        <w:spacing w:line="360" w:lineRule="auto"/>
        <w:rPr>
          <w:sz w:val="24"/>
        </w:rPr>
      </w:pPr>
    </w:p>
    <w:p w:rsidR="008B54B1" w:rsidRDefault="00A70FF2" w:rsidP="00A70FF2">
      <w:pPr>
        <w:tabs>
          <w:tab w:val="left" w:pos="0"/>
        </w:tabs>
        <w:spacing w:line="360" w:lineRule="auto"/>
        <w:rPr>
          <w:sz w:val="24"/>
        </w:rPr>
      </w:pPr>
      <w:r w:rsidRPr="00A70FF2">
        <w:rPr>
          <w:sz w:val="24"/>
        </w:rPr>
        <w:tab/>
      </w:r>
      <w:r w:rsidRPr="00A70FF2">
        <w:rPr>
          <w:sz w:val="24"/>
        </w:rPr>
        <w:tab/>
      </w:r>
    </w:p>
    <w:p w:rsidR="00A70FF2" w:rsidRPr="00A70FF2" w:rsidRDefault="008B54B1" w:rsidP="00A70FF2">
      <w:pPr>
        <w:tabs>
          <w:tab w:val="left" w:pos="0"/>
        </w:tabs>
        <w:spacing w:line="360" w:lineRule="auto"/>
        <w:rPr>
          <w:sz w:val="24"/>
        </w:rPr>
      </w:pPr>
      <w:r>
        <w:rPr>
          <w:sz w:val="24"/>
        </w:rPr>
        <w:tab/>
      </w:r>
      <w:r>
        <w:rPr>
          <w:sz w:val="24"/>
        </w:rPr>
        <w:tab/>
      </w:r>
      <w:r w:rsidR="00A70FF2" w:rsidRPr="00A70FF2">
        <w:rPr>
          <w:sz w:val="24"/>
        </w:rPr>
        <w:t>THEREFORE,</w:t>
      </w:r>
    </w:p>
    <w:p w:rsidR="00A70FF2" w:rsidRPr="00A70FF2" w:rsidRDefault="00A70FF2" w:rsidP="00A70FF2">
      <w:pPr>
        <w:tabs>
          <w:tab w:val="left" w:pos="0"/>
        </w:tabs>
        <w:spacing w:line="360" w:lineRule="auto"/>
        <w:rPr>
          <w:sz w:val="24"/>
        </w:rPr>
      </w:pPr>
    </w:p>
    <w:p w:rsidR="00A70FF2" w:rsidRPr="00A70FF2" w:rsidRDefault="00A70FF2" w:rsidP="00A70FF2">
      <w:pPr>
        <w:tabs>
          <w:tab w:val="left" w:pos="0"/>
        </w:tabs>
        <w:spacing w:line="360" w:lineRule="auto"/>
        <w:rPr>
          <w:sz w:val="24"/>
        </w:rPr>
      </w:pPr>
      <w:r w:rsidRPr="00A70FF2">
        <w:rPr>
          <w:sz w:val="24"/>
        </w:rPr>
        <w:tab/>
      </w:r>
      <w:r w:rsidRPr="00A70FF2">
        <w:rPr>
          <w:sz w:val="24"/>
        </w:rPr>
        <w:tab/>
        <w:t>IT IS ORDERED:</w:t>
      </w:r>
    </w:p>
    <w:p w:rsidR="00A70FF2" w:rsidRPr="00A70FF2" w:rsidRDefault="00A70FF2" w:rsidP="00A70FF2">
      <w:pPr>
        <w:tabs>
          <w:tab w:val="left" w:pos="0"/>
        </w:tabs>
        <w:spacing w:line="360" w:lineRule="auto"/>
        <w:rPr>
          <w:sz w:val="24"/>
        </w:rPr>
      </w:pPr>
    </w:p>
    <w:p w:rsidR="00A70FF2" w:rsidRPr="00A70FF2" w:rsidRDefault="00A70FF2" w:rsidP="00A70FF2">
      <w:pPr>
        <w:tabs>
          <w:tab w:val="left" w:pos="0"/>
        </w:tabs>
        <w:spacing w:line="360" w:lineRule="auto"/>
        <w:rPr>
          <w:sz w:val="24"/>
        </w:rPr>
      </w:pPr>
      <w:r w:rsidRPr="00A70FF2">
        <w:rPr>
          <w:sz w:val="24"/>
        </w:rPr>
        <w:tab/>
      </w:r>
      <w:r w:rsidRPr="00A70FF2">
        <w:rPr>
          <w:sz w:val="24"/>
        </w:rPr>
        <w:tab/>
        <w:t>1.</w:t>
      </w:r>
      <w:r w:rsidRPr="00A70FF2">
        <w:rPr>
          <w:sz w:val="24"/>
        </w:rPr>
        <w:tab/>
        <w:t>That the formal Complaint</w:t>
      </w:r>
      <w:r>
        <w:rPr>
          <w:sz w:val="24"/>
        </w:rPr>
        <w:t>s</w:t>
      </w:r>
      <w:r w:rsidRPr="00A70FF2">
        <w:rPr>
          <w:sz w:val="24"/>
        </w:rPr>
        <w:t xml:space="preserve"> filed by </w:t>
      </w:r>
      <w:r>
        <w:rPr>
          <w:sz w:val="24"/>
        </w:rPr>
        <w:t>Theodore Presutti at F-2010-2174509 and C-2010-2177251 are</w:t>
      </w:r>
      <w:r w:rsidRPr="00A70FF2">
        <w:rPr>
          <w:sz w:val="24"/>
        </w:rPr>
        <w:t xml:space="preserve"> dismissed in part and sustained in part.</w:t>
      </w:r>
      <w:r w:rsidR="00A55188">
        <w:rPr>
          <w:sz w:val="24"/>
        </w:rPr>
        <w:t xml:space="preserve">  They are sustained to the extent they request a payment arrangement and dismissed in all other respects.  </w:t>
      </w:r>
    </w:p>
    <w:p w:rsidR="00A70FF2" w:rsidRPr="00A70FF2" w:rsidRDefault="00A70FF2" w:rsidP="00A70FF2">
      <w:pPr>
        <w:tabs>
          <w:tab w:val="left" w:pos="0"/>
        </w:tabs>
        <w:spacing w:line="360" w:lineRule="auto"/>
        <w:rPr>
          <w:sz w:val="24"/>
        </w:rPr>
      </w:pPr>
    </w:p>
    <w:p w:rsidR="00A70FF2" w:rsidRPr="00A70FF2" w:rsidRDefault="00A70FF2" w:rsidP="00A70FF2">
      <w:pPr>
        <w:tabs>
          <w:tab w:val="left" w:pos="0"/>
        </w:tabs>
        <w:spacing w:line="360" w:lineRule="auto"/>
        <w:rPr>
          <w:sz w:val="24"/>
        </w:rPr>
      </w:pPr>
      <w:r w:rsidRPr="00A70FF2">
        <w:rPr>
          <w:sz w:val="24"/>
        </w:rPr>
        <w:lastRenderedPageBreak/>
        <w:tab/>
      </w:r>
      <w:r w:rsidRPr="00A70FF2">
        <w:rPr>
          <w:sz w:val="24"/>
        </w:rPr>
        <w:tab/>
        <w:t>2.</w:t>
      </w:r>
      <w:r w:rsidRPr="00A70FF2">
        <w:rPr>
          <w:sz w:val="24"/>
        </w:rPr>
        <w:tab/>
        <w:t xml:space="preserve">That within 15 days of the date the Commission enters its Order in this case, Duquesne Light Company shall tender a bill to </w:t>
      </w:r>
      <w:r>
        <w:rPr>
          <w:sz w:val="24"/>
        </w:rPr>
        <w:t>Theodore Presutti</w:t>
      </w:r>
      <w:r w:rsidRPr="00A70FF2">
        <w:rPr>
          <w:sz w:val="24"/>
        </w:rPr>
        <w:t xml:space="preserve"> for the net total amount that has accrued for missed consumption payments.</w:t>
      </w:r>
    </w:p>
    <w:p w:rsidR="00A70FF2" w:rsidRPr="00A70FF2" w:rsidRDefault="00A70FF2" w:rsidP="00A70FF2">
      <w:pPr>
        <w:tabs>
          <w:tab w:val="left" w:pos="0"/>
        </w:tabs>
        <w:spacing w:line="360" w:lineRule="auto"/>
        <w:rPr>
          <w:sz w:val="24"/>
        </w:rPr>
      </w:pPr>
    </w:p>
    <w:p w:rsidR="00A70FF2" w:rsidRPr="00A70FF2" w:rsidRDefault="00A70FF2" w:rsidP="00A70FF2">
      <w:pPr>
        <w:tabs>
          <w:tab w:val="left" w:pos="0"/>
        </w:tabs>
        <w:spacing w:line="360" w:lineRule="auto"/>
        <w:rPr>
          <w:sz w:val="24"/>
        </w:rPr>
      </w:pPr>
      <w:r w:rsidRPr="00A70FF2">
        <w:rPr>
          <w:sz w:val="24"/>
        </w:rPr>
        <w:tab/>
      </w:r>
      <w:r w:rsidRPr="00A70FF2">
        <w:rPr>
          <w:sz w:val="24"/>
        </w:rPr>
        <w:tab/>
        <w:t>3.</w:t>
      </w:r>
      <w:r w:rsidRPr="00A70FF2">
        <w:rPr>
          <w:sz w:val="24"/>
        </w:rPr>
        <w:tab/>
        <w:t xml:space="preserve">That </w:t>
      </w:r>
      <w:r>
        <w:rPr>
          <w:sz w:val="24"/>
        </w:rPr>
        <w:t>Theodore Presutti</w:t>
      </w:r>
      <w:r w:rsidRPr="00A70FF2">
        <w:rPr>
          <w:sz w:val="24"/>
        </w:rPr>
        <w:t xml:space="preserve"> shall pay Duquesne Light on or before the due date for payment of each monthly bill, the monthly budget amount fo</w:t>
      </w:r>
      <w:r>
        <w:rPr>
          <w:sz w:val="24"/>
        </w:rPr>
        <w:t>r current consumption, plus 1/24</w:t>
      </w:r>
      <w:r w:rsidRPr="00A70FF2">
        <w:rPr>
          <w:sz w:val="24"/>
        </w:rPr>
        <w:t>th of the arrearage owed on his account to be calculated as of the date the Commission enters its Order in this case; these payments shall commence with the first monthly bill received after entry of the Commission’s Order in this case and continue thereafter on the due date for the payment of each regular monthly bill, until the arrearage on this account has been paid in full.</w:t>
      </w:r>
    </w:p>
    <w:p w:rsidR="00A70FF2" w:rsidRPr="00A70FF2" w:rsidRDefault="00A70FF2" w:rsidP="00A70FF2">
      <w:pPr>
        <w:tabs>
          <w:tab w:val="left" w:pos="0"/>
        </w:tabs>
        <w:spacing w:line="360" w:lineRule="auto"/>
        <w:rPr>
          <w:sz w:val="24"/>
        </w:rPr>
      </w:pPr>
    </w:p>
    <w:p w:rsidR="00322780" w:rsidRPr="00035CC2" w:rsidRDefault="00A70FF2" w:rsidP="007306B0">
      <w:pPr>
        <w:tabs>
          <w:tab w:val="left" w:pos="0"/>
        </w:tabs>
        <w:spacing w:line="360" w:lineRule="auto"/>
        <w:rPr>
          <w:sz w:val="24"/>
        </w:rPr>
      </w:pPr>
      <w:r w:rsidRPr="00A70FF2">
        <w:rPr>
          <w:sz w:val="24"/>
        </w:rPr>
        <w:tab/>
      </w:r>
      <w:r w:rsidRPr="00A70FF2">
        <w:rPr>
          <w:sz w:val="24"/>
        </w:rPr>
        <w:tab/>
        <w:t>4.</w:t>
      </w:r>
      <w:r w:rsidRPr="00A70FF2">
        <w:rPr>
          <w:sz w:val="24"/>
        </w:rPr>
        <w:tab/>
        <w:t xml:space="preserve">That, so long as </w:t>
      </w:r>
      <w:r>
        <w:rPr>
          <w:sz w:val="24"/>
        </w:rPr>
        <w:t>Theodore Presutti</w:t>
      </w:r>
      <w:r w:rsidRPr="00A70FF2">
        <w:rPr>
          <w:sz w:val="24"/>
        </w:rPr>
        <w:t xml:space="preserve"> adheres to the terms of this Order, Duquesne Light shall not assess any late payment charges nor shall Duquesne Light terminate service to </w:t>
      </w:r>
      <w:r>
        <w:rPr>
          <w:sz w:val="24"/>
        </w:rPr>
        <w:t>Theodore Presutti</w:t>
      </w:r>
      <w:r w:rsidRPr="00A70FF2">
        <w:rPr>
          <w:sz w:val="24"/>
        </w:rPr>
        <w:t>, except for valid safety and/or emergency reasons.</w:t>
      </w:r>
    </w:p>
    <w:p w:rsidR="00A027A6" w:rsidRPr="00465EC2" w:rsidRDefault="00A027A6" w:rsidP="007306B0">
      <w:pPr>
        <w:pStyle w:val="ListParagraph"/>
        <w:tabs>
          <w:tab w:val="left" w:pos="0"/>
        </w:tabs>
        <w:spacing w:line="360" w:lineRule="auto"/>
        <w:ind w:left="1440"/>
        <w:rPr>
          <w:sz w:val="24"/>
        </w:rPr>
      </w:pPr>
    </w:p>
    <w:p w:rsidR="00E65FFF" w:rsidRDefault="00E65FFF" w:rsidP="007306B0">
      <w:pPr>
        <w:tabs>
          <w:tab w:val="left" w:pos="0"/>
        </w:tabs>
        <w:spacing w:line="360" w:lineRule="auto"/>
        <w:rPr>
          <w:sz w:val="24"/>
        </w:rPr>
      </w:pPr>
    </w:p>
    <w:p w:rsidR="00E87761" w:rsidRDefault="008B54B1" w:rsidP="00E87761">
      <w:pPr>
        <w:tabs>
          <w:tab w:val="left" w:pos="0"/>
        </w:tabs>
        <w:jc w:val="both"/>
        <w:rPr>
          <w:sz w:val="24"/>
        </w:rPr>
      </w:pPr>
      <w:r>
        <w:rPr>
          <w:sz w:val="24"/>
        </w:rPr>
        <w:t xml:space="preserve">Date:  </w:t>
      </w:r>
      <w:r w:rsidRPr="008B54B1">
        <w:rPr>
          <w:sz w:val="24"/>
          <w:u w:val="single"/>
        </w:rPr>
        <w:t>December 1, 2011</w:t>
      </w:r>
      <w:r w:rsidR="00E87761">
        <w:rPr>
          <w:sz w:val="24"/>
        </w:rPr>
        <w:tab/>
      </w:r>
      <w:r w:rsidR="00E87761">
        <w:rPr>
          <w:sz w:val="24"/>
        </w:rPr>
        <w:tab/>
      </w:r>
      <w:r w:rsidR="00E87761">
        <w:rPr>
          <w:sz w:val="24"/>
        </w:rPr>
        <w:tab/>
      </w:r>
      <w:r w:rsidR="00E87761">
        <w:rPr>
          <w:sz w:val="24"/>
        </w:rPr>
        <w:tab/>
        <w:t>_______________________________</w:t>
      </w:r>
    </w:p>
    <w:p w:rsidR="00E87761" w:rsidRDefault="00E87761" w:rsidP="00E87761">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Mary D. Long</w:t>
      </w:r>
    </w:p>
    <w:p w:rsidR="00E87761" w:rsidRDefault="00E87761" w:rsidP="00E87761">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p>
    <w:p w:rsidR="007306B0" w:rsidRDefault="007306B0" w:rsidP="00E87761">
      <w:pPr>
        <w:tabs>
          <w:tab w:val="left" w:pos="0"/>
        </w:tabs>
        <w:jc w:val="both"/>
        <w:rPr>
          <w:sz w:val="24"/>
        </w:rPr>
      </w:pPr>
      <w:bookmarkStart w:id="0" w:name="_GoBack"/>
      <w:bookmarkEnd w:id="0"/>
    </w:p>
    <w:sectPr w:rsidR="007306B0" w:rsidSect="007306B0">
      <w:footerReference w:type="even" r:id="rId9"/>
      <w:footerReference w:type="default" r:id="rId10"/>
      <w:pgSz w:w="12240" w:h="15840"/>
      <w:pgMar w:top="1296" w:right="1440" w:bottom="1296"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89E" w:rsidRDefault="0079389E">
      <w:r>
        <w:separator/>
      </w:r>
    </w:p>
  </w:endnote>
  <w:endnote w:type="continuationSeparator" w:id="0">
    <w:p w:rsidR="0079389E" w:rsidRDefault="0079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46DAA">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246DAA">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1A04B8">
      <w:rPr>
        <w:rStyle w:val="PageNumber"/>
        <w:noProof/>
      </w:rPr>
      <w:t>8</w:t>
    </w:r>
    <w:r>
      <w:rPr>
        <w:rStyle w:val="PageNumber"/>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89E" w:rsidRDefault="0079389E">
      <w:r>
        <w:separator/>
      </w:r>
    </w:p>
  </w:footnote>
  <w:footnote w:type="continuationSeparator" w:id="0">
    <w:p w:rsidR="0079389E" w:rsidRDefault="0079389E">
      <w:r>
        <w:continuationSeparator/>
      </w:r>
    </w:p>
  </w:footnote>
  <w:footnote w:id="1">
    <w:p w:rsidR="00035CC2" w:rsidRDefault="00035CC2" w:rsidP="00035CC2">
      <w:pPr>
        <w:pStyle w:val="FootnoteText"/>
        <w:spacing w:after="0"/>
      </w:pPr>
      <w:r w:rsidRPr="00C81B96">
        <w:rPr>
          <w:rStyle w:val="FootnoteReference"/>
        </w:rPr>
        <w:footnoteRef/>
      </w:r>
      <w:r w:rsidRPr="00C81B96">
        <w:t xml:space="preserve"> </w:t>
      </w:r>
      <w:r>
        <w:tab/>
      </w:r>
      <w:r w:rsidRPr="00C81B96">
        <w:t>66 Pa. C.S. §</w:t>
      </w:r>
      <w:r w:rsidR="008B2AD6">
        <w:t xml:space="preserve"> </w:t>
      </w:r>
      <w:r w:rsidRPr="00C81B96">
        <w:t>701.</w:t>
      </w:r>
    </w:p>
    <w:p w:rsidR="00035CC2" w:rsidRPr="00C81B96" w:rsidRDefault="00035CC2" w:rsidP="00035CC2">
      <w:pPr>
        <w:pStyle w:val="FootnoteText"/>
        <w:spacing w:after="0"/>
      </w:pPr>
    </w:p>
  </w:footnote>
  <w:footnote w:id="2">
    <w:p w:rsidR="00035CC2" w:rsidRDefault="00035CC2" w:rsidP="00035CC2">
      <w:pPr>
        <w:pStyle w:val="FootnoteText"/>
        <w:spacing w:after="0"/>
      </w:pPr>
      <w:r w:rsidRPr="00C81B96">
        <w:rPr>
          <w:rStyle w:val="FootnoteReference"/>
        </w:rPr>
        <w:footnoteRef/>
      </w:r>
      <w:r w:rsidRPr="00C81B96">
        <w:t xml:space="preserve"> </w:t>
      </w:r>
      <w:r>
        <w:tab/>
      </w:r>
      <w:r w:rsidRPr="00C81B96">
        <w:t>66 Pa. C.S. §</w:t>
      </w:r>
      <w:r w:rsidR="008B2AD6">
        <w:t xml:space="preserve"> </w:t>
      </w:r>
      <w:r w:rsidRPr="00C81B96">
        <w:t>332(a).</w:t>
      </w:r>
    </w:p>
    <w:p w:rsidR="00035CC2" w:rsidRPr="00C81B96" w:rsidRDefault="00035CC2" w:rsidP="00035CC2">
      <w:pPr>
        <w:pStyle w:val="FootnoteText"/>
        <w:spacing w:after="0"/>
      </w:pPr>
    </w:p>
  </w:footnote>
  <w:footnote w:id="3">
    <w:p w:rsidR="00035CC2" w:rsidRDefault="00035CC2" w:rsidP="00035CC2">
      <w:pPr>
        <w:pStyle w:val="FootnoteText"/>
        <w:spacing w:after="0"/>
      </w:pPr>
      <w:r w:rsidRPr="00C81B96">
        <w:rPr>
          <w:rStyle w:val="FootnoteReference"/>
        </w:rPr>
        <w:footnoteRef/>
      </w:r>
      <w:r w:rsidRPr="00C81B96">
        <w:t xml:space="preserve"> </w:t>
      </w:r>
      <w:r>
        <w:tab/>
      </w:r>
      <w:r w:rsidRPr="000637F9">
        <w:rPr>
          <w:i/>
        </w:rPr>
        <w:t>Se-Ling Hosiery, Inc. v. Margulies</w:t>
      </w:r>
      <w:r w:rsidRPr="00C81B96">
        <w:t xml:space="preserve">, 364 Pa. 45, 70 A.2d 854 (1950); </w:t>
      </w:r>
      <w:r w:rsidRPr="000637F9">
        <w:rPr>
          <w:i/>
        </w:rPr>
        <w:t>Feinstein v. Philadelphia Suburban Water Company</w:t>
      </w:r>
      <w:r w:rsidRPr="000213A4">
        <w:t>,</w:t>
      </w:r>
      <w:r w:rsidRPr="00C81B96">
        <w:t xml:space="preserve"> 50 PA PUC 300 (1976).</w:t>
      </w:r>
    </w:p>
    <w:p w:rsidR="00035CC2" w:rsidRPr="00C81B96" w:rsidRDefault="00035CC2" w:rsidP="00035CC2">
      <w:pPr>
        <w:pStyle w:val="FootnoteText"/>
        <w:spacing w:after="0"/>
      </w:pPr>
    </w:p>
  </w:footnote>
  <w:footnote w:id="4">
    <w:p w:rsidR="002536F5" w:rsidRDefault="002536F5">
      <w:pPr>
        <w:pStyle w:val="FootnoteText"/>
      </w:pPr>
      <w:r>
        <w:rPr>
          <w:rStyle w:val="FootnoteReference"/>
        </w:rPr>
        <w:footnoteRef/>
      </w:r>
      <w:r>
        <w:t xml:space="preserve"> </w:t>
      </w:r>
      <w:r w:rsidR="001E3FF0">
        <w:tab/>
        <w:t>N.T. 74-79.</w:t>
      </w:r>
    </w:p>
  </w:footnote>
  <w:footnote w:id="5">
    <w:p w:rsidR="00BE4CA2" w:rsidRDefault="00BE4CA2">
      <w:pPr>
        <w:pStyle w:val="FootnoteText"/>
      </w:pPr>
      <w:r>
        <w:rPr>
          <w:rStyle w:val="FootnoteReference"/>
        </w:rPr>
        <w:footnoteRef/>
      </w:r>
      <w:r>
        <w:t xml:space="preserve"> </w:t>
      </w:r>
      <w:r>
        <w:tab/>
        <w:t>Duquesne Light Exhibit 6; N.T. 71-74.</w:t>
      </w:r>
    </w:p>
  </w:footnote>
  <w:footnote w:id="6">
    <w:p w:rsidR="006046C5" w:rsidRPr="00FA2394" w:rsidRDefault="006046C5" w:rsidP="006046C5">
      <w:pPr>
        <w:pStyle w:val="FootnoteText"/>
      </w:pPr>
      <w:r w:rsidRPr="00FA2394">
        <w:rPr>
          <w:rStyle w:val="FootnoteReference"/>
        </w:rPr>
        <w:footnoteRef/>
      </w:r>
      <w:r w:rsidRPr="00FA2394">
        <w:t xml:space="preserve"> </w:t>
      </w:r>
      <w:r w:rsidRPr="00FA2394">
        <w:tab/>
        <w:t>66 Pa. C.S. §</w:t>
      </w:r>
      <w:r w:rsidR="008B2AD6">
        <w:t xml:space="preserve"> </w:t>
      </w:r>
      <w:r w:rsidRPr="00FA2394">
        <w:t>1402.</w:t>
      </w:r>
    </w:p>
  </w:footnote>
  <w:footnote w:id="7">
    <w:p w:rsidR="006046C5" w:rsidRPr="00FA2394" w:rsidRDefault="006046C5" w:rsidP="006046C5">
      <w:pPr>
        <w:pStyle w:val="FootnoteText"/>
      </w:pPr>
      <w:r w:rsidRPr="00FA2394">
        <w:rPr>
          <w:rStyle w:val="FootnoteReference"/>
        </w:rPr>
        <w:footnoteRef/>
      </w:r>
      <w:r w:rsidRPr="00FA2394">
        <w:t xml:space="preserve"> </w:t>
      </w:r>
      <w:r w:rsidRPr="00FA2394">
        <w:tab/>
        <w:t>66 Pa. C.S. §</w:t>
      </w:r>
      <w:r w:rsidR="008B2AD6">
        <w:t xml:space="preserve"> </w:t>
      </w:r>
      <w:r w:rsidRPr="00FA2394">
        <w:t>1405(d).</w:t>
      </w:r>
    </w:p>
  </w:footnote>
  <w:footnote w:id="8">
    <w:p w:rsidR="008F1E10" w:rsidRDefault="008F1E10">
      <w:pPr>
        <w:pStyle w:val="FootnoteText"/>
      </w:pPr>
      <w:r>
        <w:rPr>
          <w:rStyle w:val="FootnoteReference"/>
        </w:rPr>
        <w:footnoteRef/>
      </w:r>
      <w:r>
        <w:t xml:space="preserve"> </w:t>
      </w:r>
      <w:r w:rsidR="0096531E">
        <w:t xml:space="preserve"> </w:t>
      </w:r>
      <w:r w:rsidR="0096531E">
        <w:tab/>
      </w:r>
      <w:proofErr w:type="gramStart"/>
      <w:r w:rsidR="0096531E">
        <w:t>Duquesn</w:t>
      </w:r>
      <w:r>
        <w:t>e Light Ex. 1.</w:t>
      </w:r>
      <w:proofErr w:type="gramEnd"/>
    </w:p>
  </w:footnote>
  <w:footnote w:id="9">
    <w:p w:rsidR="004F72CF" w:rsidRDefault="004F72CF">
      <w:pPr>
        <w:pStyle w:val="FootnoteText"/>
      </w:pPr>
      <w:r>
        <w:rPr>
          <w:rStyle w:val="FootnoteReference"/>
        </w:rPr>
        <w:footnoteRef/>
      </w:r>
      <w:r>
        <w:t xml:space="preserve"> </w:t>
      </w:r>
      <w:r>
        <w:tab/>
        <w:t>Finding of Fact No. 4</w:t>
      </w:r>
    </w:p>
  </w:footnote>
  <w:footnote w:id="10">
    <w:p w:rsidR="006046C5" w:rsidRPr="00FA2394" w:rsidRDefault="006046C5" w:rsidP="006046C5">
      <w:pPr>
        <w:pStyle w:val="FootnoteText"/>
      </w:pPr>
      <w:r w:rsidRPr="00FA2394">
        <w:rPr>
          <w:rStyle w:val="FootnoteReference"/>
        </w:rPr>
        <w:footnoteRef/>
      </w:r>
      <w:r w:rsidRPr="00FA2394">
        <w:t xml:space="preserve"> </w:t>
      </w:r>
      <w:r w:rsidRPr="00FA2394">
        <w:tab/>
        <w:t>Federal Register, Vol. 76, No. 13, January 20, 2011.</w:t>
      </w:r>
    </w:p>
  </w:footnote>
  <w:footnote w:id="11">
    <w:p w:rsidR="006046C5" w:rsidRPr="003C009E" w:rsidRDefault="006046C5" w:rsidP="006046C5">
      <w:pPr>
        <w:pStyle w:val="FootnoteText"/>
      </w:pPr>
      <w:r w:rsidRPr="003C009E">
        <w:rPr>
          <w:rStyle w:val="FootnoteReference"/>
        </w:rPr>
        <w:footnoteRef/>
      </w:r>
      <w:r w:rsidRPr="003C009E">
        <w:t xml:space="preserve"> </w:t>
      </w:r>
      <w:r w:rsidRPr="003C009E">
        <w:tab/>
        <w:t>66 Pa. C.S. § 1405(b).</w:t>
      </w:r>
    </w:p>
  </w:footnote>
  <w:footnote w:id="12">
    <w:p w:rsidR="006046C5" w:rsidRDefault="006046C5" w:rsidP="006046C5">
      <w:pPr>
        <w:pStyle w:val="FootnoteText"/>
      </w:pPr>
      <w:r w:rsidRPr="003C009E">
        <w:rPr>
          <w:rStyle w:val="FootnoteReference"/>
        </w:rPr>
        <w:footnoteRef/>
      </w:r>
      <w:r w:rsidRPr="003C009E">
        <w:t xml:space="preserve"> </w:t>
      </w:r>
      <w:r w:rsidRPr="003C009E">
        <w:tab/>
        <w:t xml:space="preserve"> </w:t>
      </w:r>
      <w:r w:rsidRPr="003C009E">
        <w:rPr>
          <w:i/>
        </w:rPr>
        <w:t>E.g., Scaccia v. West Penn Power Co.</w:t>
      </w:r>
      <w:r w:rsidRPr="003C009E">
        <w:t>, 55 PUC 637 (1982)</w:t>
      </w:r>
      <w:r>
        <w:t xml:space="preserve"> </w:t>
      </w:r>
      <w:r w:rsidRPr="003C009E">
        <w:t>(holding that a public utility is entitled to payment for services provided to customers).</w:t>
      </w:r>
    </w:p>
    <w:p w:rsidR="006046C5" w:rsidRPr="003C009E" w:rsidRDefault="006046C5" w:rsidP="006046C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1"/>
  </w:num>
  <w:num w:numId="2">
    <w:abstractNumId w:val="2"/>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13D92"/>
    <w:rsid w:val="0001497D"/>
    <w:rsid w:val="00035CC2"/>
    <w:rsid w:val="00076AB6"/>
    <w:rsid w:val="000E6C11"/>
    <w:rsid w:val="00135B5B"/>
    <w:rsid w:val="001461CA"/>
    <w:rsid w:val="00150015"/>
    <w:rsid w:val="001601CE"/>
    <w:rsid w:val="0017554E"/>
    <w:rsid w:val="00180275"/>
    <w:rsid w:val="00191C8B"/>
    <w:rsid w:val="001927FC"/>
    <w:rsid w:val="001A00E0"/>
    <w:rsid w:val="001A04B8"/>
    <w:rsid w:val="001E3FF0"/>
    <w:rsid w:val="001E59B9"/>
    <w:rsid w:val="0020648C"/>
    <w:rsid w:val="00220FAD"/>
    <w:rsid w:val="00234D44"/>
    <w:rsid w:val="00244AAF"/>
    <w:rsid w:val="00246DAA"/>
    <w:rsid w:val="00247900"/>
    <w:rsid w:val="002536F5"/>
    <w:rsid w:val="00256B89"/>
    <w:rsid w:val="0026268C"/>
    <w:rsid w:val="00273ABB"/>
    <w:rsid w:val="002E57C8"/>
    <w:rsid w:val="002E6DB1"/>
    <w:rsid w:val="002F7B40"/>
    <w:rsid w:val="00322780"/>
    <w:rsid w:val="00332CA0"/>
    <w:rsid w:val="00374FC2"/>
    <w:rsid w:val="003C5286"/>
    <w:rsid w:val="003F56B3"/>
    <w:rsid w:val="004024E6"/>
    <w:rsid w:val="00412B85"/>
    <w:rsid w:val="0044702F"/>
    <w:rsid w:val="004555AB"/>
    <w:rsid w:val="00465EC2"/>
    <w:rsid w:val="0048732E"/>
    <w:rsid w:val="004A1FDE"/>
    <w:rsid w:val="004A6930"/>
    <w:rsid w:val="004B73EA"/>
    <w:rsid w:val="004D22DE"/>
    <w:rsid w:val="004E477C"/>
    <w:rsid w:val="004F53DA"/>
    <w:rsid w:val="004F72CF"/>
    <w:rsid w:val="0051419B"/>
    <w:rsid w:val="00522493"/>
    <w:rsid w:val="00555185"/>
    <w:rsid w:val="00560DC5"/>
    <w:rsid w:val="00565C6B"/>
    <w:rsid w:val="005C68E1"/>
    <w:rsid w:val="005F1DD1"/>
    <w:rsid w:val="005F63B8"/>
    <w:rsid w:val="006046C5"/>
    <w:rsid w:val="006226F3"/>
    <w:rsid w:val="0062463F"/>
    <w:rsid w:val="006675F1"/>
    <w:rsid w:val="0067466A"/>
    <w:rsid w:val="006754D0"/>
    <w:rsid w:val="00691D5E"/>
    <w:rsid w:val="006A470A"/>
    <w:rsid w:val="006B0E93"/>
    <w:rsid w:val="006C3F6C"/>
    <w:rsid w:val="006E2126"/>
    <w:rsid w:val="006F117E"/>
    <w:rsid w:val="006F2A2E"/>
    <w:rsid w:val="00720D79"/>
    <w:rsid w:val="00722F92"/>
    <w:rsid w:val="007306B0"/>
    <w:rsid w:val="00735035"/>
    <w:rsid w:val="00740950"/>
    <w:rsid w:val="007539C9"/>
    <w:rsid w:val="00756B16"/>
    <w:rsid w:val="00780CF8"/>
    <w:rsid w:val="00787C7F"/>
    <w:rsid w:val="0079389E"/>
    <w:rsid w:val="007B1DCC"/>
    <w:rsid w:val="007C0A7A"/>
    <w:rsid w:val="007E2C68"/>
    <w:rsid w:val="0080557F"/>
    <w:rsid w:val="00814F69"/>
    <w:rsid w:val="0082264A"/>
    <w:rsid w:val="00844F99"/>
    <w:rsid w:val="00845FB1"/>
    <w:rsid w:val="00870DEB"/>
    <w:rsid w:val="00873D5F"/>
    <w:rsid w:val="00876C44"/>
    <w:rsid w:val="00884E9C"/>
    <w:rsid w:val="0088543B"/>
    <w:rsid w:val="00894EE4"/>
    <w:rsid w:val="008A7AAF"/>
    <w:rsid w:val="008B2AD6"/>
    <w:rsid w:val="008B54B1"/>
    <w:rsid w:val="008C3295"/>
    <w:rsid w:val="008D6D8C"/>
    <w:rsid w:val="008E71E7"/>
    <w:rsid w:val="008F1E10"/>
    <w:rsid w:val="009146D2"/>
    <w:rsid w:val="009273CA"/>
    <w:rsid w:val="009324B3"/>
    <w:rsid w:val="00933B1B"/>
    <w:rsid w:val="0094162A"/>
    <w:rsid w:val="00946356"/>
    <w:rsid w:val="00950712"/>
    <w:rsid w:val="0095565B"/>
    <w:rsid w:val="0096531E"/>
    <w:rsid w:val="00975788"/>
    <w:rsid w:val="00977C13"/>
    <w:rsid w:val="009A28FC"/>
    <w:rsid w:val="009A7B6A"/>
    <w:rsid w:val="009B2DA0"/>
    <w:rsid w:val="009C0145"/>
    <w:rsid w:val="009D5DAF"/>
    <w:rsid w:val="009F318E"/>
    <w:rsid w:val="00A010AD"/>
    <w:rsid w:val="00A027A6"/>
    <w:rsid w:val="00A07880"/>
    <w:rsid w:val="00A13B55"/>
    <w:rsid w:val="00A15E79"/>
    <w:rsid w:val="00A273B2"/>
    <w:rsid w:val="00A408BC"/>
    <w:rsid w:val="00A5082E"/>
    <w:rsid w:val="00A55188"/>
    <w:rsid w:val="00A602D7"/>
    <w:rsid w:val="00A66381"/>
    <w:rsid w:val="00A70304"/>
    <w:rsid w:val="00A70419"/>
    <w:rsid w:val="00A70FF2"/>
    <w:rsid w:val="00A73D2F"/>
    <w:rsid w:val="00A827AC"/>
    <w:rsid w:val="00A85985"/>
    <w:rsid w:val="00AC540C"/>
    <w:rsid w:val="00AD0EFA"/>
    <w:rsid w:val="00AE525E"/>
    <w:rsid w:val="00B06237"/>
    <w:rsid w:val="00B15525"/>
    <w:rsid w:val="00B25187"/>
    <w:rsid w:val="00B31B43"/>
    <w:rsid w:val="00B44387"/>
    <w:rsid w:val="00B45AD0"/>
    <w:rsid w:val="00B5127B"/>
    <w:rsid w:val="00B64556"/>
    <w:rsid w:val="00B66296"/>
    <w:rsid w:val="00B72196"/>
    <w:rsid w:val="00B7277F"/>
    <w:rsid w:val="00BC689F"/>
    <w:rsid w:val="00BC6AA4"/>
    <w:rsid w:val="00BD0DF4"/>
    <w:rsid w:val="00BD42BA"/>
    <w:rsid w:val="00BE4CA2"/>
    <w:rsid w:val="00BF1ECB"/>
    <w:rsid w:val="00BF4B6C"/>
    <w:rsid w:val="00C07EAD"/>
    <w:rsid w:val="00C1344F"/>
    <w:rsid w:val="00C241E3"/>
    <w:rsid w:val="00C262F7"/>
    <w:rsid w:val="00C35505"/>
    <w:rsid w:val="00C57E07"/>
    <w:rsid w:val="00C606BF"/>
    <w:rsid w:val="00C61032"/>
    <w:rsid w:val="00C70E4D"/>
    <w:rsid w:val="00C7628F"/>
    <w:rsid w:val="00C808EF"/>
    <w:rsid w:val="00C82C53"/>
    <w:rsid w:val="00C837A6"/>
    <w:rsid w:val="00C86EBF"/>
    <w:rsid w:val="00C9313D"/>
    <w:rsid w:val="00CA17C0"/>
    <w:rsid w:val="00CB077E"/>
    <w:rsid w:val="00CB765E"/>
    <w:rsid w:val="00CD20F8"/>
    <w:rsid w:val="00CD5DCC"/>
    <w:rsid w:val="00CE50DF"/>
    <w:rsid w:val="00D14B0A"/>
    <w:rsid w:val="00D40285"/>
    <w:rsid w:val="00D64EDE"/>
    <w:rsid w:val="00D64EFD"/>
    <w:rsid w:val="00D709D1"/>
    <w:rsid w:val="00D776CC"/>
    <w:rsid w:val="00D85F31"/>
    <w:rsid w:val="00D93E5C"/>
    <w:rsid w:val="00D97B1F"/>
    <w:rsid w:val="00DA0FE3"/>
    <w:rsid w:val="00DA43E0"/>
    <w:rsid w:val="00DC3080"/>
    <w:rsid w:val="00DC7235"/>
    <w:rsid w:val="00DE767C"/>
    <w:rsid w:val="00E34C5D"/>
    <w:rsid w:val="00E54A66"/>
    <w:rsid w:val="00E65FFF"/>
    <w:rsid w:val="00E87761"/>
    <w:rsid w:val="00E9055C"/>
    <w:rsid w:val="00EA6B12"/>
    <w:rsid w:val="00EB041E"/>
    <w:rsid w:val="00EB0B2C"/>
    <w:rsid w:val="00EE07A5"/>
    <w:rsid w:val="00F10D22"/>
    <w:rsid w:val="00F1326F"/>
    <w:rsid w:val="00F17D5D"/>
    <w:rsid w:val="00F27A2B"/>
    <w:rsid w:val="00F31256"/>
    <w:rsid w:val="00F44C64"/>
    <w:rsid w:val="00F45549"/>
    <w:rsid w:val="00F64766"/>
    <w:rsid w:val="00F66E07"/>
    <w:rsid w:val="00F75C95"/>
    <w:rsid w:val="00F83550"/>
    <w:rsid w:val="00FA4871"/>
    <w:rsid w:val="00FA52E1"/>
    <w:rsid w:val="00FC100A"/>
    <w:rsid w:val="00FC1BFF"/>
    <w:rsid w:val="00FD0374"/>
    <w:rsid w:val="00FE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customStyle="1" w:styleId="FooterChar">
    <w:name w:val="Footer Char"/>
    <w:basedOn w:val="DefaultParagraphFont"/>
    <w:link w:val="Footer"/>
    <w:rsid w:val="00E87761"/>
  </w:style>
  <w:style w:type="character" w:styleId="FootnoteReference">
    <w:name w:val="footnote reference"/>
    <w:basedOn w:val="DefaultParagraphFont"/>
    <w:uiPriority w:val="99"/>
    <w:unhideWhenUsed/>
    <w:rsid w:val="00035CC2"/>
    <w:rPr>
      <w:rFonts w:ascii="Times New Roman" w:hAnsi="Times New Roman"/>
      <w:vertAlign w:val="superscript"/>
    </w:rPr>
  </w:style>
  <w:style w:type="paragraph" w:styleId="FootnoteText">
    <w:name w:val="footnote text"/>
    <w:aliases w:val="Car"/>
    <w:basedOn w:val="Normal"/>
    <w:link w:val="FootnoteTextChar"/>
    <w:autoRedefine/>
    <w:uiPriority w:val="99"/>
    <w:unhideWhenUsed/>
    <w:qFormat/>
    <w:rsid w:val="00035CC2"/>
    <w:pPr>
      <w:spacing w:after="120"/>
      <w:ind w:firstLine="720"/>
    </w:pPr>
  </w:style>
  <w:style w:type="character" w:customStyle="1" w:styleId="FootnoteTextChar">
    <w:name w:val="Footnote Text Char"/>
    <w:aliases w:val="Car Char"/>
    <w:basedOn w:val="DefaultParagraphFont"/>
    <w:link w:val="FootnoteText"/>
    <w:uiPriority w:val="99"/>
    <w:rsid w:val="00035CC2"/>
  </w:style>
  <w:style w:type="paragraph" w:styleId="BalloonText">
    <w:name w:val="Balloon Text"/>
    <w:basedOn w:val="Normal"/>
    <w:link w:val="BalloonTextChar"/>
    <w:rsid w:val="00977C13"/>
    <w:rPr>
      <w:rFonts w:ascii="Tahoma" w:hAnsi="Tahoma" w:cs="Tahoma"/>
      <w:sz w:val="16"/>
      <w:szCs w:val="16"/>
    </w:rPr>
  </w:style>
  <w:style w:type="character" w:customStyle="1" w:styleId="BalloonTextChar">
    <w:name w:val="Balloon Text Char"/>
    <w:basedOn w:val="DefaultParagraphFont"/>
    <w:link w:val="BalloonText"/>
    <w:rsid w:val="00977C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character" w:customStyle="1" w:styleId="FooterChar">
    <w:name w:val="Footer Char"/>
    <w:basedOn w:val="DefaultParagraphFont"/>
    <w:link w:val="Footer"/>
    <w:rsid w:val="00E87761"/>
  </w:style>
  <w:style w:type="character" w:styleId="FootnoteReference">
    <w:name w:val="footnote reference"/>
    <w:basedOn w:val="DefaultParagraphFont"/>
    <w:uiPriority w:val="99"/>
    <w:unhideWhenUsed/>
    <w:rsid w:val="00035CC2"/>
    <w:rPr>
      <w:rFonts w:ascii="Times New Roman" w:hAnsi="Times New Roman"/>
      <w:vertAlign w:val="superscript"/>
    </w:rPr>
  </w:style>
  <w:style w:type="paragraph" w:styleId="FootnoteText">
    <w:name w:val="footnote text"/>
    <w:aliases w:val="Car"/>
    <w:basedOn w:val="Normal"/>
    <w:link w:val="FootnoteTextChar"/>
    <w:autoRedefine/>
    <w:uiPriority w:val="99"/>
    <w:unhideWhenUsed/>
    <w:qFormat/>
    <w:rsid w:val="00035CC2"/>
    <w:pPr>
      <w:spacing w:after="120"/>
      <w:ind w:firstLine="720"/>
    </w:pPr>
  </w:style>
  <w:style w:type="character" w:customStyle="1" w:styleId="FootnoteTextChar">
    <w:name w:val="Footnote Text Char"/>
    <w:aliases w:val="Car Char"/>
    <w:basedOn w:val="DefaultParagraphFont"/>
    <w:link w:val="FootnoteText"/>
    <w:uiPriority w:val="99"/>
    <w:rsid w:val="00035CC2"/>
  </w:style>
  <w:style w:type="paragraph" w:styleId="BalloonText">
    <w:name w:val="Balloon Text"/>
    <w:basedOn w:val="Normal"/>
    <w:link w:val="BalloonTextChar"/>
    <w:rsid w:val="00977C13"/>
    <w:rPr>
      <w:rFonts w:ascii="Tahoma" w:hAnsi="Tahoma" w:cs="Tahoma"/>
      <w:sz w:val="16"/>
      <w:szCs w:val="16"/>
    </w:rPr>
  </w:style>
  <w:style w:type="character" w:customStyle="1" w:styleId="BalloonTextChar">
    <w:name w:val="Balloon Text Char"/>
    <w:basedOn w:val="DefaultParagraphFont"/>
    <w:link w:val="BalloonText"/>
    <w:rsid w:val="00977C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8325-16D8-4173-A44C-3AF5726D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1929</Words>
  <Characters>11001</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shoffner</cp:lastModifiedBy>
  <cp:revision>2</cp:revision>
  <cp:lastPrinted>2011-12-20T15:44:00Z</cp:lastPrinted>
  <dcterms:created xsi:type="dcterms:W3CDTF">2011-12-20T15:47:00Z</dcterms:created>
  <dcterms:modified xsi:type="dcterms:W3CDTF">2011-12-20T15:47:00Z</dcterms:modified>
</cp:coreProperties>
</file>