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FD6" w:rsidRPr="00DE5EB8" w:rsidRDefault="008E4FD6" w:rsidP="00EA1625">
      <w:pPr>
        <w:jc w:val="center"/>
        <w:rPr>
          <w:b/>
        </w:rPr>
      </w:pPr>
      <w:r w:rsidRPr="00DE5EB8">
        <w:rPr>
          <w:b/>
        </w:rPr>
        <w:t>BEFORE THE</w:t>
      </w:r>
    </w:p>
    <w:p w:rsidR="008E4FD6" w:rsidRPr="00DE5EB8" w:rsidRDefault="008E4FD6" w:rsidP="00EA1625">
      <w:pPr>
        <w:jc w:val="center"/>
        <w:rPr>
          <w:b/>
        </w:rPr>
      </w:pPr>
      <w:r w:rsidRPr="00DE5EB8">
        <w:rPr>
          <w:b/>
        </w:rPr>
        <w:t>PENNSYLVANIA PUBLIC UTILITY COMMISSION</w:t>
      </w:r>
    </w:p>
    <w:p w:rsidR="008E4FD6" w:rsidRPr="00DE5EB8" w:rsidRDefault="008E4FD6" w:rsidP="00EA1625">
      <w:pPr>
        <w:jc w:val="center"/>
        <w:rPr>
          <w:b/>
        </w:rPr>
      </w:pPr>
    </w:p>
    <w:p w:rsidR="008E4FD6" w:rsidRPr="00DE5EB8" w:rsidRDefault="008E4FD6" w:rsidP="00D2354E"/>
    <w:p w:rsidR="008E4FD6" w:rsidRPr="00DE5EB8" w:rsidRDefault="008E4FD6" w:rsidP="00D2354E"/>
    <w:p w:rsidR="00F9732A" w:rsidRPr="00DE5EB8" w:rsidRDefault="006B4F02" w:rsidP="00D2354E">
      <w:r>
        <w:t>Harold J. Harris</w:t>
      </w:r>
      <w:r>
        <w:tab/>
      </w:r>
      <w:r w:rsidR="00F9732A" w:rsidRPr="00DE5EB8">
        <w:tab/>
      </w:r>
      <w:r w:rsidR="00F9732A" w:rsidRPr="00DE5EB8">
        <w:tab/>
      </w:r>
      <w:r w:rsidR="00EF7BB1" w:rsidRPr="00DE5EB8">
        <w:tab/>
      </w:r>
      <w:r w:rsidR="00F9732A" w:rsidRPr="00DE5EB8">
        <w:tab/>
        <w:t>:</w:t>
      </w:r>
      <w:r w:rsidR="00F9732A" w:rsidRPr="00DE5EB8">
        <w:tab/>
      </w:r>
    </w:p>
    <w:p w:rsidR="00F9732A" w:rsidRPr="00DE5EB8" w:rsidRDefault="00F9732A" w:rsidP="00D2354E">
      <w:r w:rsidRPr="00DE5EB8">
        <w:tab/>
      </w:r>
      <w:r w:rsidRPr="00DE5EB8">
        <w:tab/>
      </w:r>
      <w:r w:rsidRPr="00DE5EB8">
        <w:tab/>
      </w:r>
      <w:r w:rsidRPr="00DE5EB8">
        <w:tab/>
      </w:r>
      <w:r w:rsidRPr="00DE5EB8">
        <w:tab/>
      </w:r>
      <w:r w:rsidRPr="00DE5EB8">
        <w:tab/>
      </w:r>
      <w:r w:rsidRPr="00DE5EB8">
        <w:tab/>
        <w:t>:</w:t>
      </w:r>
    </w:p>
    <w:p w:rsidR="00F9732A" w:rsidRPr="00DE5EB8" w:rsidRDefault="00F9732A" w:rsidP="00D2354E">
      <w:pPr>
        <w:numPr>
          <w:ilvl w:val="0"/>
          <w:numId w:val="5"/>
        </w:numPr>
        <w:ind w:hanging="4320"/>
      </w:pPr>
      <w:r w:rsidRPr="00DE5EB8">
        <w:t>:</w:t>
      </w:r>
      <w:r w:rsidRPr="00DE5EB8">
        <w:tab/>
      </w:r>
      <w:r w:rsidR="00F6612B" w:rsidRPr="00DE5EB8">
        <w:tab/>
      </w:r>
      <w:r w:rsidR="004D6DDC" w:rsidRPr="00DE5EB8">
        <w:t>C</w:t>
      </w:r>
      <w:r w:rsidR="006B4F02">
        <w:t>-2011</w:t>
      </w:r>
      <w:r w:rsidR="007B3113" w:rsidRPr="00DE5EB8">
        <w:t>-</w:t>
      </w:r>
      <w:r w:rsidR="004D6DDC" w:rsidRPr="00DE5EB8">
        <w:t>2</w:t>
      </w:r>
      <w:r w:rsidR="006B4F02">
        <w:t>241198</w:t>
      </w:r>
    </w:p>
    <w:p w:rsidR="00F9732A" w:rsidRPr="00DE5EB8" w:rsidRDefault="00F9732A" w:rsidP="00D2354E">
      <w:pPr>
        <w:ind w:left="5040"/>
      </w:pPr>
      <w:r w:rsidRPr="00DE5EB8">
        <w:t>:</w:t>
      </w:r>
    </w:p>
    <w:p w:rsidR="00F9732A" w:rsidRPr="00DE5EB8" w:rsidRDefault="006B4F02" w:rsidP="00D2354E">
      <w:r>
        <w:t>Columbia Gas of Pennsylvania</w:t>
      </w:r>
      <w:r w:rsidR="00C67834">
        <w:t>,</w:t>
      </w:r>
      <w:r>
        <w:t xml:space="preserve"> Inc.</w:t>
      </w:r>
      <w:r w:rsidR="007B3113" w:rsidRPr="00DE5EB8">
        <w:tab/>
      </w:r>
      <w:r w:rsidR="00F9732A" w:rsidRPr="00DE5EB8">
        <w:t xml:space="preserve"> </w:t>
      </w:r>
      <w:r w:rsidR="00F9732A" w:rsidRPr="00DE5EB8">
        <w:tab/>
      </w:r>
      <w:r w:rsidR="00F9732A" w:rsidRPr="00DE5EB8">
        <w:tab/>
        <w:t>:</w:t>
      </w:r>
    </w:p>
    <w:p w:rsidR="004D6DDC" w:rsidRPr="00DE5EB8" w:rsidRDefault="004D6DDC" w:rsidP="00BE6E3A"/>
    <w:p w:rsidR="00BE6E3A" w:rsidRPr="00DE5EB8" w:rsidRDefault="00BE6E3A" w:rsidP="00BE6E3A"/>
    <w:p w:rsidR="008E4FD6" w:rsidRPr="00DE5EB8" w:rsidRDefault="008E4FD6" w:rsidP="00D2354E">
      <w:pPr>
        <w:tabs>
          <w:tab w:val="left" w:pos="1076"/>
        </w:tabs>
      </w:pPr>
    </w:p>
    <w:p w:rsidR="008E4FD6" w:rsidRPr="00DE5EB8" w:rsidRDefault="008E4FD6" w:rsidP="00EA1625">
      <w:pPr>
        <w:jc w:val="center"/>
        <w:rPr>
          <w:b/>
          <w:u w:val="single"/>
        </w:rPr>
      </w:pPr>
      <w:r w:rsidRPr="00DE5EB8">
        <w:rPr>
          <w:b/>
          <w:u w:val="single"/>
        </w:rPr>
        <w:t>INITIAL DECISION</w:t>
      </w:r>
    </w:p>
    <w:p w:rsidR="008E4FD6" w:rsidRPr="00DE5EB8" w:rsidRDefault="008E4FD6" w:rsidP="00EA1625">
      <w:pPr>
        <w:jc w:val="center"/>
      </w:pPr>
    </w:p>
    <w:p w:rsidR="009D47A5" w:rsidRPr="00DE5EB8" w:rsidRDefault="009D47A5" w:rsidP="00EA1625">
      <w:pPr>
        <w:jc w:val="center"/>
      </w:pPr>
    </w:p>
    <w:p w:rsidR="008E4FD6" w:rsidRPr="00DE5EB8" w:rsidRDefault="008E4FD6" w:rsidP="00EA1625">
      <w:pPr>
        <w:jc w:val="center"/>
      </w:pPr>
      <w:r w:rsidRPr="00DE5EB8">
        <w:t>Before</w:t>
      </w:r>
    </w:p>
    <w:p w:rsidR="008E4FD6" w:rsidRPr="00DE5EB8" w:rsidRDefault="00DF0974" w:rsidP="00EA1625">
      <w:pPr>
        <w:jc w:val="center"/>
      </w:pPr>
      <w:r w:rsidRPr="00DE5EB8">
        <w:t>Katrina L. Dunderdale</w:t>
      </w:r>
    </w:p>
    <w:p w:rsidR="008E4FD6" w:rsidRPr="00DE5EB8" w:rsidRDefault="008E4FD6" w:rsidP="00EA1625">
      <w:pPr>
        <w:jc w:val="center"/>
      </w:pPr>
      <w:r w:rsidRPr="00DE5EB8">
        <w:t>Administrative Law Judge</w:t>
      </w:r>
    </w:p>
    <w:p w:rsidR="008E4FD6" w:rsidRPr="00DE5EB8" w:rsidRDefault="008E4FD6" w:rsidP="00D2354E"/>
    <w:p w:rsidR="00BE6E3A" w:rsidRPr="00DE5EB8" w:rsidRDefault="00BE6E3A" w:rsidP="00D2354E"/>
    <w:p w:rsidR="00F9732A" w:rsidRPr="00DE5EB8" w:rsidRDefault="008E4FD6" w:rsidP="00EA1625">
      <w:pPr>
        <w:jc w:val="center"/>
        <w:rPr>
          <w:u w:val="single"/>
        </w:rPr>
      </w:pPr>
      <w:r w:rsidRPr="00DE5EB8">
        <w:rPr>
          <w:u w:val="single"/>
        </w:rPr>
        <w:t>HISTORY OF THE PROCEEDING</w:t>
      </w:r>
    </w:p>
    <w:p w:rsidR="00F9732A" w:rsidRPr="00DE5EB8" w:rsidRDefault="00F9732A" w:rsidP="00D2354E">
      <w:pPr>
        <w:rPr>
          <w:u w:val="single"/>
        </w:rPr>
      </w:pPr>
    </w:p>
    <w:p w:rsidR="00D868FB" w:rsidRPr="00DE5EB8" w:rsidRDefault="00D868FB" w:rsidP="00D2354E">
      <w:pPr>
        <w:rPr>
          <w:u w:val="single"/>
        </w:rPr>
      </w:pPr>
    </w:p>
    <w:p w:rsidR="0041637D" w:rsidRPr="00DE5EB8" w:rsidRDefault="00F9732A" w:rsidP="00EA1625">
      <w:pPr>
        <w:spacing w:line="360" w:lineRule="auto"/>
      </w:pPr>
      <w:r w:rsidRPr="00DE5EB8">
        <w:tab/>
      </w:r>
      <w:r w:rsidRPr="00DE5EB8">
        <w:tab/>
      </w:r>
      <w:r w:rsidR="00E55C1D" w:rsidRPr="00DE5EB8">
        <w:t xml:space="preserve">On </w:t>
      </w:r>
      <w:r w:rsidR="006B4F02">
        <w:t>May 5, 2011</w:t>
      </w:r>
      <w:r w:rsidR="00BD76C8" w:rsidRPr="00DE5EB8">
        <w:t xml:space="preserve">, </w:t>
      </w:r>
      <w:r w:rsidR="006B4F02">
        <w:t>Harold J. Harris</w:t>
      </w:r>
      <w:r w:rsidR="00BD76C8" w:rsidRPr="00DE5EB8">
        <w:t xml:space="preserve"> </w:t>
      </w:r>
      <w:r w:rsidR="00497A4D" w:rsidRPr="00DE5EB8">
        <w:t xml:space="preserve">(“Complainant”) </w:t>
      </w:r>
      <w:r w:rsidR="00BD76C8" w:rsidRPr="00DE5EB8">
        <w:t>filed a formal complaint with the Pennsylvania P</w:t>
      </w:r>
      <w:r w:rsidR="0041637D" w:rsidRPr="00DE5EB8">
        <w:t>u</w:t>
      </w:r>
      <w:r w:rsidR="00BD76C8" w:rsidRPr="00DE5EB8">
        <w:t xml:space="preserve">blic Utility Commission (“Commission”) against </w:t>
      </w:r>
      <w:r w:rsidR="006B4F02">
        <w:t>Columbia Gas of Pennsylvania, Inc.</w:t>
      </w:r>
      <w:r w:rsidR="004201C6" w:rsidRPr="00DE5EB8">
        <w:t xml:space="preserve"> </w:t>
      </w:r>
      <w:r w:rsidR="00BD76C8" w:rsidRPr="00DE5EB8">
        <w:t>(“</w:t>
      </w:r>
      <w:r w:rsidR="006B4F02">
        <w:t>Columbia</w:t>
      </w:r>
      <w:r w:rsidR="00BD76C8" w:rsidRPr="00DE5EB8">
        <w:t>” or “</w:t>
      </w:r>
      <w:r w:rsidR="00FD4410" w:rsidRPr="00DE5EB8">
        <w:t>Respondent</w:t>
      </w:r>
      <w:r w:rsidR="00BD76C8" w:rsidRPr="00DE5EB8">
        <w:t xml:space="preserve">”) </w:t>
      </w:r>
      <w:r w:rsidR="004201C6" w:rsidRPr="00DE5EB8">
        <w:t>alleging</w:t>
      </w:r>
      <w:r w:rsidR="00BD76C8" w:rsidRPr="00DE5EB8">
        <w:t xml:space="preserve"> </w:t>
      </w:r>
      <w:r w:rsidR="00167F64">
        <w:t xml:space="preserve">Columbia damaged the service line to a vacant </w:t>
      </w:r>
      <w:r w:rsidR="00700DAC">
        <w:t>structure</w:t>
      </w:r>
      <w:r w:rsidR="00167F64">
        <w:t xml:space="preserve">, failed to notify Complainant </w:t>
      </w:r>
      <w:r w:rsidR="00F143B0">
        <w:t xml:space="preserve">that service would be </w:t>
      </w:r>
      <w:r w:rsidR="00167F64">
        <w:t xml:space="preserve">terminated for repairs and charged Complainant a monthly service charge during months when Columbia knew it had terminated service.  </w:t>
      </w:r>
      <w:r w:rsidR="00F143B0">
        <w:t xml:space="preserve">Complainant requested the Commission order Columbia to pay for the cost of replacing the damaged line and credit him for the monthly service charges from the time Columbia terminated service until </w:t>
      </w:r>
      <w:r w:rsidR="003847B4">
        <w:t xml:space="preserve">after </w:t>
      </w:r>
      <w:r w:rsidR="00F143B0">
        <w:t xml:space="preserve">Complainant replaced the service line.  </w:t>
      </w:r>
    </w:p>
    <w:p w:rsidR="00AD75C9" w:rsidRPr="00DE5EB8" w:rsidRDefault="00AD75C9" w:rsidP="00EA1625">
      <w:pPr>
        <w:spacing w:line="360" w:lineRule="auto"/>
      </w:pPr>
    </w:p>
    <w:p w:rsidR="000B575F" w:rsidRPr="00DE5EB8" w:rsidRDefault="0041637D" w:rsidP="00EA1625">
      <w:pPr>
        <w:spacing w:line="360" w:lineRule="auto"/>
      </w:pPr>
      <w:r w:rsidRPr="00DE5EB8">
        <w:tab/>
      </w:r>
      <w:r w:rsidRPr="00DE5EB8">
        <w:tab/>
      </w:r>
      <w:r w:rsidR="00167F64">
        <w:t>Columbia</w:t>
      </w:r>
      <w:r w:rsidRPr="00DE5EB8">
        <w:t xml:space="preserve"> filed </w:t>
      </w:r>
      <w:r w:rsidR="00DF0974" w:rsidRPr="00DE5EB8">
        <w:t>an</w:t>
      </w:r>
      <w:r w:rsidR="00580D5E" w:rsidRPr="00DE5EB8">
        <w:t xml:space="preserve"> </w:t>
      </w:r>
      <w:r w:rsidRPr="00DE5EB8">
        <w:t xml:space="preserve">answer in response to </w:t>
      </w:r>
      <w:r w:rsidR="00167F64">
        <w:t>the</w:t>
      </w:r>
      <w:r w:rsidRPr="00DE5EB8">
        <w:t xml:space="preserve"> complaint on </w:t>
      </w:r>
      <w:r w:rsidR="00167F64">
        <w:t>June 6, 2011</w:t>
      </w:r>
      <w:r w:rsidRPr="00DE5EB8">
        <w:t xml:space="preserve">.  In </w:t>
      </w:r>
      <w:r w:rsidR="00DF0974" w:rsidRPr="00DE5EB8">
        <w:t>its</w:t>
      </w:r>
      <w:r w:rsidRPr="00DE5EB8">
        <w:t xml:space="preserve"> </w:t>
      </w:r>
      <w:r w:rsidR="00580D5E" w:rsidRPr="00DE5EB8">
        <w:t xml:space="preserve">responsive pleading, </w:t>
      </w:r>
      <w:r w:rsidR="00F143B0">
        <w:t>Columbia</w:t>
      </w:r>
      <w:r w:rsidR="003F5065" w:rsidRPr="00DE5EB8">
        <w:t xml:space="preserve"> </w:t>
      </w:r>
      <w:r w:rsidR="00167F64">
        <w:t>admitted it turned off service but all</w:t>
      </w:r>
      <w:r w:rsidR="00F143B0">
        <w:t xml:space="preserve">eged the termination resulted when Columbia </w:t>
      </w:r>
      <w:r w:rsidR="003847B4">
        <w:t xml:space="preserve">had to </w:t>
      </w:r>
      <w:r w:rsidR="00F143B0">
        <w:t xml:space="preserve">repair and replace segments of its main service line.  Columbia denies </w:t>
      </w:r>
      <w:r w:rsidR="003847B4">
        <w:t xml:space="preserve">it </w:t>
      </w:r>
      <w:r w:rsidR="00F143B0">
        <w:t>damaged Complainant’s service line and denies it failed to notify C</w:t>
      </w:r>
      <w:r w:rsidR="001D0CEC">
        <w:t>omplainant of the termination.  Columbia requests the Commission dismiss the complaint.</w:t>
      </w:r>
    </w:p>
    <w:p w:rsidR="00A85958" w:rsidRPr="00DE5EB8" w:rsidRDefault="00A85958" w:rsidP="00EA1625">
      <w:pPr>
        <w:spacing w:line="360" w:lineRule="auto"/>
      </w:pPr>
    </w:p>
    <w:p w:rsidR="008E4FD6" w:rsidRPr="00DE5EB8" w:rsidRDefault="009239E5" w:rsidP="00A90945">
      <w:pPr>
        <w:spacing w:line="360" w:lineRule="auto"/>
        <w:ind w:firstLine="1440"/>
      </w:pPr>
      <w:r w:rsidRPr="00DE5EB8">
        <w:lastRenderedPageBreak/>
        <w:t xml:space="preserve">By Telephone Hearing Notice dated </w:t>
      </w:r>
      <w:r w:rsidR="001D0CEC">
        <w:t>August 5, 2011</w:t>
      </w:r>
      <w:r w:rsidRPr="00DE5EB8">
        <w:t xml:space="preserve">, the Public Utility Commission notified the parties an initial telephonic hearing in this case was scheduled for </w:t>
      </w:r>
      <w:r w:rsidR="001D0CEC">
        <w:t>Tuesday</w:t>
      </w:r>
      <w:r w:rsidR="00A90945" w:rsidRPr="00DE5EB8">
        <w:t xml:space="preserve">, </w:t>
      </w:r>
      <w:r w:rsidR="001D0CEC">
        <w:t>September 6, 2011</w:t>
      </w:r>
      <w:r w:rsidR="00D23617" w:rsidRPr="00DE5EB8">
        <w:t xml:space="preserve"> </w:t>
      </w:r>
      <w:r w:rsidR="00590E0C" w:rsidRPr="00DE5EB8">
        <w:t>at 10</w:t>
      </w:r>
      <w:r w:rsidRPr="00DE5EB8">
        <w:t xml:space="preserve">:00 a.m.  </w:t>
      </w:r>
      <w:r w:rsidRPr="00DE5EB8">
        <w:rPr>
          <w:spacing w:val="-3"/>
        </w:rPr>
        <w:t xml:space="preserve">On </w:t>
      </w:r>
      <w:r w:rsidR="00424046" w:rsidRPr="00DE5EB8">
        <w:rPr>
          <w:spacing w:val="-3"/>
        </w:rPr>
        <w:t xml:space="preserve">August </w:t>
      </w:r>
      <w:r w:rsidR="001D0CEC">
        <w:rPr>
          <w:spacing w:val="-3"/>
        </w:rPr>
        <w:t>11, 2011</w:t>
      </w:r>
      <w:r w:rsidRPr="00DE5EB8">
        <w:rPr>
          <w:spacing w:val="-3"/>
        </w:rPr>
        <w:t xml:space="preserve">, the </w:t>
      </w:r>
      <w:r w:rsidR="009737DF" w:rsidRPr="00DE5EB8">
        <w:rPr>
          <w:spacing w:val="-3"/>
        </w:rPr>
        <w:t>presiding officer</w:t>
      </w:r>
      <w:r w:rsidRPr="00DE5EB8">
        <w:rPr>
          <w:spacing w:val="-3"/>
        </w:rPr>
        <w:t xml:space="preserve"> issued a Prehearing Order </w:t>
      </w:r>
      <w:r w:rsidRPr="00DE5EB8">
        <w:t xml:space="preserve">setting forth the date and time of the scheduled hearing.  </w:t>
      </w:r>
      <w:r w:rsidR="00D93CB5" w:rsidRPr="00DE5EB8">
        <w:t xml:space="preserve">  </w:t>
      </w:r>
    </w:p>
    <w:p w:rsidR="008E4FD6" w:rsidRPr="00DE5EB8" w:rsidRDefault="008E4FD6" w:rsidP="00EA1625">
      <w:pPr>
        <w:tabs>
          <w:tab w:val="left" w:pos="2160"/>
        </w:tabs>
        <w:spacing w:line="360" w:lineRule="auto"/>
        <w:ind w:firstLine="1440"/>
      </w:pPr>
    </w:p>
    <w:p w:rsidR="007B4DE2" w:rsidRPr="00DE5EB8" w:rsidRDefault="00212D2D" w:rsidP="007B4DE2">
      <w:pPr>
        <w:tabs>
          <w:tab w:val="left" w:pos="2160"/>
        </w:tabs>
        <w:spacing w:line="360" w:lineRule="auto"/>
        <w:ind w:firstLine="1440"/>
      </w:pPr>
      <w:r w:rsidRPr="00DE5EB8">
        <w:t xml:space="preserve">On </w:t>
      </w:r>
      <w:r w:rsidR="001D0CEC">
        <w:t>September 6, 2011</w:t>
      </w:r>
      <w:r w:rsidRPr="00DE5EB8">
        <w:t xml:space="preserve">, </w:t>
      </w:r>
      <w:r w:rsidR="00754EEB" w:rsidRPr="00DE5EB8">
        <w:t>the presiding officer</w:t>
      </w:r>
      <w:r w:rsidR="00BE6E3A" w:rsidRPr="00DE5EB8">
        <w:t xml:space="preserve"> convened the parties and </w:t>
      </w:r>
      <w:r w:rsidR="00A83CBE" w:rsidRPr="00DE5EB8">
        <w:t>conduct</w:t>
      </w:r>
      <w:r w:rsidR="005243F8" w:rsidRPr="00DE5EB8">
        <w:t>ed</w:t>
      </w:r>
      <w:r w:rsidR="00BE6E3A" w:rsidRPr="00DE5EB8">
        <w:t xml:space="preserve"> a telephonic hearing</w:t>
      </w:r>
      <w:r w:rsidR="00826CBC" w:rsidRPr="00DE5EB8">
        <w:t xml:space="preserve"> </w:t>
      </w:r>
      <w:r w:rsidR="00734AEF" w:rsidRPr="00DE5EB8">
        <w:t xml:space="preserve">at which time </w:t>
      </w:r>
      <w:r w:rsidR="009737DF" w:rsidRPr="00DE5EB8">
        <w:t>Complainant</w:t>
      </w:r>
      <w:r w:rsidR="005243F8" w:rsidRPr="00DE5EB8">
        <w:t xml:space="preserve"> appeared </w:t>
      </w:r>
      <w:r w:rsidR="005243F8" w:rsidRPr="00DE5EB8">
        <w:rPr>
          <w:i/>
        </w:rPr>
        <w:t>pro se</w:t>
      </w:r>
      <w:r w:rsidR="001D0CEC">
        <w:t xml:space="preserve"> and</w:t>
      </w:r>
      <w:r w:rsidR="005D7228" w:rsidRPr="00DE5EB8">
        <w:t xml:space="preserve"> </w:t>
      </w:r>
      <w:r w:rsidR="005243F8" w:rsidRPr="00DE5EB8">
        <w:t>testified on his own behalf</w:t>
      </w:r>
      <w:r w:rsidR="001D0CEC">
        <w:t>.  Mr. Harris did not offer any exhibits</w:t>
      </w:r>
      <w:r w:rsidR="0071351A" w:rsidRPr="00DE5EB8">
        <w:t xml:space="preserve">.  </w:t>
      </w:r>
      <w:r w:rsidR="007B4DE2" w:rsidRPr="00DE5EB8">
        <w:t>Mr. </w:t>
      </w:r>
      <w:r w:rsidR="001D0CEC">
        <w:t>Larry R. Crayne</w:t>
      </w:r>
      <w:r w:rsidR="007B4DE2" w:rsidRPr="00DE5EB8">
        <w:t xml:space="preserve">, Esquire represented </w:t>
      </w:r>
      <w:r w:rsidR="001D0CEC">
        <w:t>Columbia</w:t>
      </w:r>
      <w:r w:rsidR="007B4DE2" w:rsidRPr="00DE5EB8">
        <w:t xml:space="preserve">.  Attorney </w:t>
      </w:r>
      <w:r w:rsidR="001D0CEC">
        <w:t>Crayne</w:t>
      </w:r>
      <w:r w:rsidR="007B4DE2" w:rsidRPr="00DE5EB8">
        <w:t xml:space="preserve"> presented the testimony of </w:t>
      </w:r>
      <w:r w:rsidR="001D0CEC">
        <w:t>two</w:t>
      </w:r>
      <w:r w:rsidR="0071351A" w:rsidRPr="00DE5EB8">
        <w:t xml:space="preserve"> witnesses</w:t>
      </w:r>
      <w:r w:rsidR="007B4DE2" w:rsidRPr="00DE5EB8">
        <w:t xml:space="preserve"> and offered </w:t>
      </w:r>
      <w:r w:rsidR="001D0CEC">
        <w:t>four</w:t>
      </w:r>
      <w:r w:rsidR="007B4DE2" w:rsidRPr="00DE5EB8">
        <w:t xml:space="preserve"> exhibits, marked </w:t>
      </w:r>
      <w:r w:rsidR="001D0CEC">
        <w:t>Columbia Gas</w:t>
      </w:r>
      <w:r w:rsidR="007B4DE2" w:rsidRPr="00DE5EB8">
        <w:t xml:space="preserve"> Exhibit</w:t>
      </w:r>
      <w:r w:rsidR="00123680">
        <w:t>s 1 through 4</w:t>
      </w:r>
      <w:r w:rsidR="007B4DE2" w:rsidRPr="00DE5EB8">
        <w:t xml:space="preserve">, which exhibits the undersigned admitted into evidence at the hearing.  The transcript of the hearing contains </w:t>
      </w:r>
      <w:r w:rsidR="00123680">
        <w:t xml:space="preserve">sixty-two </w:t>
      </w:r>
      <w:r w:rsidR="007B4DE2" w:rsidRPr="00DE5EB8">
        <w:t>(</w:t>
      </w:r>
      <w:r w:rsidR="0071351A" w:rsidRPr="00DE5EB8">
        <w:t>6</w:t>
      </w:r>
      <w:r w:rsidR="00123680">
        <w:t>2</w:t>
      </w:r>
      <w:r w:rsidR="007B4DE2" w:rsidRPr="00DE5EB8">
        <w:t xml:space="preserve">) pages.  Complainant and Respondent issued final statements on the record and the hearing record closed upon the receipt of the transcript.    </w:t>
      </w:r>
    </w:p>
    <w:p w:rsidR="007B4DE2" w:rsidRPr="00DE5EB8" w:rsidRDefault="007B4DE2" w:rsidP="007B4DE2">
      <w:pPr>
        <w:tabs>
          <w:tab w:val="left" w:pos="2160"/>
        </w:tabs>
        <w:spacing w:line="360" w:lineRule="auto"/>
        <w:ind w:firstLine="1440"/>
      </w:pPr>
    </w:p>
    <w:p w:rsidR="007B4DE2" w:rsidRPr="00DE5EB8" w:rsidRDefault="007B4DE2" w:rsidP="007B4DE2">
      <w:pPr>
        <w:tabs>
          <w:tab w:val="left" w:pos="2160"/>
        </w:tabs>
        <w:spacing w:line="360" w:lineRule="auto"/>
        <w:ind w:firstLine="1440"/>
      </w:pPr>
      <w:r w:rsidRPr="00DE5EB8">
        <w:t xml:space="preserve">On </w:t>
      </w:r>
      <w:r w:rsidR="00123680">
        <w:t>September 27, 2011</w:t>
      </w:r>
      <w:r w:rsidR="00E37F28" w:rsidRPr="00DE5EB8">
        <w:t>,</w:t>
      </w:r>
      <w:r w:rsidRPr="00DE5EB8">
        <w:t xml:space="preserve"> the undersigned closed the hearing record by issuing the Interim Order Closing the Hearing Record.</w:t>
      </w:r>
    </w:p>
    <w:p w:rsidR="007B4DE2" w:rsidRPr="00DE5EB8" w:rsidRDefault="007B4DE2" w:rsidP="00EA1625">
      <w:pPr>
        <w:tabs>
          <w:tab w:val="left" w:pos="2160"/>
        </w:tabs>
        <w:spacing w:line="360" w:lineRule="auto"/>
        <w:jc w:val="center"/>
        <w:rPr>
          <w:u w:val="single"/>
        </w:rPr>
      </w:pPr>
    </w:p>
    <w:p w:rsidR="008E4FD6" w:rsidRPr="00DE5EB8" w:rsidRDefault="008E4FD6" w:rsidP="00EA1625">
      <w:pPr>
        <w:tabs>
          <w:tab w:val="left" w:pos="2160"/>
        </w:tabs>
        <w:spacing w:line="360" w:lineRule="auto"/>
        <w:jc w:val="center"/>
        <w:rPr>
          <w:u w:val="single"/>
        </w:rPr>
      </w:pPr>
      <w:r w:rsidRPr="00DE5EB8">
        <w:rPr>
          <w:u w:val="single"/>
        </w:rPr>
        <w:t>FINDINGS OF FACT</w:t>
      </w:r>
    </w:p>
    <w:p w:rsidR="008E4FD6" w:rsidRPr="00DE5EB8" w:rsidRDefault="008E4FD6" w:rsidP="00EA1625">
      <w:pPr>
        <w:tabs>
          <w:tab w:val="left" w:pos="2160"/>
        </w:tabs>
        <w:spacing w:line="360" w:lineRule="auto"/>
        <w:rPr>
          <w:u w:val="single"/>
        </w:rPr>
      </w:pPr>
    </w:p>
    <w:p w:rsidR="00DA66D7" w:rsidRPr="00DE5EB8" w:rsidRDefault="008E4FD6" w:rsidP="00EA1625">
      <w:pPr>
        <w:tabs>
          <w:tab w:val="left" w:pos="2160"/>
        </w:tabs>
        <w:spacing w:line="360" w:lineRule="auto"/>
        <w:ind w:firstLine="1440"/>
      </w:pPr>
      <w:r w:rsidRPr="00DE5EB8">
        <w:t>1.</w:t>
      </w:r>
      <w:r w:rsidRPr="00DE5EB8">
        <w:tab/>
      </w:r>
      <w:r w:rsidR="00FD4410" w:rsidRPr="00DE5EB8">
        <w:t>Complainant</w:t>
      </w:r>
      <w:r w:rsidR="00FA2D82" w:rsidRPr="00DE5EB8">
        <w:t xml:space="preserve">, </w:t>
      </w:r>
      <w:r w:rsidR="00123680">
        <w:t>Harold J. Harris</w:t>
      </w:r>
      <w:r w:rsidR="007402C5" w:rsidRPr="00DE5EB8">
        <w:t>,</w:t>
      </w:r>
      <w:r w:rsidR="0073725A" w:rsidRPr="00DE5EB8">
        <w:t xml:space="preserve"> </w:t>
      </w:r>
      <w:r w:rsidR="00123680">
        <w:t>owns a structure</w:t>
      </w:r>
      <w:r w:rsidR="00291636" w:rsidRPr="00DE5EB8">
        <w:t xml:space="preserve"> </w:t>
      </w:r>
      <w:r w:rsidR="00FA2D82" w:rsidRPr="00DE5EB8">
        <w:t xml:space="preserve">at </w:t>
      </w:r>
      <w:r w:rsidR="00123680">
        <w:t xml:space="preserve">914 </w:t>
      </w:r>
      <w:r w:rsidR="002B7CC9">
        <w:t xml:space="preserve">and 916 </w:t>
      </w:r>
      <w:proofErr w:type="spellStart"/>
      <w:r w:rsidR="00123680">
        <w:t>Gaskill</w:t>
      </w:r>
      <w:proofErr w:type="spellEnd"/>
      <w:r w:rsidR="00123680">
        <w:t xml:space="preserve"> Avenue</w:t>
      </w:r>
      <w:r w:rsidR="002B7CC9">
        <w:t xml:space="preserve"> (“</w:t>
      </w:r>
      <w:proofErr w:type="spellStart"/>
      <w:r w:rsidR="002B7CC9">
        <w:t>Gaskill</w:t>
      </w:r>
      <w:proofErr w:type="spellEnd"/>
      <w:r w:rsidR="002B7CC9">
        <w:t xml:space="preserve"> Avenue”)</w:t>
      </w:r>
      <w:r w:rsidR="00123680">
        <w:t>, Jeannette</w:t>
      </w:r>
      <w:r w:rsidR="00D11E0E" w:rsidRPr="00DE5EB8">
        <w:t xml:space="preserve">, Pennsylvania </w:t>
      </w:r>
      <w:r w:rsidR="000A46F6" w:rsidRPr="00DE5EB8">
        <w:t>1</w:t>
      </w:r>
      <w:r w:rsidR="007402C5" w:rsidRPr="00DE5EB8">
        <w:t>5</w:t>
      </w:r>
      <w:r w:rsidR="00123680">
        <w:t>644</w:t>
      </w:r>
      <w:r w:rsidR="00D11E0E" w:rsidRPr="00DE5EB8">
        <w:t>.</w:t>
      </w:r>
      <w:r w:rsidR="004F40E1" w:rsidRPr="00DE5EB8">
        <w:t xml:space="preserve">  (Tr. </w:t>
      </w:r>
      <w:r w:rsidR="002B7CC9">
        <w:t>13</w:t>
      </w:r>
      <w:r w:rsidR="004F40E1" w:rsidRPr="00DE5EB8">
        <w:t>).</w:t>
      </w:r>
    </w:p>
    <w:p w:rsidR="000B7480" w:rsidRPr="00DE5EB8" w:rsidRDefault="000B7480" w:rsidP="00EA1625">
      <w:pPr>
        <w:tabs>
          <w:tab w:val="left" w:pos="2160"/>
        </w:tabs>
        <w:spacing w:line="360" w:lineRule="auto"/>
        <w:ind w:firstLine="1440"/>
      </w:pPr>
    </w:p>
    <w:p w:rsidR="000B7480" w:rsidRPr="00DE5EB8" w:rsidRDefault="000B7480" w:rsidP="00EA1625">
      <w:pPr>
        <w:tabs>
          <w:tab w:val="left" w:pos="2160"/>
        </w:tabs>
        <w:spacing w:line="360" w:lineRule="auto"/>
        <w:ind w:firstLine="1440"/>
      </w:pPr>
      <w:r w:rsidRPr="00DE5EB8">
        <w:t>2.</w:t>
      </w:r>
      <w:r w:rsidRPr="00DE5EB8">
        <w:tab/>
      </w:r>
      <w:r w:rsidR="00DF087F" w:rsidRPr="00DE5EB8">
        <w:t xml:space="preserve">Respondent </w:t>
      </w:r>
      <w:r w:rsidR="002B7CC9">
        <w:t>provided</w:t>
      </w:r>
      <w:r w:rsidR="00DF087F" w:rsidRPr="00DE5EB8">
        <w:t xml:space="preserve"> natural gas service to </w:t>
      </w:r>
      <w:proofErr w:type="spellStart"/>
      <w:r w:rsidR="002B7CC9">
        <w:t>Gaskill</w:t>
      </w:r>
      <w:proofErr w:type="spellEnd"/>
      <w:r w:rsidR="002B7CC9">
        <w:t xml:space="preserve"> Avenue from October</w:t>
      </w:r>
      <w:r w:rsidR="00396034">
        <w:t> </w:t>
      </w:r>
      <w:r w:rsidR="002B7CC9">
        <w:t>17, 2010 through May 3, 2011</w:t>
      </w:r>
      <w:r w:rsidR="00123680">
        <w:t>.</w:t>
      </w:r>
      <w:r w:rsidR="004B2C3D">
        <w:t xml:space="preserve">  </w:t>
      </w:r>
      <w:r w:rsidR="00123680" w:rsidRPr="00DE5EB8">
        <w:t xml:space="preserve">(Tr. </w:t>
      </w:r>
      <w:r w:rsidR="002B7CC9">
        <w:t>14</w:t>
      </w:r>
      <w:r w:rsidR="00123680" w:rsidRPr="00DE5EB8">
        <w:t>).</w:t>
      </w:r>
    </w:p>
    <w:p w:rsidR="001354D6" w:rsidRPr="00DE5EB8" w:rsidRDefault="001354D6" w:rsidP="00EA1625">
      <w:pPr>
        <w:tabs>
          <w:tab w:val="left" w:pos="2160"/>
        </w:tabs>
        <w:spacing w:line="360" w:lineRule="auto"/>
        <w:ind w:firstLine="1440"/>
      </w:pPr>
    </w:p>
    <w:p w:rsidR="00F35726" w:rsidRDefault="007767D5" w:rsidP="00EA1625">
      <w:pPr>
        <w:tabs>
          <w:tab w:val="left" w:pos="2160"/>
        </w:tabs>
        <w:spacing w:line="360" w:lineRule="auto"/>
        <w:ind w:firstLine="1440"/>
      </w:pPr>
      <w:r w:rsidRPr="00DE5EB8">
        <w:t>3</w:t>
      </w:r>
      <w:r w:rsidR="001354D6" w:rsidRPr="00DE5EB8">
        <w:t>.</w:t>
      </w:r>
      <w:r w:rsidR="001354D6" w:rsidRPr="00DE5EB8">
        <w:tab/>
      </w:r>
      <w:r w:rsidR="00801B41" w:rsidRPr="00DE5EB8">
        <w:t xml:space="preserve"> </w:t>
      </w:r>
      <w:r w:rsidR="00417B5E">
        <w:t>O</w:t>
      </w:r>
      <w:r w:rsidR="002B7CC9">
        <w:t>n October 17, 2010</w:t>
      </w:r>
      <w:r w:rsidR="00846949">
        <w:t>,</w:t>
      </w:r>
      <w:r w:rsidR="002B7CC9">
        <w:t xml:space="preserve"> </w:t>
      </w:r>
      <w:r w:rsidR="003847B4">
        <w:t xml:space="preserve">Respondent </w:t>
      </w:r>
      <w:r w:rsidR="00417B5E">
        <w:t xml:space="preserve">turned on gas service at Gaskill </w:t>
      </w:r>
      <w:r w:rsidR="003847B4">
        <w:t xml:space="preserve">Avenue </w:t>
      </w:r>
      <w:r w:rsidR="002B7CC9">
        <w:t>after</w:t>
      </w:r>
      <w:r w:rsidR="00846949">
        <w:t xml:space="preserve"> a</w:t>
      </w:r>
      <w:r w:rsidR="002B7CC9">
        <w:t xml:space="preserve"> </w:t>
      </w:r>
      <w:r w:rsidR="003847B4">
        <w:t xml:space="preserve">previous </w:t>
      </w:r>
      <w:r w:rsidR="00846949">
        <w:t xml:space="preserve">break in service that lasted </w:t>
      </w:r>
      <w:r w:rsidR="003847B4">
        <w:t>more than</w:t>
      </w:r>
      <w:r w:rsidR="00846949">
        <w:t xml:space="preserve"> eighteen months with a prior owner.  </w:t>
      </w:r>
      <w:r w:rsidR="00417B5E">
        <w:t xml:space="preserve">Complainant was present at the time of the service call.  </w:t>
      </w:r>
      <w:r w:rsidR="00123680" w:rsidRPr="00DE5EB8">
        <w:t xml:space="preserve">(Tr. </w:t>
      </w:r>
      <w:r w:rsidR="00846949">
        <w:t>14</w:t>
      </w:r>
      <w:r w:rsidR="00123680" w:rsidRPr="00DE5EB8">
        <w:t>).</w:t>
      </w:r>
    </w:p>
    <w:p w:rsidR="00123680" w:rsidRPr="00DE5EB8" w:rsidRDefault="00123680" w:rsidP="00EA1625">
      <w:pPr>
        <w:tabs>
          <w:tab w:val="left" w:pos="2160"/>
        </w:tabs>
        <w:spacing w:line="360" w:lineRule="auto"/>
        <w:ind w:firstLine="1440"/>
      </w:pPr>
    </w:p>
    <w:p w:rsidR="00417B5E" w:rsidRDefault="000B7480" w:rsidP="00EA1625">
      <w:pPr>
        <w:tabs>
          <w:tab w:val="left" w:pos="2160"/>
        </w:tabs>
        <w:spacing w:line="360" w:lineRule="auto"/>
        <w:ind w:firstLine="1440"/>
      </w:pPr>
      <w:r w:rsidRPr="00DE5EB8">
        <w:lastRenderedPageBreak/>
        <w:t>4.</w:t>
      </w:r>
      <w:r w:rsidRPr="00DE5EB8">
        <w:tab/>
      </w:r>
      <w:r w:rsidR="00417B5E">
        <w:t>On</w:t>
      </w:r>
      <w:r w:rsidR="003847B4">
        <w:t xml:space="preserve"> October 17, 2010, Respondent </w:t>
      </w:r>
      <w:r w:rsidR="00417B5E">
        <w:t>checked the line, lit all applicable pilot lights</w:t>
      </w:r>
      <w:r w:rsidR="003847B4">
        <w:t xml:space="preserve">, </w:t>
      </w:r>
      <w:r w:rsidR="00B51C0E">
        <w:t xml:space="preserve">checked </w:t>
      </w:r>
      <w:r w:rsidR="00417B5E">
        <w:t>the appliances or elements in the structure which used natural gas</w:t>
      </w:r>
      <w:r w:rsidR="003847B4">
        <w:t xml:space="preserve">, and </w:t>
      </w:r>
      <w:r w:rsidR="00417B5E">
        <w:t>determined there were no leaks</w:t>
      </w:r>
      <w:r w:rsidR="00B51C0E">
        <w:t xml:space="preserve"> or concerns</w:t>
      </w:r>
      <w:r w:rsidR="00417B5E">
        <w:t xml:space="preserve">.  </w:t>
      </w:r>
      <w:r w:rsidR="00B51C0E">
        <w:t>(Tr. 14-15).</w:t>
      </w:r>
    </w:p>
    <w:p w:rsidR="00B51C0E" w:rsidRDefault="00B51C0E" w:rsidP="00EA1625">
      <w:pPr>
        <w:tabs>
          <w:tab w:val="left" w:pos="2160"/>
        </w:tabs>
        <w:spacing w:line="360" w:lineRule="auto"/>
        <w:ind w:firstLine="1440"/>
      </w:pPr>
    </w:p>
    <w:p w:rsidR="00AF767F" w:rsidRPr="00DE5EB8" w:rsidRDefault="00801B41" w:rsidP="00EA1625">
      <w:pPr>
        <w:tabs>
          <w:tab w:val="left" w:pos="2160"/>
        </w:tabs>
        <w:spacing w:line="360" w:lineRule="auto"/>
        <w:ind w:firstLine="1440"/>
      </w:pPr>
      <w:r w:rsidRPr="00DE5EB8">
        <w:t xml:space="preserve"> </w:t>
      </w:r>
      <w:r w:rsidR="00B51C0E">
        <w:t>5.</w:t>
      </w:r>
      <w:r w:rsidR="00B51C0E">
        <w:tab/>
      </w:r>
      <w:r w:rsidR="00846949">
        <w:t xml:space="preserve">Complainant asked </w:t>
      </w:r>
      <w:r w:rsidR="003847B4">
        <w:t>Respondent’s</w:t>
      </w:r>
      <w:r w:rsidR="00846949">
        <w:t xml:space="preserve"> technician to immediately turn off service at the meter</w:t>
      </w:r>
      <w:r w:rsidR="003847B4">
        <w:t xml:space="preserve">, which the technician did, because Complainant did not plan to </w:t>
      </w:r>
      <w:r w:rsidR="00864C6E">
        <w:t>start remodeling the Gaskill Avenue structure for a few months</w:t>
      </w:r>
      <w:r w:rsidR="00846949">
        <w:t xml:space="preserve">.  </w:t>
      </w:r>
      <w:r w:rsidR="00123680" w:rsidRPr="00DE5EB8">
        <w:t xml:space="preserve">(Tr. </w:t>
      </w:r>
      <w:r w:rsidR="00846949">
        <w:t>14-</w:t>
      </w:r>
      <w:r w:rsidR="00B51C0E">
        <w:t>15</w:t>
      </w:r>
      <w:r w:rsidR="00123680" w:rsidRPr="00DE5EB8">
        <w:t>).</w:t>
      </w:r>
    </w:p>
    <w:p w:rsidR="009F0D6C" w:rsidRPr="00DE5EB8" w:rsidRDefault="009F0D6C" w:rsidP="009848F7">
      <w:pPr>
        <w:tabs>
          <w:tab w:val="left" w:pos="2160"/>
        </w:tabs>
        <w:spacing w:line="360" w:lineRule="auto"/>
        <w:ind w:firstLine="1440"/>
      </w:pPr>
    </w:p>
    <w:p w:rsidR="00086D0E" w:rsidRDefault="00B51C0E" w:rsidP="009848F7">
      <w:pPr>
        <w:tabs>
          <w:tab w:val="left" w:pos="2160"/>
        </w:tabs>
        <w:spacing w:line="360" w:lineRule="auto"/>
        <w:ind w:firstLine="1440"/>
      </w:pPr>
      <w:r>
        <w:t>6</w:t>
      </w:r>
      <w:r w:rsidR="00086D0E" w:rsidRPr="00DE5EB8">
        <w:t>.</w:t>
      </w:r>
      <w:r w:rsidR="00086D0E" w:rsidRPr="00DE5EB8">
        <w:tab/>
        <w:t xml:space="preserve"> </w:t>
      </w:r>
      <w:r w:rsidR="00846949">
        <w:t xml:space="preserve">Complainant left the property vacant and without utility services </w:t>
      </w:r>
      <w:r>
        <w:t xml:space="preserve">during the winter and did not start remodeling </w:t>
      </w:r>
      <w:r w:rsidR="00846949">
        <w:t xml:space="preserve">until February </w:t>
      </w:r>
      <w:r w:rsidR="00186A87">
        <w:t xml:space="preserve">23, </w:t>
      </w:r>
      <w:r w:rsidR="00846949">
        <w:t xml:space="preserve">2011.  </w:t>
      </w:r>
      <w:r w:rsidR="00123680" w:rsidRPr="00DE5EB8">
        <w:t xml:space="preserve">(Tr. </w:t>
      </w:r>
      <w:r>
        <w:t>15</w:t>
      </w:r>
      <w:r w:rsidR="00B21CB5">
        <w:t>, 25-26</w:t>
      </w:r>
      <w:r w:rsidR="00123680" w:rsidRPr="00DE5EB8">
        <w:t>).</w:t>
      </w:r>
    </w:p>
    <w:p w:rsidR="00864C6E" w:rsidRDefault="00864C6E" w:rsidP="009848F7">
      <w:pPr>
        <w:tabs>
          <w:tab w:val="left" w:pos="2160"/>
        </w:tabs>
        <w:spacing w:line="360" w:lineRule="auto"/>
        <w:ind w:firstLine="1440"/>
      </w:pPr>
    </w:p>
    <w:p w:rsidR="00864C6E" w:rsidRDefault="00864C6E" w:rsidP="009848F7">
      <w:pPr>
        <w:tabs>
          <w:tab w:val="left" w:pos="2160"/>
        </w:tabs>
        <w:spacing w:line="360" w:lineRule="auto"/>
        <w:ind w:firstLine="1440"/>
      </w:pPr>
      <w:r>
        <w:t>7.</w:t>
      </w:r>
      <w:r>
        <w:tab/>
        <w:t>From October 17, 2010 until February 2011, Complainant visually inspected the vacant Gaskill Avenue structure every week to make sure the structure was okay.  Complainant never found any door knob notice or any other kind of notice allegedly left by Respondent indicating the natural gas service had been discontinued.  (Tr. 25).</w:t>
      </w:r>
    </w:p>
    <w:p w:rsidR="00325F31" w:rsidRDefault="00325F31" w:rsidP="009848F7">
      <w:pPr>
        <w:tabs>
          <w:tab w:val="left" w:pos="2160"/>
        </w:tabs>
        <w:spacing w:line="360" w:lineRule="auto"/>
        <w:ind w:firstLine="1440"/>
      </w:pPr>
    </w:p>
    <w:p w:rsidR="00325F31" w:rsidRDefault="00325F31" w:rsidP="009848F7">
      <w:pPr>
        <w:tabs>
          <w:tab w:val="left" w:pos="2160"/>
        </w:tabs>
        <w:spacing w:line="360" w:lineRule="auto"/>
        <w:ind w:firstLine="1440"/>
      </w:pPr>
      <w:r>
        <w:t>8.</w:t>
      </w:r>
      <w:r>
        <w:tab/>
        <w:t>On October 11, 2010, consumption on Respondent’s meter read “4243”, and continued to register “4243” when read on December 8, 2010; February 9, 2011 and March</w:t>
      </w:r>
      <w:r w:rsidR="00786EC3">
        <w:t> </w:t>
      </w:r>
      <w:r>
        <w:t>11, 2011.  (Columbia Gas Exhibit 1).</w:t>
      </w:r>
    </w:p>
    <w:p w:rsidR="00864C6E" w:rsidRDefault="00864C6E" w:rsidP="009848F7">
      <w:pPr>
        <w:tabs>
          <w:tab w:val="left" w:pos="2160"/>
        </w:tabs>
        <w:spacing w:line="360" w:lineRule="auto"/>
        <w:ind w:firstLine="1440"/>
      </w:pPr>
    </w:p>
    <w:p w:rsidR="00864C6E" w:rsidRPr="00DE5EB8" w:rsidRDefault="002622F3" w:rsidP="009848F7">
      <w:pPr>
        <w:tabs>
          <w:tab w:val="left" w:pos="2160"/>
        </w:tabs>
        <w:spacing w:line="360" w:lineRule="auto"/>
        <w:ind w:firstLine="1440"/>
      </w:pPr>
      <w:r>
        <w:t>9</w:t>
      </w:r>
      <w:r w:rsidR="00864C6E">
        <w:t>.</w:t>
      </w:r>
      <w:r w:rsidR="00864C6E">
        <w:tab/>
      </w:r>
      <w:r w:rsidR="00325F31">
        <w:t xml:space="preserve">Respondent sent billing statements to Complainant, which Complainant paid, </w:t>
      </w:r>
      <w:r w:rsidR="00864C6E">
        <w:t>from October 2010 through February 2011</w:t>
      </w:r>
      <w:r w:rsidR="00325F31">
        <w:t>, even though Respondent knew no gas was consumed</w:t>
      </w:r>
      <w:r w:rsidR="009C2CAB">
        <w:t xml:space="preserve"> from October 17, 2010 through March 3, 2011 and despite Respondent’s action to discontinue service in November 2010</w:t>
      </w:r>
      <w:r w:rsidR="00864C6E">
        <w:t xml:space="preserve">.  </w:t>
      </w:r>
      <w:r w:rsidR="00864C6E" w:rsidRPr="00DE5EB8">
        <w:t xml:space="preserve">(Tr. </w:t>
      </w:r>
      <w:r w:rsidR="00864C6E">
        <w:t>16</w:t>
      </w:r>
      <w:r w:rsidR="00864C6E" w:rsidRPr="00DE5EB8">
        <w:t>).</w:t>
      </w:r>
    </w:p>
    <w:p w:rsidR="00086D0E" w:rsidRDefault="00086D0E" w:rsidP="009848F7">
      <w:pPr>
        <w:tabs>
          <w:tab w:val="left" w:pos="2160"/>
        </w:tabs>
        <w:spacing w:line="360" w:lineRule="auto"/>
        <w:ind w:firstLine="1440"/>
      </w:pPr>
    </w:p>
    <w:p w:rsidR="00AA484C" w:rsidRDefault="002622F3" w:rsidP="009848F7">
      <w:pPr>
        <w:tabs>
          <w:tab w:val="left" w:pos="2160"/>
        </w:tabs>
        <w:spacing w:line="360" w:lineRule="auto"/>
        <w:ind w:firstLine="1440"/>
      </w:pPr>
      <w:r>
        <w:t>10</w:t>
      </w:r>
      <w:r w:rsidR="00AA484C">
        <w:t>.</w:t>
      </w:r>
      <w:r w:rsidR="00AA484C">
        <w:tab/>
        <w:t xml:space="preserve">In June 2010, Respondent </w:t>
      </w:r>
      <w:r w:rsidR="009C2CAB">
        <w:t xml:space="preserve">had </w:t>
      </w:r>
      <w:r w:rsidR="00AA484C">
        <w:t xml:space="preserve">determined the main gas line in the vicinity of the Gaskill </w:t>
      </w:r>
      <w:r w:rsidR="00CE5865">
        <w:t xml:space="preserve">Avenue </w:t>
      </w:r>
      <w:r w:rsidR="00AA484C">
        <w:t>structure</w:t>
      </w:r>
      <w:r w:rsidR="00CE5865">
        <w:t xml:space="preserve"> had a leak.  Respondent</w:t>
      </w:r>
      <w:r w:rsidR="00AA484C">
        <w:t xml:space="preserve"> directed its work crews to repair the leak by clamping the main line and replacing Respondent’s service line from the main line to the customer’s property line</w:t>
      </w:r>
      <w:r w:rsidR="00CE5865">
        <w:t xml:space="preserve">.  </w:t>
      </w:r>
      <w:r w:rsidR="009C2CAB">
        <w:t>Respondent</w:t>
      </w:r>
      <w:r w:rsidR="00CE5865">
        <w:t xml:space="preserve"> scheduled </w:t>
      </w:r>
      <w:r w:rsidR="009C2CAB">
        <w:t xml:space="preserve">that work </w:t>
      </w:r>
      <w:r w:rsidR="00CE5865">
        <w:t>to take place in the vicinity of the Gaskill Avenue structure in November 2010</w:t>
      </w:r>
      <w:r w:rsidR="00AA484C">
        <w:t>.  (Tr. 39-40).</w:t>
      </w:r>
    </w:p>
    <w:p w:rsidR="00300BDC" w:rsidRDefault="00300BDC" w:rsidP="009848F7">
      <w:pPr>
        <w:tabs>
          <w:tab w:val="left" w:pos="2160"/>
        </w:tabs>
        <w:spacing w:line="360" w:lineRule="auto"/>
        <w:ind w:firstLine="1440"/>
      </w:pPr>
    </w:p>
    <w:p w:rsidR="00300BDC" w:rsidRDefault="002622F3" w:rsidP="009848F7">
      <w:pPr>
        <w:tabs>
          <w:tab w:val="left" w:pos="2160"/>
        </w:tabs>
        <w:spacing w:line="360" w:lineRule="auto"/>
        <w:ind w:firstLine="1440"/>
      </w:pPr>
      <w:r>
        <w:lastRenderedPageBreak/>
        <w:t>11</w:t>
      </w:r>
      <w:r w:rsidR="00300BDC">
        <w:t>.</w:t>
      </w:r>
      <w:r w:rsidR="00300BDC">
        <w:tab/>
        <w:t>On November 11, 2010, Respondent completed repairs to its main line and service lines around the Gaskill structure.  (Tr. 39, 42).</w:t>
      </w:r>
    </w:p>
    <w:p w:rsidR="00300BDC" w:rsidRDefault="00300BDC" w:rsidP="009848F7">
      <w:pPr>
        <w:tabs>
          <w:tab w:val="left" w:pos="2160"/>
        </w:tabs>
        <w:spacing w:line="360" w:lineRule="auto"/>
        <w:ind w:firstLine="1440"/>
      </w:pPr>
    </w:p>
    <w:p w:rsidR="00F83DDB" w:rsidRDefault="002622F3" w:rsidP="009848F7">
      <w:pPr>
        <w:tabs>
          <w:tab w:val="left" w:pos="2160"/>
        </w:tabs>
        <w:spacing w:line="360" w:lineRule="auto"/>
        <w:ind w:firstLine="1440"/>
      </w:pPr>
      <w:r>
        <w:t>12</w:t>
      </w:r>
      <w:r w:rsidR="00F83DDB">
        <w:t>.</w:t>
      </w:r>
      <w:r w:rsidR="00F83DDB">
        <w:tab/>
      </w:r>
      <w:r w:rsidR="00186A87">
        <w:t xml:space="preserve">On February 23, 2011, Complainant turned on the gas at the meter but when he attempted to light the furnace, there was no gas service.  </w:t>
      </w:r>
      <w:r w:rsidR="00123680" w:rsidRPr="00DE5EB8">
        <w:t xml:space="preserve">(Tr. </w:t>
      </w:r>
      <w:r w:rsidR="00186A87">
        <w:t>16</w:t>
      </w:r>
      <w:r w:rsidR="00123680" w:rsidRPr="00DE5EB8">
        <w:t>).</w:t>
      </w:r>
    </w:p>
    <w:p w:rsidR="00F83DDB" w:rsidRPr="00DE5EB8" w:rsidRDefault="00F83DDB" w:rsidP="009848F7">
      <w:pPr>
        <w:tabs>
          <w:tab w:val="left" w:pos="2160"/>
        </w:tabs>
        <w:spacing w:line="360" w:lineRule="auto"/>
        <w:ind w:firstLine="1440"/>
      </w:pPr>
    </w:p>
    <w:p w:rsidR="00086D0E" w:rsidRPr="00DE5EB8" w:rsidRDefault="002622F3" w:rsidP="009848F7">
      <w:pPr>
        <w:tabs>
          <w:tab w:val="left" w:pos="2160"/>
        </w:tabs>
        <w:spacing w:line="360" w:lineRule="auto"/>
        <w:ind w:firstLine="1440"/>
      </w:pPr>
      <w:r>
        <w:t>13</w:t>
      </w:r>
      <w:r w:rsidR="00086D0E" w:rsidRPr="00DE5EB8">
        <w:t>.</w:t>
      </w:r>
      <w:r w:rsidR="00086D0E" w:rsidRPr="00DE5EB8">
        <w:tab/>
      </w:r>
      <w:r w:rsidR="00186A87">
        <w:t xml:space="preserve">On February 23, 2011, Complainant contacted Respondent about the lack of </w:t>
      </w:r>
      <w:r w:rsidR="00CE5865">
        <w:t xml:space="preserve">natural gas </w:t>
      </w:r>
      <w:r w:rsidR="00186A87">
        <w:t>service</w:t>
      </w:r>
      <w:r w:rsidR="00DF37F3">
        <w:t xml:space="preserve">.  </w:t>
      </w:r>
      <w:r w:rsidR="00186A87">
        <w:t xml:space="preserve"> </w:t>
      </w:r>
      <w:r w:rsidR="00CE5865">
        <w:t xml:space="preserve">Respondent </w:t>
      </w:r>
      <w:r w:rsidR="009C2CAB">
        <w:t>informed</w:t>
      </w:r>
      <w:r w:rsidR="00CE5865">
        <w:t xml:space="preserve"> Complainant the natural gas servi</w:t>
      </w:r>
      <w:r w:rsidR="00DF37F3">
        <w:t xml:space="preserve">ce was still “on” at the </w:t>
      </w:r>
      <w:r w:rsidR="00CE5865">
        <w:t>structure.  Respondent</w:t>
      </w:r>
      <w:r w:rsidR="009C2CAB">
        <w:t>’s records</w:t>
      </w:r>
      <w:r w:rsidR="00CE5865">
        <w:t xml:space="preserve"> did not </w:t>
      </w:r>
      <w:r w:rsidR="009C2CAB">
        <w:t>reflect Respondent</w:t>
      </w:r>
      <w:r w:rsidR="00CE5865">
        <w:t xml:space="preserve"> had discontinued service back in November 2010</w:t>
      </w:r>
      <w:r w:rsidR="009C2CAB">
        <w:t xml:space="preserve"> or that no natural gas was consumed after October 11, 2010</w:t>
      </w:r>
      <w:r w:rsidR="00CE5865">
        <w:t xml:space="preserve">.  </w:t>
      </w:r>
      <w:r w:rsidR="00CE5865" w:rsidRPr="00DE5EB8">
        <w:t xml:space="preserve">(Tr. </w:t>
      </w:r>
      <w:r w:rsidR="00DF37F3">
        <w:t xml:space="preserve">16, </w:t>
      </w:r>
      <w:r w:rsidR="00CE5865">
        <w:t>24-25</w:t>
      </w:r>
      <w:r w:rsidR="00DF37F3">
        <w:t>, 30</w:t>
      </w:r>
      <w:r w:rsidR="009C2CAB">
        <w:t>; Columbia Gas Exhibit 1</w:t>
      </w:r>
      <w:r w:rsidR="00CE5865" w:rsidRPr="00DE5EB8">
        <w:t>).</w:t>
      </w:r>
    </w:p>
    <w:p w:rsidR="00CE5865" w:rsidRPr="00DE5EB8" w:rsidRDefault="00CE5865" w:rsidP="009848F7">
      <w:pPr>
        <w:tabs>
          <w:tab w:val="left" w:pos="2160"/>
        </w:tabs>
        <w:spacing w:line="360" w:lineRule="auto"/>
        <w:ind w:firstLine="1440"/>
      </w:pPr>
    </w:p>
    <w:p w:rsidR="00E13FEC" w:rsidRDefault="002622F3" w:rsidP="009848F7">
      <w:pPr>
        <w:tabs>
          <w:tab w:val="left" w:pos="2160"/>
        </w:tabs>
        <w:spacing w:line="360" w:lineRule="auto"/>
        <w:ind w:firstLine="1440"/>
      </w:pPr>
      <w:r>
        <w:t>14</w:t>
      </w:r>
      <w:r w:rsidR="00754EEB" w:rsidRPr="00DE5EB8">
        <w:t>.</w:t>
      </w:r>
      <w:r w:rsidR="00754EEB" w:rsidRPr="00DE5EB8">
        <w:tab/>
      </w:r>
      <w:r w:rsidR="00186A87">
        <w:t xml:space="preserve">Respondent called Complainant </w:t>
      </w:r>
      <w:r w:rsidR="00DF37F3">
        <w:t xml:space="preserve">later </w:t>
      </w:r>
      <w:r w:rsidR="00186A87">
        <w:t xml:space="preserve">and told him that, in fact, there was </w:t>
      </w:r>
      <w:r w:rsidR="00186A87" w:rsidRPr="00DF37F3">
        <w:rPr>
          <w:u w:val="single"/>
        </w:rPr>
        <w:t>no</w:t>
      </w:r>
      <w:r w:rsidR="00186A87">
        <w:t xml:space="preserve"> service to the Gaskill </w:t>
      </w:r>
      <w:r w:rsidR="00DF37F3">
        <w:t xml:space="preserve">Avenue </w:t>
      </w:r>
      <w:r w:rsidR="00186A87">
        <w:t xml:space="preserve">structure.  </w:t>
      </w:r>
      <w:r w:rsidR="00123680" w:rsidRPr="00DE5EB8">
        <w:t xml:space="preserve">(Tr. </w:t>
      </w:r>
      <w:r w:rsidR="00186A87">
        <w:t>16</w:t>
      </w:r>
      <w:r w:rsidR="00123680" w:rsidRPr="00DE5EB8">
        <w:t>).</w:t>
      </w:r>
    </w:p>
    <w:p w:rsidR="00E13FEC" w:rsidRDefault="00E13FEC" w:rsidP="009848F7">
      <w:pPr>
        <w:tabs>
          <w:tab w:val="left" w:pos="2160"/>
        </w:tabs>
        <w:spacing w:line="360" w:lineRule="auto"/>
        <w:ind w:firstLine="1440"/>
      </w:pPr>
    </w:p>
    <w:p w:rsidR="00AF767F" w:rsidRDefault="002622F3" w:rsidP="00DF37F3">
      <w:pPr>
        <w:tabs>
          <w:tab w:val="left" w:pos="2160"/>
        </w:tabs>
        <w:spacing w:line="360" w:lineRule="auto"/>
        <w:ind w:firstLine="1440"/>
      </w:pPr>
      <w:r>
        <w:t>15</w:t>
      </w:r>
      <w:r w:rsidR="00E13FEC">
        <w:t>.</w:t>
      </w:r>
      <w:r w:rsidR="00E13FEC">
        <w:tab/>
        <w:t xml:space="preserve"> </w:t>
      </w:r>
      <w:r w:rsidR="00B36B16">
        <w:t>R</w:t>
      </w:r>
      <w:r w:rsidR="00DF37F3">
        <w:t xml:space="preserve">espondent </w:t>
      </w:r>
      <w:r w:rsidR="00B36B16">
        <w:t xml:space="preserve">returned to the structure </w:t>
      </w:r>
      <w:r w:rsidR="00DF37F3">
        <w:t xml:space="preserve">to resume service but </w:t>
      </w:r>
      <w:r w:rsidR="00BC497A">
        <w:t>told Complainant</w:t>
      </w:r>
      <w:r w:rsidR="00B36B16">
        <w:t xml:space="preserve"> </w:t>
      </w:r>
      <w:r w:rsidR="009C2CAB">
        <w:t>it</w:t>
      </w:r>
      <w:r>
        <w:t xml:space="preserve"> detected</w:t>
      </w:r>
      <w:r w:rsidR="006062CB">
        <w:t xml:space="preserve"> </w:t>
      </w:r>
      <w:r w:rsidR="00B36B16">
        <w:t xml:space="preserve">a gas leak in </w:t>
      </w:r>
      <w:r w:rsidR="00BC497A">
        <w:t>his section of the</w:t>
      </w:r>
      <w:r w:rsidR="00B36B16">
        <w:t xml:space="preserve"> service line from the street to the </w:t>
      </w:r>
      <w:proofErr w:type="spellStart"/>
      <w:r w:rsidR="00B36B16">
        <w:t>Gaskill</w:t>
      </w:r>
      <w:proofErr w:type="spellEnd"/>
      <w:r w:rsidR="00E04E15">
        <w:t> </w:t>
      </w:r>
      <w:r w:rsidR="00DF37F3">
        <w:t xml:space="preserve">Avenue </w:t>
      </w:r>
      <w:r w:rsidR="00B36B16">
        <w:t xml:space="preserve">structure.  </w:t>
      </w:r>
      <w:r w:rsidR="00976251">
        <w:t xml:space="preserve">Respondent </w:t>
      </w:r>
      <w:r w:rsidR="00DF37F3">
        <w:t>did not tell</w:t>
      </w:r>
      <w:r w:rsidR="00976251">
        <w:t xml:space="preserve"> Complainant where the leak was located on </w:t>
      </w:r>
      <w:r w:rsidR="00DF37F3">
        <w:t>his</w:t>
      </w:r>
      <w:r w:rsidR="00976251">
        <w:t xml:space="preserve"> service line.  </w:t>
      </w:r>
      <w:r w:rsidR="00123680" w:rsidRPr="00DE5EB8">
        <w:t xml:space="preserve">(Tr. </w:t>
      </w:r>
      <w:r w:rsidR="00B36B16">
        <w:t>16</w:t>
      </w:r>
      <w:r w:rsidR="009F4B84">
        <w:t>, 20</w:t>
      </w:r>
      <w:r w:rsidR="00976251">
        <w:t>, 22</w:t>
      </w:r>
      <w:r w:rsidR="00123680" w:rsidRPr="00DE5EB8">
        <w:t>).</w:t>
      </w:r>
    </w:p>
    <w:p w:rsidR="00431FA9" w:rsidRDefault="00431FA9" w:rsidP="009848F7">
      <w:pPr>
        <w:tabs>
          <w:tab w:val="left" w:pos="2160"/>
        </w:tabs>
        <w:spacing w:line="360" w:lineRule="auto"/>
        <w:ind w:firstLine="1440"/>
      </w:pPr>
    </w:p>
    <w:p w:rsidR="00431FA9" w:rsidRDefault="002622F3" w:rsidP="009848F7">
      <w:pPr>
        <w:tabs>
          <w:tab w:val="left" w:pos="2160"/>
        </w:tabs>
        <w:spacing w:line="360" w:lineRule="auto"/>
        <w:ind w:firstLine="1440"/>
      </w:pPr>
      <w:r>
        <w:t>16</w:t>
      </w:r>
      <w:r w:rsidR="00431FA9">
        <w:t>.</w:t>
      </w:r>
      <w:r w:rsidR="00431FA9">
        <w:tab/>
      </w:r>
      <w:r w:rsidR="00106CCE">
        <w:t xml:space="preserve">In February 2011, Respondent </w:t>
      </w:r>
      <w:r w:rsidR="00B36B16">
        <w:t xml:space="preserve">told Complainant that Respondent </w:t>
      </w:r>
      <w:r w:rsidR="00BC497A">
        <w:t xml:space="preserve">shut off his natural gas service back in November 2010, </w:t>
      </w:r>
      <w:r w:rsidR="00B36B16">
        <w:t xml:space="preserve">dug up the </w:t>
      </w:r>
      <w:r w:rsidR="00700DAC">
        <w:t xml:space="preserve">concrete </w:t>
      </w:r>
      <w:r w:rsidR="00B36B16">
        <w:t>sidewalk</w:t>
      </w:r>
      <w:r w:rsidR="00BC497A">
        <w:t xml:space="preserve">, </w:t>
      </w:r>
      <w:r w:rsidR="00B36B16">
        <w:t xml:space="preserve">replaced the </w:t>
      </w:r>
      <w:r w:rsidR="006062CB">
        <w:t xml:space="preserve">utility’s </w:t>
      </w:r>
      <w:r w:rsidR="00B36B16">
        <w:t>main service line in front of the structure</w:t>
      </w:r>
      <w:r w:rsidR="00700DAC">
        <w:t xml:space="preserve"> and left gravel instead of concrete</w:t>
      </w:r>
      <w:r w:rsidR="006062CB">
        <w:t xml:space="preserve">, </w:t>
      </w:r>
      <w:r w:rsidR="00FC058B">
        <w:t xml:space="preserve">and </w:t>
      </w:r>
      <w:r w:rsidR="00BC497A">
        <w:t xml:space="preserve">Respondent </w:t>
      </w:r>
      <w:r w:rsidR="006062CB">
        <w:t>did not replace</w:t>
      </w:r>
      <w:r w:rsidR="00BC497A">
        <w:t xml:space="preserve"> </w:t>
      </w:r>
      <w:r w:rsidR="00FC058B">
        <w:t>the</w:t>
      </w:r>
      <w:r w:rsidR="00BC497A">
        <w:t xml:space="preserve"> </w:t>
      </w:r>
      <w:r w:rsidR="009F4B84">
        <w:t xml:space="preserve">concrete </w:t>
      </w:r>
      <w:r w:rsidR="006062CB">
        <w:t xml:space="preserve">until </w:t>
      </w:r>
      <w:r w:rsidR="009F4B84">
        <w:t xml:space="preserve">after Complainant </w:t>
      </w:r>
      <w:r w:rsidR="00BC497A">
        <w:t>replaced</w:t>
      </w:r>
      <w:r w:rsidR="009F4B84">
        <w:t xml:space="preserve"> the service line.  </w:t>
      </w:r>
      <w:r w:rsidR="00123680" w:rsidRPr="00DE5EB8">
        <w:t>(Tr.</w:t>
      </w:r>
      <w:r w:rsidR="00E04E15">
        <w:t> </w:t>
      </w:r>
      <w:r w:rsidR="00B36B16">
        <w:t>17</w:t>
      </w:r>
      <w:r w:rsidR="009F4B84">
        <w:t>-20</w:t>
      </w:r>
      <w:r w:rsidR="00123680" w:rsidRPr="00DE5EB8">
        <w:t>).</w:t>
      </w:r>
    </w:p>
    <w:p w:rsidR="00636266" w:rsidRDefault="00431FA9" w:rsidP="002622F3">
      <w:pPr>
        <w:tabs>
          <w:tab w:val="left" w:pos="2160"/>
        </w:tabs>
        <w:spacing w:line="360" w:lineRule="auto"/>
      </w:pPr>
      <w:r>
        <w:tab/>
      </w:r>
    </w:p>
    <w:p w:rsidR="004851CD" w:rsidRPr="00DE5EB8" w:rsidRDefault="003347C3" w:rsidP="009848F7">
      <w:pPr>
        <w:tabs>
          <w:tab w:val="left" w:pos="2160"/>
        </w:tabs>
        <w:spacing w:line="360" w:lineRule="auto"/>
        <w:ind w:firstLine="1440"/>
      </w:pPr>
      <w:r>
        <w:t>17</w:t>
      </w:r>
      <w:r w:rsidR="004851CD">
        <w:t>.</w:t>
      </w:r>
      <w:r w:rsidR="004851CD">
        <w:tab/>
      </w:r>
      <w:r w:rsidR="009F4B84">
        <w:t xml:space="preserve">Complainant </w:t>
      </w:r>
      <w:r w:rsidR="00976251">
        <w:t>paid $1,400 to</w:t>
      </w:r>
      <w:r w:rsidR="009F4B84">
        <w:t xml:space="preserve"> Zona Brothers Plumbing, a registered plumbing company, </w:t>
      </w:r>
      <w:r w:rsidR="00976251">
        <w:t>to replace</w:t>
      </w:r>
      <w:r w:rsidR="009F4B84">
        <w:t xml:space="preserve"> the service line.  </w:t>
      </w:r>
      <w:r w:rsidR="00976251">
        <w:t xml:space="preserve">The line was replaced around February 28, 2011.  </w:t>
      </w:r>
      <w:r w:rsidR="00123680" w:rsidRPr="00DE5EB8">
        <w:t xml:space="preserve">(Tr. </w:t>
      </w:r>
      <w:r w:rsidR="009F4B84">
        <w:t>20-21</w:t>
      </w:r>
      <w:r w:rsidR="00123680" w:rsidRPr="00DE5EB8">
        <w:t>).</w:t>
      </w:r>
    </w:p>
    <w:p w:rsidR="004851CD" w:rsidRDefault="004851CD" w:rsidP="009848F7">
      <w:pPr>
        <w:tabs>
          <w:tab w:val="left" w:pos="2160"/>
        </w:tabs>
        <w:spacing w:line="360" w:lineRule="auto"/>
        <w:ind w:firstLine="1440"/>
      </w:pPr>
    </w:p>
    <w:p w:rsidR="00183ABD" w:rsidRDefault="003347C3" w:rsidP="009848F7">
      <w:pPr>
        <w:tabs>
          <w:tab w:val="left" w:pos="2160"/>
        </w:tabs>
        <w:spacing w:line="360" w:lineRule="auto"/>
        <w:ind w:firstLine="1440"/>
      </w:pPr>
      <w:r>
        <w:lastRenderedPageBreak/>
        <w:t>18</w:t>
      </w:r>
      <w:r w:rsidR="00183ABD">
        <w:t>.</w:t>
      </w:r>
      <w:r w:rsidR="00183ABD">
        <w:tab/>
      </w:r>
      <w:r w:rsidR="00BC497A">
        <w:t xml:space="preserve">On March 3, 2011, Respondent </w:t>
      </w:r>
      <w:r w:rsidR="00976251">
        <w:t xml:space="preserve">returned to the </w:t>
      </w:r>
      <w:r w:rsidR="00B06D86">
        <w:t xml:space="preserve">Gaskill </w:t>
      </w:r>
      <w:r w:rsidR="00BC497A">
        <w:t xml:space="preserve">Avenue </w:t>
      </w:r>
      <w:r w:rsidR="00976251">
        <w:t xml:space="preserve">structure to inspect the new service line and </w:t>
      </w:r>
      <w:r w:rsidR="006062CB">
        <w:t>restor</w:t>
      </w:r>
      <w:r w:rsidR="00C478BA">
        <w:t>ed</w:t>
      </w:r>
      <w:r w:rsidR="00976251">
        <w:t xml:space="preserve"> natural gas service </w:t>
      </w:r>
      <w:r w:rsidR="003E7DF8">
        <w:t xml:space="preserve">on </w:t>
      </w:r>
      <w:r w:rsidR="00C478BA">
        <w:t>that date</w:t>
      </w:r>
      <w:r w:rsidR="00976251">
        <w:t xml:space="preserve">.  </w:t>
      </w:r>
      <w:r w:rsidR="00123680" w:rsidRPr="00DE5EB8">
        <w:t xml:space="preserve">(Tr. </w:t>
      </w:r>
      <w:r w:rsidR="00B06D86">
        <w:t>23-24</w:t>
      </w:r>
      <w:r w:rsidR="003E7DF8">
        <w:t>, 43</w:t>
      </w:r>
      <w:r w:rsidR="00123680" w:rsidRPr="00DE5EB8">
        <w:t>).</w:t>
      </w:r>
    </w:p>
    <w:p w:rsidR="00183ABD" w:rsidRDefault="00183ABD" w:rsidP="009848F7">
      <w:pPr>
        <w:tabs>
          <w:tab w:val="left" w:pos="2160"/>
        </w:tabs>
        <w:spacing w:line="360" w:lineRule="auto"/>
        <w:ind w:firstLine="1440"/>
      </w:pPr>
    </w:p>
    <w:p w:rsidR="00D3288D" w:rsidRDefault="003347C3" w:rsidP="00744725">
      <w:pPr>
        <w:tabs>
          <w:tab w:val="left" w:pos="1440"/>
        </w:tabs>
        <w:spacing w:line="360" w:lineRule="auto"/>
      </w:pPr>
      <w:r>
        <w:rPr>
          <w:spacing w:val="-3"/>
        </w:rPr>
        <w:tab/>
        <w:t>19</w:t>
      </w:r>
      <w:r w:rsidR="00D3288D" w:rsidRPr="00DE5EB8">
        <w:rPr>
          <w:spacing w:val="-3"/>
        </w:rPr>
        <w:t>.</w:t>
      </w:r>
      <w:r w:rsidR="00D3288D" w:rsidRPr="00DE5EB8">
        <w:rPr>
          <w:spacing w:val="-3"/>
        </w:rPr>
        <w:tab/>
      </w:r>
      <w:r w:rsidR="001E4CA0">
        <w:rPr>
          <w:spacing w:val="-3"/>
        </w:rPr>
        <w:t xml:space="preserve">Prior to the start of the hearing, the parties agreed Columbia had refunded $39.62 </w:t>
      </w:r>
      <w:r w:rsidR="00C478BA">
        <w:rPr>
          <w:spacing w:val="-3"/>
        </w:rPr>
        <w:t xml:space="preserve">to Complainant </w:t>
      </w:r>
      <w:r w:rsidR="001E4CA0">
        <w:rPr>
          <w:spacing w:val="-3"/>
        </w:rPr>
        <w:t xml:space="preserve">on February 28, 2011, which amount is the total of customer service charges assessed against Complainant’s account for three months from </w:t>
      </w:r>
      <w:r w:rsidR="00B06D86">
        <w:rPr>
          <w:spacing w:val="-3"/>
        </w:rPr>
        <w:t>November 2010 to February 2011</w:t>
      </w:r>
      <w:r w:rsidR="001E4CA0">
        <w:rPr>
          <w:spacing w:val="-3"/>
        </w:rPr>
        <w:t xml:space="preserve">.  </w:t>
      </w:r>
      <w:r w:rsidR="00123680" w:rsidRPr="00DE5EB8">
        <w:t>(Tr.</w:t>
      </w:r>
      <w:r w:rsidR="001E4CA0">
        <w:t xml:space="preserve"> 9</w:t>
      </w:r>
      <w:r w:rsidR="00FB1D0F">
        <w:t>-</w:t>
      </w:r>
      <w:r w:rsidR="002B7CC9">
        <w:t>10</w:t>
      </w:r>
      <w:r w:rsidR="00FB1D0F">
        <w:t>, 30</w:t>
      </w:r>
      <w:r w:rsidR="00123680" w:rsidRPr="00DE5EB8">
        <w:t>).</w:t>
      </w:r>
    </w:p>
    <w:p w:rsidR="00FB1D0F" w:rsidRDefault="00FB1D0F" w:rsidP="00744725">
      <w:pPr>
        <w:tabs>
          <w:tab w:val="left" w:pos="1440"/>
        </w:tabs>
        <w:spacing w:line="360" w:lineRule="auto"/>
      </w:pPr>
    </w:p>
    <w:p w:rsidR="00FB1D0F" w:rsidRPr="00DE5EB8" w:rsidRDefault="00FB1D0F" w:rsidP="00744725">
      <w:pPr>
        <w:tabs>
          <w:tab w:val="left" w:pos="1440"/>
        </w:tabs>
        <w:spacing w:line="360" w:lineRule="auto"/>
        <w:rPr>
          <w:spacing w:val="-3"/>
        </w:rPr>
      </w:pPr>
      <w:r>
        <w:tab/>
      </w:r>
      <w:r w:rsidR="003347C3">
        <w:t>20</w:t>
      </w:r>
      <w:r>
        <w:t>.</w:t>
      </w:r>
      <w:r>
        <w:tab/>
        <w:t>On May 3, 2011, Respondent disconnect</w:t>
      </w:r>
      <w:r w:rsidR="002622F3">
        <w:t>ed</w:t>
      </w:r>
      <w:r>
        <w:t xml:space="preserve"> service to the Gaskill </w:t>
      </w:r>
      <w:r w:rsidR="006062CB">
        <w:t xml:space="preserve">Avenue </w:t>
      </w:r>
      <w:r>
        <w:t>structure</w:t>
      </w:r>
      <w:r w:rsidR="002622F3">
        <w:t xml:space="preserve"> at Complainant’s request</w:t>
      </w:r>
      <w:r>
        <w:t>.  (Tr. 30</w:t>
      </w:r>
      <w:r w:rsidR="002622F3">
        <w:t>; Columbia Gas Exhibit 1</w:t>
      </w:r>
      <w:r>
        <w:t>).</w:t>
      </w:r>
    </w:p>
    <w:p w:rsidR="00754EEB" w:rsidRPr="00DE5EB8" w:rsidRDefault="00754EEB" w:rsidP="00744725">
      <w:pPr>
        <w:tabs>
          <w:tab w:val="left" w:pos="1440"/>
        </w:tabs>
        <w:spacing w:line="360" w:lineRule="auto"/>
        <w:rPr>
          <w:spacing w:val="-3"/>
        </w:rPr>
      </w:pPr>
    </w:p>
    <w:p w:rsidR="0029002C" w:rsidRDefault="003347C3" w:rsidP="00B613EB">
      <w:pPr>
        <w:tabs>
          <w:tab w:val="left" w:pos="1440"/>
        </w:tabs>
        <w:spacing w:line="360" w:lineRule="auto"/>
        <w:rPr>
          <w:spacing w:val="-3"/>
        </w:rPr>
      </w:pPr>
      <w:r>
        <w:rPr>
          <w:spacing w:val="-3"/>
        </w:rPr>
        <w:tab/>
        <w:t>21</w:t>
      </w:r>
      <w:r w:rsidR="00754EEB" w:rsidRPr="00DE5EB8">
        <w:rPr>
          <w:spacing w:val="-3"/>
        </w:rPr>
        <w:t>.</w:t>
      </w:r>
      <w:r w:rsidR="00754EEB" w:rsidRPr="00DE5EB8">
        <w:rPr>
          <w:spacing w:val="-3"/>
        </w:rPr>
        <w:tab/>
      </w:r>
      <w:r w:rsidR="000B2586" w:rsidRPr="00DE5EB8">
        <w:rPr>
          <w:spacing w:val="-3"/>
        </w:rPr>
        <w:t xml:space="preserve">On </w:t>
      </w:r>
      <w:r w:rsidR="00CA5AD8">
        <w:rPr>
          <w:spacing w:val="-3"/>
        </w:rPr>
        <w:t>May 5, 2011</w:t>
      </w:r>
      <w:r w:rsidR="000B2586" w:rsidRPr="00DE5EB8">
        <w:rPr>
          <w:spacing w:val="-3"/>
        </w:rPr>
        <w:t xml:space="preserve">, Complainant filed a formal complaint against </w:t>
      </w:r>
      <w:r w:rsidR="00CA5AD8">
        <w:rPr>
          <w:spacing w:val="-3"/>
        </w:rPr>
        <w:t>Columbia</w:t>
      </w:r>
      <w:r w:rsidR="000B2586" w:rsidRPr="00DE5EB8">
        <w:rPr>
          <w:spacing w:val="-3"/>
        </w:rPr>
        <w:t xml:space="preserve"> with the Commission.</w:t>
      </w:r>
    </w:p>
    <w:p w:rsidR="001A7EB6" w:rsidRDefault="001A7EB6" w:rsidP="00B613EB">
      <w:pPr>
        <w:tabs>
          <w:tab w:val="left" w:pos="1440"/>
        </w:tabs>
        <w:spacing w:line="360" w:lineRule="auto"/>
        <w:rPr>
          <w:spacing w:val="-3"/>
        </w:rPr>
      </w:pPr>
    </w:p>
    <w:p w:rsidR="001A7EB6" w:rsidRDefault="001A7EB6" w:rsidP="00B613EB">
      <w:pPr>
        <w:tabs>
          <w:tab w:val="left" w:pos="1440"/>
        </w:tabs>
        <w:spacing w:line="360" w:lineRule="auto"/>
        <w:rPr>
          <w:spacing w:val="-3"/>
        </w:rPr>
      </w:pPr>
      <w:r>
        <w:rPr>
          <w:spacing w:val="-3"/>
        </w:rPr>
        <w:tab/>
      </w:r>
      <w:r w:rsidR="003347C3">
        <w:rPr>
          <w:spacing w:val="-3"/>
        </w:rPr>
        <w:t>22</w:t>
      </w:r>
      <w:r>
        <w:rPr>
          <w:spacing w:val="-3"/>
        </w:rPr>
        <w:t>.</w:t>
      </w:r>
      <w:r>
        <w:rPr>
          <w:spacing w:val="-3"/>
        </w:rPr>
        <w:tab/>
        <w:t xml:space="preserve">The testimony offered by Mr. </w:t>
      </w:r>
      <w:r w:rsidR="006F72EE">
        <w:rPr>
          <w:spacing w:val="-3"/>
        </w:rPr>
        <w:t>Harris</w:t>
      </w:r>
      <w:r>
        <w:rPr>
          <w:spacing w:val="-3"/>
        </w:rPr>
        <w:t xml:space="preserve"> outweighed the </w:t>
      </w:r>
      <w:r w:rsidR="006F72EE">
        <w:rPr>
          <w:spacing w:val="-3"/>
        </w:rPr>
        <w:t xml:space="preserve">hearsay </w:t>
      </w:r>
      <w:r>
        <w:rPr>
          <w:spacing w:val="-3"/>
        </w:rPr>
        <w:t xml:space="preserve">testimony of Respondent’s Witness Vaughn on whether Complainant’s service line was tested by Respondent’s employee on October 17, 2010.  </w:t>
      </w:r>
    </w:p>
    <w:p w:rsidR="001A7EB6" w:rsidRDefault="001A7EB6" w:rsidP="00B613EB">
      <w:pPr>
        <w:tabs>
          <w:tab w:val="left" w:pos="1440"/>
        </w:tabs>
        <w:spacing w:line="360" w:lineRule="auto"/>
        <w:rPr>
          <w:spacing w:val="-3"/>
        </w:rPr>
      </w:pPr>
    </w:p>
    <w:p w:rsidR="001A7EB6" w:rsidRDefault="001A7EB6" w:rsidP="00B613EB">
      <w:pPr>
        <w:tabs>
          <w:tab w:val="left" w:pos="1440"/>
        </w:tabs>
        <w:spacing w:line="360" w:lineRule="auto"/>
        <w:rPr>
          <w:spacing w:val="-3"/>
        </w:rPr>
      </w:pPr>
      <w:r>
        <w:rPr>
          <w:spacing w:val="-3"/>
        </w:rPr>
        <w:tab/>
      </w:r>
      <w:r w:rsidR="003347C3">
        <w:rPr>
          <w:spacing w:val="-3"/>
        </w:rPr>
        <w:t>23</w:t>
      </w:r>
      <w:r>
        <w:rPr>
          <w:spacing w:val="-3"/>
        </w:rPr>
        <w:t>.</w:t>
      </w:r>
      <w:r>
        <w:rPr>
          <w:spacing w:val="-3"/>
        </w:rPr>
        <w:tab/>
        <w:t xml:space="preserve">The testimony offered by Mr. </w:t>
      </w:r>
      <w:r w:rsidR="006F72EE">
        <w:rPr>
          <w:spacing w:val="-3"/>
        </w:rPr>
        <w:t>Harris</w:t>
      </w:r>
      <w:r>
        <w:rPr>
          <w:spacing w:val="-3"/>
        </w:rPr>
        <w:t xml:space="preserve"> outweighed the </w:t>
      </w:r>
      <w:r w:rsidR="006F72EE">
        <w:rPr>
          <w:spacing w:val="-3"/>
        </w:rPr>
        <w:t xml:space="preserve">hearsay </w:t>
      </w:r>
      <w:r>
        <w:rPr>
          <w:spacing w:val="-3"/>
        </w:rPr>
        <w:t xml:space="preserve">testimony of Respondent’s Witness Vaughn on whether Respondent notified Complainant about the interruption in service at the time it occurred in November 2010.  </w:t>
      </w:r>
    </w:p>
    <w:p w:rsidR="006352CA" w:rsidRDefault="006352CA" w:rsidP="00B613EB">
      <w:pPr>
        <w:tabs>
          <w:tab w:val="left" w:pos="1440"/>
        </w:tabs>
        <w:spacing w:line="360" w:lineRule="auto"/>
        <w:rPr>
          <w:spacing w:val="-3"/>
        </w:rPr>
      </w:pPr>
    </w:p>
    <w:p w:rsidR="006352CA" w:rsidRDefault="003347C3" w:rsidP="00B613EB">
      <w:pPr>
        <w:tabs>
          <w:tab w:val="left" w:pos="1440"/>
        </w:tabs>
        <w:spacing w:line="360" w:lineRule="auto"/>
        <w:rPr>
          <w:spacing w:val="-3"/>
        </w:rPr>
      </w:pPr>
      <w:r>
        <w:rPr>
          <w:spacing w:val="-3"/>
        </w:rPr>
        <w:tab/>
        <w:t>24</w:t>
      </w:r>
      <w:r w:rsidR="006352CA">
        <w:rPr>
          <w:spacing w:val="-3"/>
        </w:rPr>
        <w:t>.</w:t>
      </w:r>
      <w:r w:rsidR="006352CA">
        <w:rPr>
          <w:spacing w:val="-3"/>
        </w:rPr>
        <w:tab/>
        <w:t xml:space="preserve">Respondent’s witness </w:t>
      </w:r>
      <w:r w:rsidR="006F72EE">
        <w:rPr>
          <w:spacing w:val="-3"/>
        </w:rPr>
        <w:t>Vaughn</w:t>
      </w:r>
      <w:r w:rsidR="006352CA">
        <w:rPr>
          <w:spacing w:val="-3"/>
        </w:rPr>
        <w:t xml:space="preserve">, a Field Operations Leader, was not the direct supervisor or in the supervisory chain over the employees who visited the Gaskill Avenue structure in October and November 2010.  (Tr. </w:t>
      </w:r>
      <w:r w:rsidR="002622F3">
        <w:rPr>
          <w:spacing w:val="-3"/>
        </w:rPr>
        <w:t>44-46</w:t>
      </w:r>
      <w:r w:rsidR="006352CA">
        <w:rPr>
          <w:spacing w:val="-3"/>
        </w:rPr>
        <w:t>).</w:t>
      </w:r>
    </w:p>
    <w:p w:rsidR="003E7DF8" w:rsidRPr="00A72226" w:rsidRDefault="003E7DF8" w:rsidP="00B613EB">
      <w:pPr>
        <w:tabs>
          <w:tab w:val="left" w:pos="1440"/>
        </w:tabs>
        <w:spacing w:line="360" w:lineRule="auto"/>
        <w:rPr>
          <w:spacing w:val="-3"/>
        </w:rPr>
      </w:pPr>
    </w:p>
    <w:p w:rsidR="003E7DF8" w:rsidRDefault="003E7DF8" w:rsidP="00B613EB">
      <w:pPr>
        <w:tabs>
          <w:tab w:val="left" w:pos="1440"/>
        </w:tabs>
        <w:spacing w:line="360" w:lineRule="auto"/>
        <w:rPr>
          <w:spacing w:val="-3"/>
        </w:rPr>
      </w:pPr>
      <w:r w:rsidRPr="00A72226">
        <w:rPr>
          <w:spacing w:val="-3"/>
        </w:rPr>
        <w:tab/>
      </w:r>
      <w:r w:rsidR="003347C3">
        <w:rPr>
          <w:spacing w:val="-3"/>
        </w:rPr>
        <w:t>25</w:t>
      </w:r>
      <w:r w:rsidRPr="00A72226">
        <w:rPr>
          <w:spacing w:val="-3"/>
        </w:rPr>
        <w:t>.</w:t>
      </w:r>
      <w:r w:rsidRPr="00A72226">
        <w:rPr>
          <w:spacing w:val="-3"/>
        </w:rPr>
        <w:tab/>
      </w:r>
      <w:r w:rsidR="002622F3">
        <w:rPr>
          <w:spacing w:val="-3"/>
        </w:rPr>
        <w:t>Prior to February 28, 2011, t</w:t>
      </w:r>
      <w:r w:rsidR="00C478BA">
        <w:rPr>
          <w:spacing w:val="-3"/>
        </w:rPr>
        <w:t xml:space="preserve">he Gaskill Avenue structure </w:t>
      </w:r>
      <w:r w:rsidR="002622F3">
        <w:rPr>
          <w:spacing w:val="-3"/>
        </w:rPr>
        <w:t>received its natural gas service through</w:t>
      </w:r>
      <w:r w:rsidR="00C478BA">
        <w:rPr>
          <w:spacing w:val="-3"/>
        </w:rPr>
        <w:t xml:space="preserve"> a steel service line.  Steel service lines </w:t>
      </w:r>
      <w:r w:rsidRPr="00A72226">
        <w:rPr>
          <w:spacing w:val="-3"/>
        </w:rPr>
        <w:t>can last from 30 to 100 years but typically last 50 to 60 years.  (Tr. 43-44</w:t>
      </w:r>
      <w:r w:rsidR="00524387" w:rsidRPr="00A72226">
        <w:rPr>
          <w:spacing w:val="-3"/>
        </w:rPr>
        <w:t>, 51</w:t>
      </w:r>
      <w:r w:rsidRPr="00A72226">
        <w:rPr>
          <w:spacing w:val="-3"/>
        </w:rPr>
        <w:t xml:space="preserve">).  </w:t>
      </w:r>
    </w:p>
    <w:p w:rsidR="006F72EE" w:rsidRDefault="006F72EE" w:rsidP="00B613EB">
      <w:pPr>
        <w:tabs>
          <w:tab w:val="left" w:pos="1440"/>
        </w:tabs>
        <w:spacing w:line="360" w:lineRule="auto"/>
        <w:rPr>
          <w:spacing w:val="-3"/>
        </w:rPr>
      </w:pPr>
    </w:p>
    <w:p w:rsidR="006F72EE" w:rsidRPr="00DE5EB8" w:rsidRDefault="006F72EE" w:rsidP="006F72EE">
      <w:pPr>
        <w:tabs>
          <w:tab w:val="left" w:pos="2160"/>
        </w:tabs>
        <w:spacing w:line="360" w:lineRule="auto"/>
        <w:ind w:firstLine="1440"/>
      </w:pPr>
      <w:r>
        <w:rPr>
          <w:spacing w:val="-3"/>
        </w:rPr>
        <w:lastRenderedPageBreak/>
        <w:t>2</w:t>
      </w:r>
      <w:r w:rsidR="00E80C8D">
        <w:rPr>
          <w:spacing w:val="-3"/>
        </w:rPr>
        <w:t>6</w:t>
      </w:r>
      <w:r>
        <w:rPr>
          <w:spacing w:val="-3"/>
        </w:rPr>
        <w:t>.</w:t>
      </w:r>
      <w:r>
        <w:rPr>
          <w:spacing w:val="-3"/>
        </w:rPr>
        <w:tab/>
      </w:r>
      <w:r>
        <w:t xml:space="preserve">According to Complainant’s sales agreement for the Gaskill Avenue structure, the </w:t>
      </w:r>
      <w:r w:rsidR="002622F3">
        <w:t xml:space="preserve">steel </w:t>
      </w:r>
      <w:r>
        <w:t xml:space="preserve">natural gas service line was installed in 1975.  </w:t>
      </w:r>
      <w:r w:rsidRPr="00DE5EB8">
        <w:t xml:space="preserve">(Tr. </w:t>
      </w:r>
      <w:r>
        <w:t>17, 26-27</w:t>
      </w:r>
      <w:r w:rsidRPr="00DE5EB8">
        <w:t>).</w:t>
      </w:r>
    </w:p>
    <w:p w:rsidR="00DE5EB8" w:rsidRPr="00A72226" w:rsidRDefault="00DE5EB8" w:rsidP="00B613EB">
      <w:pPr>
        <w:tabs>
          <w:tab w:val="left" w:pos="1440"/>
        </w:tabs>
        <w:spacing w:line="360" w:lineRule="auto"/>
        <w:rPr>
          <w:spacing w:val="-3"/>
        </w:rPr>
      </w:pPr>
    </w:p>
    <w:p w:rsidR="00524387" w:rsidRDefault="00524387" w:rsidP="00B613EB">
      <w:pPr>
        <w:tabs>
          <w:tab w:val="left" w:pos="1440"/>
        </w:tabs>
        <w:spacing w:line="360" w:lineRule="auto"/>
        <w:rPr>
          <w:spacing w:val="-3"/>
        </w:rPr>
      </w:pPr>
      <w:r w:rsidRPr="00A72226">
        <w:rPr>
          <w:spacing w:val="-3"/>
        </w:rPr>
        <w:tab/>
      </w:r>
      <w:r w:rsidR="003347C3">
        <w:rPr>
          <w:spacing w:val="-3"/>
        </w:rPr>
        <w:t>2</w:t>
      </w:r>
      <w:r w:rsidR="00E80C8D">
        <w:rPr>
          <w:spacing w:val="-3"/>
        </w:rPr>
        <w:t>7</w:t>
      </w:r>
      <w:r w:rsidRPr="00A72226">
        <w:rPr>
          <w:spacing w:val="-3"/>
        </w:rPr>
        <w:t>.</w:t>
      </w:r>
      <w:r w:rsidRPr="00A72226">
        <w:rPr>
          <w:spacing w:val="-3"/>
        </w:rPr>
        <w:tab/>
      </w:r>
      <w:r w:rsidR="00C478BA">
        <w:rPr>
          <w:spacing w:val="-3"/>
        </w:rPr>
        <w:t>Respondent conducts p</w:t>
      </w:r>
      <w:r w:rsidR="004D15A9" w:rsidRPr="00A72226">
        <w:rPr>
          <w:spacing w:val="-3"/>
        </w:rPr>
        <w:t xml:space="preserve">ressure tests when service is initiated if the service was discontinued for a significant period of time and the service line is a steel service line.  </w:t>
      </w:r>
      <w:proofErr w:type="gramStart"/>
      <w:r w:rsidR="004D15A9" w:rsidRPr="00A72226">
        <w:rPr>
          <w:spacing w:val="-3"/>
        </w:rPr>
        <w:t>(Tr.</w:t>
      </w:r>
      <w:r w:rsidR="00401325">
        <w:rPr>
          <w:spacing w:val="-3"/>
        </w:rPr>
        <w:t> </w:t>
      </w:r>
      <w:r w:rsidR="004D15A9" w:rsidRPr="00A72226">
        <w:rPr>
          <w:spacing w:val="-3"/>
        </w:rPr>
        <w:t>50</w:t>
      </w:r>
      <w:r w:rsidR="00401325">
        <w:rPr>
          <w:spacing w:val="-3"/>
        </w:rPr>
        <w:noBreakHyphen/>
      </w:r>
      <w:r w:rsidR="004D15A9" w:rsidRPr="00A72226">
        <w:rPr>
          <w:spacing w:val="-3"/>
        </w:rPr>
        <w:t>53).</w:t>
      </w:r>
      <w:proofErr w:type="gramEnd"/>
    </w:p>
    <w:p w:rsidR="00C478BA" w:rsidRDefault="00C478BA" w:rsidP="00B613EB">
      <w:pPr>
        <w:tabs>
          <w:tab w:val="left" w:pos="1440"/>
        </w:tabs>
        <w:spacing w:line="360" w:lineRule="auto"/>
        <w:rPr>
          <w:spacing w:val="-3"/>
        </w:rPr>
      </w:pPr>
    </w:p>
    <w:p w:rsidR="00C478BA" w:rsidRDefault="003347C3" w:rsidP="00B613EB">
      <w:pPr>
        <w:tabs>
          <w:tab w:val="left" w:pos="1440"/>
        </w:tabs>
        <w:spacing w:line="360" w:lineRule="auto"/>
        <w:rPr>
          <w:spacing w:val="-3"/>
        </w:rPr>
      </w:pPr>
      <w:r>
        <w:rPr>
          <w:spacing w:val="-3"/>
        </w:rPr>
        <w:tab/>
        <w:t>2</w:t>
      </w:r>
      <w:r w:rsidR="00E80C8D">
        <w:rPr>
          <w:spacing w:val="-3"/>
        </w:rPr>
        <w:t>8</w:t>
      </w:r>
      <w:r w:rsidR="00C478BA">
        <w:rPr>
          <w:spacing w:val="-3"/>
        </w:rPr>
        <w:t>.</w:t>
      </w:r>
      <w:r w:rsidR="00C478BA">
        <w:rPr>
          <w:spacing w:val="-3"/>
        </w:rPr>
        <w:tab/>
        <w:t>Respondent conducted a pressure test of Complainant’s service line on October 17, 2010, and detecte</w:t>
      </w:r>
      <w:r w:rsidR="002622F3">
        <w:rPr>
          <w:spacing w:val="-3"/>
        </w:rPr>
        <w:t xml:space="preserve">d no natural gas leaks.  </w:t>
      </w:r>
    </w:p>
    <w:p w:rsidR="006352CA" w:rsidRDefault="006352CA" w:rsidP="00B613EB">
      <w:pPr>
        <w:tabs>
          <w:tab w:val="left" w:pos="1440"/>
        </w:tabs>
        <w:spacing w:line="360" w:lineRule="auto"/>
        <w:rPr>
          <w:spacing w:val="-3"/>
        </w:rPr>
      </w:pPr>
    </w:p>
    <w:p w:rsidR="006352CA" w:rsidRDefault="003347C3" w:rsidP="00B613EB">
      <w:pPr>
        <w:tabs>
          <w:tab w:val="left" w:pos="1440"/>
        </w:tabs>
        <w:spacing w:line="360" w:lineRule="auto"/>
        <w:rPr>
          <w:spacing w:val="-3"/>
        </w:rPr>
      </w:pPr>
      <w:r>
        <w:rPr>
          <w:spacing w:val="-3"/>
        </w:rPr>
        <w:tab/>
        <w:t>2</w:t>
      </w:r>
      <w:r w:rsidR="00E80C8D">
        <w:rPr>
          <w:spacing w:val="-3"/>
        </w:rPr>
        <w:t>9</w:t>
      </w:r>
      <w:r w:rsidR="006352CA">
        <w:rPr>
          <w:spacing w:val="-3"/>
        </w:rPr>
        <w:t>.</w:t>
      </w:r>
      <w:r w:rsidR="006352CA">
        <w:rPr>
          <w:spacing w:val="-3"/>
        </w:rPr>
        <w:tab/>
      </w:r>
      <w:r w:rsidR="002622F3">
        <w:rPr>
          <w:spacing w:val="-3"/>
        </w:rPr>
        <w:t xml:space="preserve">There were no leaks on </w:t>
      </w:r>
      <w:r w:rsidR="006352CA">
        <w:rPr>
          <w:spacing w:val="-3"/>
        </w:rPr>
        <w:t xml:space="preserve">Complainant’s steel natural gas service line when </w:t>
      </w:r>
      <w:r w:rsidR="002622F3">
        <w:rPr>
          <w:spacing w:val="-3"/>
        </w:rPr>
        <w:t xml:space="preserve">Respondent initiated service, </w:t>
      </w:r>
      <w:r w:rsidR="006352CA">
        <w:rPr>
          <w:spacing w:val="-3"/>
        </w:rPr>
        <w:t xml:space="preserve">and then </w:t>
      </w:r>
      <w:r w:rsidR="002622F3">
        <w:rPr>
          <w:spacing w:val="-3"/>
        </w:rPr>
        <w:t xml:space="preserve">immediately </w:t>
      </w:r>
      <w:r w:rsidR="006352CA">
        <w:rPr>
          <w:spacing w:val="-3"/>
        </w:rPr>
        <w:t xml:space="preserve">discontinued </w:t>
      </w:r>
      <w:r w:rsidR="002622F3">
        <w:rPr>
          <w:spacing w:val="-3"/>
        </w:rPr>
        <w:t xml:space="preserve">it, </w:t>
      </w:r>
      <w:r w:rsidR="006352CA">
        <w:rPr>
          <w:spacing w:val="-3"/>
        </w:rPr>
        <w:t xml:space="preserve">on October 17, 2010 but </w:t>
      </w:r>
      <w:r w:rsidR="004E286E">
        <w:rPr>
          <w:spacing w:val="-3"/>
        </w:rPr>
        <w:t xml:space="preserve">the gas line </w:t>
      </w:r>
      <w:r w:rsidR="006352CA">
        <w:rPr>
          <w:spacing w:val="-3"/>
        </w:rPr>
        <w:t>leaked when service</w:t>
      </w:r>
      <w:r w:rsidR="00452827">
        <w:rPr>
          <w:spacing w:val="-3"/>
        </w:rPr>
        <w:t xml:space="preserve"> was restor</w:t>
      </w:r>
      <w:r w:rsidR="006352CA">
        <w:rPr>
          <w:spacing w:val="-3"/>
        </w:rPr>
        <w:t xml:space="preserve">ed in </w:t>
      </w:r>
      <w:r w:rsidR="00452827">
        <w:rPr>
          <w:spacing w:val="-3"/>
        </w:rPr>
        <w:t>February</w:t>
      </w:r>
      <w:r w:rsidR="004E286E">
        <w:rPr>
          <w:spacing w:val="-3"/>
        </w:rPr>
        <w:t xml:space="preserve"> 2011. </w:t>
      </w:r>
    </w:p>
    <w:p w:rsidR="006352CA" w:rsidRDefault="006352CA" w:rsidP="00B613EB">
      <w:pPr>
        <w:tabs>
          <w:tab w:val="left" w:pos="1440"/>
        </w:tabs>
        <w:spacing w:line="360" w:lineRule="auto"/>
        <w:rPr>
          <w:spacing w:val="-3"/>
        </w:rPr>
      </w:pPr>
    </w:p>
    <w:p w:rsidR="008E4FD6" w:rsidRPr="00A72226" w:rsidRDefault="008E4FD6" w:rsidP="00EA1625">
      <w:pPr>
        <w:tabs>
          <w:tab w:val="left" w:pos="2160"/>
        </w:tabs>
        <w:spacing w:line="360" w:lineRule="auto"/>
        <w:jc w:val="center"/>
        <w:rPr>
          <w:u w:val="single"/>
        </w:rPr>
      </w:pPr>
      <w:r w:rsidRPr="00A72226">
        <w:rPr>
          <w:u w:val="single"/>
        </w:rPr>
        <w:t>DISCUSSION</w:t>
      </w:r>
    </w:p>
    <w:p w:rsidR="008E4FD6" w:rsidRPr="00A72226" w:rsidRDefault="008E4FD6" w:rsidP="006E5FE7">
      <w:pPr>
        <w:tabs>
          <w:tab w:val="left" w:pos="2160"/>
        </w:tabs>
        <w:spacing w:line="360" w:lineRule="auto"/>
        <w:rPr>
          <w:u w:val="single"/>
        </w:rPr>
      </w:pPr>
    </w:p>
    <w:p w:rsidR="00B66DDD" w:rsidRPr="00A72226" w:rsidRDefault="000C736C" w:rsidP="006E5FE7">
      <w:pPr>
        <w:pStyle w:val="BodyText"/>
        <w:jc w:val="left"/>
        <w:rPr>
          <w:sz w:val="24"/>
          <w:szCs w:val="24"/>
        </w:rPr>
      </w:pPr>
      <w:r w:rsidRPr="00A72226">
        <w:rPr>
          <w:sz w:val="24"/>
          <w:szCs w:val="24"/>
        </w:rPr>
        <w:tab/>
      </w:r>
      <w:r w:rsidRPr="00A72226">
        <w:rPr>
          <w:sz w:val="24"/>
          <w:szCs w:val="24"/>
        </w:rPr>
        <w:tab/>
      </w:r>
      <w:r w:rsidR="00C931B6" w:rsidRPr="00A72226">
        <w:rPr>
          <w:sz w:val="24"/>
          <w:szCs w:val="24"/>
        </w:rPr>
        <w:t>On</w:t>
      </w:r>
      <w:r w:rsidR="00FB579D" w:rsidRPr="00A72226">
        <w:rPr>
          <w:sz w:val="24"/>
          <w:szCs w:val="24"/>
        </w:rPr>
        <w:t xml:space="preserve"> </w:t>
      </w:r>
      <w:r w:rsidR="00D84FF1" w:rsidRPr="00A72226">
        <w:rPr>
          <w:sz w:val="24"/>
          <w:szCs w:val="24"/>
        </w:rPr>
        <w:t>May 5, 2011</w:t>
      </w:r>
      <w:r w:rsidR="00C931B6" w:rsidRPr="00A72226">
        <w:rPr>
          <w:sz w:val="24"/>
          <w:szCs w:val="24"/>
        </w:rPr>
        <w:t xml:space="preserve">, </w:t>
      </w:r>
      <w:r w:rsidR="00FD4410" w:rsidRPr="00A72226">
        <w:rPr>
          <w:sz w:val="24"/>
          <w:szCs w:val="24"/>
        </w:rPr>
        <w:t>Complainant</w:t>
      </w:r>
      <w:r w:rsidR="00CB7EF0" w:rsidRPr="00A72226">
        <w:rPr>
          <w:sz w:val="24"/>
          <w:szCs w:val="24"/>
        </w:rPr>
        <w:t xml:space="preserve"> </w:t>
      </w:r>
      <w:r w:rsidR="001140BC" w:rsidRPr="00A72226">
        <w:rPr>
          <w:sz w:val="24"/>
          <w:szCs w:val="24"/>
        </w:rPr>
        <w:t xml:space="preserve">filed </w:t>
      </w:r>
      <w:r w:rsidR="00CB7EF0" w:rsidRPr="00A72226">
        <w:rPr>
          <w:sz w:val="24"/>
          <w:szCs w:val="24"/>
        </w:rPr>
        <w:t>a formal complaint</w:t>
      </w:r>
      <w:r w:rsidR="001140BC" w:rsidRPr="00A72226">
        <w:rPr>
          <w:sz w:val="24"/>
          <w:szCs w:val="24"/>
        </w:rPr>
        <w:t xml:space="preserve"> </w:t>
      </w:r>
      <w:r w:rsidR="00D84FF1" w:rsidRPr="00A72226">
        <w:rPr>
          <w:sz w:val="24"/>
          <w:szCs w:val="24"/>
        </w:rPr>
        <w:t xml:space="preserve">alleging Columbia damaged the service line to a vacant </w:t>
      </w:r>
      <w:r w:rsidR="0081667D">
        <w:rPr>
          <w:sz w:val="24"/>
          <w:szCs w:val="24"/>
        </w:rPr>
        <w:t xml:space="preserve">structure after failing </w:t>
      </w:r>
      <w:r w:rsidR="00D84FF1" w:rsidRPr="00A72226">
        <w:rPr>
          <w:sz w:val="24"/>
          <w:szCs w:val="24"/>
        </w:rPr>
        <w:t>to notify Complainant that service would be terminated for repairs</w:t>
      </w:r>
      <w:r w:rsidR="0081667D">
        <w:rPr>
          <w:sz w:val="24"/>
          <w:szCs w:val="24"/>
        </w:rPr>
        <w:t>, and because Respondent failed to notify Complainant after the service was terminated,</w:t>
      </w:r>
      <w:r w:rsidR="00D84FF1" w:rsidRPr="00A72226">
        <w:rPr>
          <w:sz w:val="24"/>
          <w:szCs w:val="24"/>
        </w:rPr>
        <w:t xml:space="preserve"> and </w:t>
      </w:r>
      <w:r w:rsidR="0081667D">
        <w:rPr>
          <w:sz w:val="24"/>
          <w:szCs w:val="24"/>
        </w:rPr>
        <w:t xml:space="preserve">then </w:t>
      </w:r>
      <w:r w:rsidR="00D84FF1" w:rsidRPr="00A72226">
        <w:rPr>
          <w:sz w:val="24"/>
          <w:szCs w:val="24"/>
        </w:rPr>
        <w:t>charged Complainant a monthly service charge during months when Columbia knew</w:t>
      </w:r>
      <w:r w:rsidR="0081667D">
        <w:rPr>
          <w:sz w:val="24"/>
          <w:szCs w:val="24"/>
        </w:rPr>
        <w:t>, or should have known</w:t>
      </w:r>
      <w:r w:rsidR="00D84FF1" w:rsidRPr="00A72226">
        <w:rPr>
          <w:sz w:val="24"/>
          <w:szCs w:val="24"/>
        </w:rPr>
        <w:t xml:space="preserve"> </w:t>
      </w:r>
      <w:r w:rsidR="00E92236">
        <w:rPr>
          <w:sz w:val="24"/>
          <w:szCs w:val="24"/>
        </w:rPr>
        <w:t>the structure was not receiving natural gas service from Respondent</w:t>
      </w:r>
      <w:r w:rsidR="00D84FF1" w:rsidRPr="00A72226">
        <w:rPr>
          <w:sz w:val="24"/>
          <w:szCs w:val="24"/>
        </w:rPr>
        <w:t>.  Complainant requested the Commission order Columbia to pay for the cost of replacing the damaged line and credit him for the monthly service charges from the time Columbia terminated service until Complainant replaced the service line and re-established service.</w:t>
      </w:r>
      <w:r w:rsidR="00E92236">
        <w:rPr>
          <w:rStyle w:val="FootnoteReference"/>
          <w:sz w:val="24"/>
          <w:szCs w:val="24"/>
        </w:rPr>
        <w:footnoteReference w:id="1"/>
      </w:r>
      <w:r w:rsidR="005C715B" w:rsidRPr="00A72226">
        <w:rPr>
          <w:sz w:val="24"/>
          <w:szCs w:val="24"/>
        </w:rPr>
        <w:t xml:space="preserve">  </w:t>
      </w:r>
    </w:p>
    <w:p w:rsidR="00AF192E" w:rsidRDefault="00AF192E" w:rsidP="00AF192E">
      <w:pPr>
        <w:pStyle w:val="BodyText"/>
        <w:jc w:val="left"/>
        <w:rPr>
          <w:sz w:val="24"/>
          <w:szCs w:val="24"/>
        </w:rPr>
      </w:pPr>
    </w:p>
    <w:p w:rsidR="003347C3" w:rsidRPr="003347C3" w:rsidRDefault="004E286E" w:rsidP="00AF192E">
      <w:pPr>
        <w:pStyle w:val="BodyText"/>
        <w:jc w:val="left"/>
        <w:rPr>
          <w:sz w:val="24"/>
          <w:szCs w:val="24"/>
          <w:u w:val="single"/>
        </w:rPr>
      </w:pPr>
      <w:r>
        <w:rPr>
          <w:sz w:val="24"/>
          <w:szCs w:val="24"/>
          <w:u w:val="single"/>
        </w:rPr>
        <w:br w:type="page"/>
      </w:r>
      <w:r w:rsidR="003347C3" w:rsidRPr="003347C3">
        <w:rPr>
          <w:sz w:val="24"/>
          <w:szCs w:val="24"/>
          <w:u w:val="single"/>
        </w:rPr>
        <w:lastRenderedPageBreak/>
        <w:t xml:space="preserve">Respondent’s Responsibility </w:t>
      </w:r>
    </w:p>
    <w:p w:rsidR="003347C3" w:rsidRPr="00A72226" w:rsidRDefault="003347C3" w:rsidP="00AF192E">
      <w:pPr>
        <w:pStyle w:val="BodyText"/>
        <w:jc w:val="left"/>
        <w:rPr>
          <w:sz w:val="24"/>
          <w:szCs w:val="24"/>
        </w:rPr>
      </w:pPr>
    </w:p>
    <w:p w:rsidR="00AF192E" w:rsidRPr="00A72226" w:rsidRDefault="00AF192E" w:rsidP="00AF192E">
      <w:pPr>
        <w:pStyle w:val="BodyText"/>
        <w:jc w:val="left"/>
        <w:rPr>
          <w:sz w:val="24"/>
          <w:szCs w:val="24"/>
        </w:rPr>
      </w:pPr>
      <w:r w:rsidRPr="00A72226">
        <w:rPr>
          <w:sz w:val="24"/>
          <w:szCs w:val="24"/>
        </w:rPr>
        <w:tab/>
      </w:r>
      <w:r w:rsidRPr="00A72226">
        <w:rPr>
          <w:sz w:val="24"/>
          <w:szCs w:val="24"/>
        </w:rPr>
        <w:tab/>
      </w:r>
      <w:r w:rsidR="003B40DA" w:rsidRPr="00A72226">
        <w:rPr>
          <w:sz w:val="24"/>
          <w:szCs w:val="24"/>
        </w:rPr>
        <w:t>Respondent, as a p</w:t>
      </w:r>
      <w:r w:rsidRPr="00A72226">
        <w:rPr>
          <w:sz w:val="24"/>
          <w:szCs w:val="24"/>
        </w:rPr>
        <w:t>ublic utility</w:t>
      </w:r>
      <w:r w:rsidR="003B40DA" w:rsidRPr="00A72226">
        <w:rPr>
          <w:sz w:val="24"/>
          <w:szCs w:val="24"/>
        </w:rPr>
        <w:t>, must “</w:t>
      </w:r>
      <w:r w:rsidRPr="00A72226">
        <w:rPr>
          <w:sz w:val="24"/>
          <w:szCs w:val="24"/>
        </w:rPr>
        <w:t>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r w:rsidR="003B40DA" w:rsidRPr="00A72226">
        <w:rPr>
          <w:sz w:val="24"/>
          <w:szCs w:val="24"/>
        </w:rPr>
        <w:t>”</w:t>
      </w:r>
      <w:r w:rsidR="003B40DA" w:rsidRPr="00A72226">
        <w:rPr>
          <w:rStyle w:val="FootnoteReference"/>
          <w:sz w:val="24"/>
          <w:szCs w:val="24"/>
        </w:rPr>
        <w:footnoteReference w:id="2"/>
      </w:r>
      <w:r w:rsidR="003B40DA" w:rsidRPr="00A72226">
        <w:rPr>
          <w:sz w:val="24"/>
          <w:szCs w:val="24"/>
        </w:rPr>
        <w:t xml:space="preserve">  </w:t>
      </w:r>
      <w:r w:rsidRPr="00A72226">
        <w:rPr>
          <w:sz w:val="24"/>
          <w:szCs w:val="24"/>
        </w:rPr>
        <w:t xml:space="preserve">  </w:t>
      </w:r>
    </w:p>
    <w:p w:rsidR="004E286E" w:rsidRDefault="004E286E" w:rsidP="003347C3">
      <w:pPr>
        <w:pStyle w:val="BodyText"/>
        <w:jc w:val="left"/>
        <w:rPr>
          <w:sz w:val="24"/>
          <w:szCs w:val="24"/>
          <w:u w:val="single"/>
        </w:rPr>
      </w:pPr>
    </w:p>
    <w:p w:rsidR="003347C3" w:rsidRPr="003347C3" w:rsidRDefault="003347C3" w:rsidP="003347C3">
      <w:pPr>
        <w:pStyle w:val="BodyText"/>
        <w:jc w:val="left"/>
        <w:rPr>
          <w:sz w:val="24"/>
          <w:szCs w:val="24"/>
          <w:u w:val="single"/>
        </w:rPr>
      </w:pPr>
      <w:r w:rsidRPr="003347C3">
        <w:rPr>
          <w:sz w:val="24"/>
          <w:szCs w:val="24"/>
          <w:u w:val="single"/>
        </w:rPr>
        <w:t>Complainant’s Position</w:t>
      </w:r>
    </w:p>
    <w:p w:rsidR="003347C3" w:rsidRPr="00A72226" w:rsidRDefault="003347C3" w:rsidP="003347C3">
      <w:pPr>
        <w:pStyle w:val="BodyText"/>
        <w:jc w:val="left"/>
        <w:rPr>
          <w:sz w:val="24"/>
          <w:szCs w:val="24"/>
        </w:rPr>
      </w:pPr>
    </w:p>
    <w:p w:rsidR="00E92236" w:rsidRDefault="00AF192E" w:rsidP="00AF192E">
      <w:pPr>
        <w:pStyle w:val="BodyText"/>
        <w:ind w:firstLine="1440"/>
        <w:jc w:val="left"/>
        <w:rPr>
          <w:sz w:val="24"/>
          <w:szCs w:val="24"/>
        </w:rPr>
      </w:pPr>
      <w:r w:rsidRPr="00A72226">
        <w:rPr>
          <w:sz w:val="24"/>
          <w:szCs w:val="24"/>
        </w:rPr>
        <w:t xml:space="preserve">Complainant </w:t>
      </w:r>
      <w:r w:rsidR="000566F5" w:rsidRPr="00A72226">
        <w:rPr>
          <w:sz w:val="24"/>
          <w:szCs w:val="24"/>
        </w:rPr>
        <w:t xml:space="preserve">requests the Commission find Respondent violated the Pennsylvania </w:t>
      </w:r>
      <w:r w:rsidR="00FC058B">
        <w:rPr>
          <w:sz w:val="24"/>
          <w:szCs w:val="24"/>
        </w:rPr>
        <w:t xml:space="preserve">Public Utility </w:t>
      </w:r>
      <w:r w:rsidR="000566F5" w:rsidRPr="00A72226">
        <w:rPr>
          <w:sz w:val="24"/>
          <w:szCs w:val="24"/>
        </w:rPr>
        <w:t>Code for failing to provide prior notice when interrupting service</w:t>
      </w:r>
      <w:r w:rsidR="00E92236">
        <w:rPr>
          <w:sz w:val="24"/>
          <w:szCs w:val="24"/>
        </w:rPr>
        <w:t>, by failing to provide contemporaneous notice after making the repairs, for damaging his service line during those repairs, and for charging him with a customer service charge on an account when Respondent knew it was not providing natural gas service to the structure</w:t>
      </w:r>
      <w:r w:rsidR="000566F5" w:rsidRPr="00A72226">
        <w:rPr>
          <w:sz w:val="24"/>
          <w:szCs w:val="24"/>
        </w:rPr>
        <w:t xml:space="preserve">.  </w:t>
      </w:r>
    </w:p>
    <w:p w:rsidR="00E92236" w:rsidRDefault="00E92236" w:rsidP="00AF192E">
      <w:pPr>
        <w:pStyle w:val="BodyText"/>
        <w:ind w:firstLine="1440"/>
        <w:jc w:val="left"/>
        <w:rPr>
          <w:sz w:val="24"/>
          <w:szCs w:val="24"/>
        </w:rPr>
      </w:pPr>
    </w:p>
    <w:p w:rsidR="00BE437F" w:rsidRPr="00A72226" w:rsidRDefault="000566F5" w:rsidP="00BE437F">
      <w:pPr>
        <w:pStyle w:val="BodyText"/>
        <w:ind w:firstLine="1440"/>
        <w:jc w:val="left"/>
        <w:rPr>
          <w:sz w:val="24"/>
          <w:szCs w:val="24"/>
        </w:rPr>
      </w:pPr>
      <w:r w:rsidRPr="00A72226">
        <w:rPr>
          <w:sz w:val="24"/>
          <w:szCs w:val="24"/>
        </w:rPr>
        <w:t xml:space="preserve">Complainant </w:t>
      </w:r>
      <w:r w:rsidR="00AF192E" w:rsidRPr="00A72226">
        <w:rPr>
          <w:sz w:val="24"/>
          <w:szCs w:val="24"/>
        </w:rPr>
        <w:t>contend</w:t>
      </w:r>
      <w:r w:rsidR="00555724" w:rsidRPr="00A72226">
        <w:rPr>
          <w:sz w:val="24"/>
          <w:szCs w:val="24"/>
        </w:rPr>
        <w:t>s</w:t>
      </w:r>
      <w:r w:rsidR="00AF192E" w:rsidRPr="00A72226">
        <w:rPr>
          <w:sz w:val="24"/>
          <w:szCs w:val="24"/>
        </w:rPr>
        <w:t xml:space="preserve"> </w:t>
      </w:r>
      <w:r w:rsidR="00452827">
        <w:rPr>
          <w:sz w:val="24"/>
          <w:szCs w:val="24"/>
        </w:rPr>
        <w:t xml:space="preserve">Respondent’s actions in November 2010 damaged his service line.  Complainant points to the fact that his service line was pressure-tested in October 2010 and was found to be free of leaks.  Because the natural gas service was immediately discontinued as soon as it was tested in October 2010 but was found to be leaking when service was restored in February 2011, Complainant alleges the only intervening factor was the repair work Respondent </w:t>
      </w:r>
      <w:r w:rsidR="00BE437F">
        <w:rPr>
          <w:sz w:val="24"/>
          <w:szCs w:val="24"/>
        </w:rPr>
        <w:t xml:space="preserve">conducted in November 2010.  Complainant asserts that because Respondent damaged his service line, then Respondent should have been responsible to repair and replace his service line.  In addition, Complainant complains Respondent failed to keep sufficient records which is why the utility failed to recognize it had discontinued service, resulting in Respondent billing him for monthly service charges when no service was provided.  </w:t>
      </w:r>
    </w:p>
    <w:p w:rsidR="003347C3" w:rsidRDefault="003347C3" w:rsidP="00AF192E">
      <w:pPr>
        <w:pStyle w:val="BodyText"/>
        <w:jc w:val="left"/>
        <w:rPr>
          <w:sz w:val="24"/>
          <w:szCs w:val="24"/>
        </w:rPr>
      </w:pPr>
    </w:p>
    <w:p w:rsidR="003347C3" w:rsidRPr="003347C3" w:rsidRDefault="004E286E" w:rsidP="00AF192E">
      <w:pPr>
        <w:pStyle w:val="BodyText"/>
        <w:jc w:val="left"/>
        <w:rPr>
          <w:sz w:val="24"/>
          <w:szCs w:val="24"/>
          <w:u w:val="single"/>
        </w:rPr>
      </w:pPr>
      <w:r>
        <w:rPr>
          <w:sz w:val="24"/>
          <w:szCs w:val="24"/>
          <w:u w:val="single"/>
        </w:rPr>
        <w:br w:type="page"/>
      </w:r>
      <w:r w:rsidR="003347C3" w:rsidRPr="003347C3">
        <w:rPr>
          <w:sz w:val="24"/>
          <w:szCs w:val="24"/>
          <w:u w:val="single"/>
        </w:rPr>
        <w:lastRenderedPageBreak/>
        <w:t>Respondent’s Position</w:t>
      </w:r>
    </w:p>
    <w:p w:rsidR="00AF192E" w:rsidRPr="00A72226" w:rsidRDefault="00AF192E" w:rsidP="00AF192E">
      <w:pPr>
        <w:pStyle w:val="BodyText"/>
        <w:jc w:val="left"/>
        <w:rPr>
          <w:sz w:val="24"/>
          <w:szCs w:val="24"/>
        </w:rPr>
      </w:pPr>
      <w:r w:rsidRPr="00A72226">
        <w:rPr>
          <w:sz w:val="24"/>
          <w:szCs w:val="24"/>
        </w:rPr>
        <w:tab/>
      </w:r>
    </w:p>
    <w:p w:rsidR="00F343D1" w:rsidRPr="00A72226" w:rsidRDefault="00BE437F" w:rsidP="00AF192E">
      <w:pPr>
        <w:pStyle w:val="BodyText"/>
        <w:jc w:val="left"/>
        <w:rPr>
          <w:sz w:val="24"/>
          <w:szCs w:val="24"/>
        </w:rPr>
      </w:pPr>
      <w:r>
        <w:rPr>
          <w:sz w:val="24"/>
          <w:szCs w:val="24"/>
        </w:rPr>
        <w:tab/>
      </w:r>
      <w:r>
        <w:rPr>
          <w:sz w:val="24"/>
          <w:szCs w:val="24"/>
        </w:rPr>
        <w:tab/>
        <w:t>Respondent asserts C</w:t>
      </w:r>
      <w:r w:rsidR="00044EFD">
        <w:rPr>
          <w:sz w:val="24"/>
          <w:szCs w:val="24"/>
        </w:rPr>
        <w:t xml:space="preserve">omplainant is charged under the regulations with being responsible to cover the replacement costs for his service line.  Respondent insists its technician did not do a pressure test in October 2010 and that the service line had deteriorated with time, having been installed back in the 1940’s or 1950’s.  Respondent acknowledges it should not have billed Complainant for monthly service charges during the months when no service was provided, which is why it credited that amount back to Complainant.  </w:t>
      </w:r>
    </w:p>
    <w:p w:rsidR="001F4B49" w:rsidRDefault="001F4B49" w:rsidP="00AF192E">
      <w:pPr>
        <w:pStyle w:val="BodyText"/>
        <w:jc w:val="left"/>
        <w:rPr>
          <w:sz w:val="24"/>
          <w:szCs w:val="24"/>
        </w:rPr>
      </w:pPr>
    </w:p>
    <w:p w:rsidR="00435E38" w:rsidRDefault="00435E38" w:rsidP="00AF192E">
      <w:pPr>
        <w:pStyle w:val="BodyText"/>
        <w:jc w:val="left"/>
        <w:rPr>
          <w:sz w:val="24"/>
          <w:szCs w:val="24"/>
          <w:u w:val="single"/>
        </w:rPr>
      </w:pPr>
      <w:r w:rsidRPr="00435E38">
        <w:rPr>
          <w:sz w:val="24"/>
          <w:szCs w:val="24"/>
          <w:u w:val="single"/>
        </w:rPr>
        <w:t xml:space="preserve">Interruption in Service </w:t>
      </w:r>
    </w:p>
    <w:p w:rsidR="00044EFD" w:rsidRPr="00435E38" w:rsidRDefault="00044EFD" w:rsidP="00AF192E">
      <w:pPr>
        <w:pStyle w:val="BodyText"/>
        <w:jc w:val="left"/>
        <w:rPr>
          <w:sz w:val="24"/>
          <w:szCs w:val="24"/>
          <w:u w:val="single"/>
        </w:rPr>
      </w:pPr>
    </w:p>
    <w:p w:rsidR="00F343D1" w:rsidRPr="00A72226" w:rsidRDefault="00AD7DF2" w:rsidP="00AF192E">
      <w:pPr>
        <w:pStyle w:val="BodyText"/>
        <w:jc w:val="left"/>
        <w:rPr>
          <w:sz w:val="24"/>
          <w:szCs w:val="24"/>
        </w:rPr>
      </w:pPr>
      <w:r w:rsidRPr="00A72226">
        <w:rPr>
          <w:sz w:val="24"/>
          <w:szCs w:val="24"/>
        </w:rPr>
        <w:tab/>
      </w:r>
      <w:r w:rsidRPr="00A72226">
        <w:rPr>
          <w:sz w:val="24"/>
          <w:szCs w:val="24"/>
        </w:rPr>
        <w:tab/>
        <w:t>“A utility may temporarily interrupt service where necessary to effect</w:t>
      </w:r>
      <w:r w:rsidR="00044EFD">
        <w:rPr>
          <w:sz w:val="24"/>
          <w:szCs w:val="24"/>
        </w:rPr>
        <w:t xml:space="preserve"> </w:t>
      </w:r>
      <w:r w:rsidRPr="00A72226">
        <w:rPr>
          <w:sz w:val="24"/>
          <w:szCs w:val="24"/>
        </w:rPr>
        <w:t>repairs or maintenance; to eliminate an imminent threat to life, health, safety or substantial property damage; or for reasons of local, State or national emergency.</w:t>
      </w:r>
    </w:p>
    <w:p w:rsidR="00C67834" w:rsidRPr="00A72226" w:rsidRDefault="00C67834" w:rsidP="00AD08FD">
      <w:pPr>
        <w:pStyle w:val="BodyText"/>
        <w:ind w:left="1440"/>
        <w:jc w:val="left"/>
        <w:rPr>
          <w:sz w:val="24"/>
          <w:szCs w:val="24"/>
        </w:rPr>
      </w:pPr>
    </w:p>
    <w:p w:rsidR="00AD7DF2" w:rsidRPr="00A72226" w:rsidRDefault="00AD08FD" w:rsidP="00AD08FD">
      <w:pPr>
        <w:pStyle w:val="BodyText"/>
        <w:ind w:left="1440"/>
        <w:jc w:val="left"/>
        <w:rPr>
          <w:sz w:val="24"/>
          <w:szCs w:val="24"/>
        </w:rPr>
      </w:pPr>
      <w:r w:rsidRPr="00A72226">
        <w:rPr>
          <w:sz w:val="24"/>
          <w:szCs w:val="24"/>
        </w:rPr>
        <w:t xml:space="preserve">(1)  </w:t>
      </w:r>
      <w:r w:rsidR="00AD7DF2" w:rsidRPr="00A72226">
        <w:rPr>
          <w:i/>
          <w:sz w:val="24"/>
          <w:szCs w:val="24"/>
        </w:rPr>
        <w:t>Interruption with prior notice.</w:t>
      </w:r>
      <w:r w:rsidR="00AD7DF2" w:rsidRPr="00A72226">
        <w:rPr>
          <w:sz w:val="24"/>
          <w:szCs w:val="24"/>
        </w:rPr>
        <w:t xml:space="preserve">  Where the utility knows in advance of the circumstances requiring the service interruption, prior notice of the cause and expected duration of the interruption shall be given to ratepayers and occupants who may be affected.  </w:t>
      </w:r>
    </w:p>
    <w:p w:rsidR="00AD7DF2" w:rsidRPr="00A72226" w:rsidRDefault="00AD08FD" w:rsidP="00AD08FD">
      <w:pPr>
        <w:pStyle w:val="BodyText"/>
        <w:ind w:left="1440"/>
        <w:jc w:val="left"/>
        <w:rPr>
          <w:sz w:val="24"/>
          <w:szCs w:val="24"/>
        </w:rPr>
      </w:pPr>
      <w:r w:rsidRPr="00A72226">
        <w:rPr>
          <w:sz w:val="24"/>
          <w:szCs w:val="24"/>
        </w:rPr>
        <w:t xml:space="preserve">(3)  </w:t>
      </w:r>
      <w:r w:rsidR="00AD7DF2" w:rsidRPr="00A72226">
        <w:rPr>
          <w:i/>
          <w:sz w:val="24"/>
          <w:szCs w:val="24"/>
        </w:rPr>
        <w:t xml:space="preserve">Notification procedures.  </w:t>
      </w:r>
      <w:r w:rsidR="00AD7DF2" w:rsidRPr="00A72226">
        <w:rPr>
          <w:sz w:val="24"/>
          <w:szCs w:val="24"/>
        </w:rPr>
        <w:t xml:space="preserve">Where ratepayers and occupants are to be notified under this section, the utility shall take reasonable steps, such as personal contact, phone contact and </w:t>
      </w:r>
      <w:r w:rsidRPr="00A72226">
        <w:rPr>
          <w:sz w:val="24"/>
          <w:szCs w:val="24"/>
        </w:rPr>
        <w:t>use of the mass media, to notif</w:t>
      </w:r>
      <w:r w:rsidR="00AD7DF2" w:rsidRPr="00A72226">
        <w:rPr>
          <w:sz w:val="24"/>
          <w:szCs w:val="24"/>
        </w:rPr>
        <w:t>y affected ratepayers and occupants of the cause and expected duration of the interruption.</w:t>
      </w:r>
      <w:r w:rsidRPr="00A72226">
        <w:rPr>
          <w:sz w:val="24"/>
          <w:szCs w:val="24"/>
        </w:rPr>
        <w:t>”</w:t>
      </w:r>
    </w:p>
    <w:p w:rsidR="00AD7DF2" w:rsidRPr="00A72226" w:rsidRDefault="00AD08FD" w:rsidP="00AD08FD">
      <w:pPr>
        <w:pStyle w:val="BodyText"/>
        <w:jc w:val="left"/>
        <w:rPr>
          <w:sz w:val="24"/>
          <w:szCs w:val="24"/>
        </w:rPr>
      </w:pPr>
      <w:r w:rsidRPr="00A72226">
        <w:rPr>
          <w:sz w:val="24"/>
          <w:szCs w:val="24"/>
        </w:rPr>
        <w:t>See 52 Pa. Code §56.71</w:t>
      </w:r>
      <w:r w:rsidR="001F4B49" w:rsidRPr="00A72226">
        <w:rPr>
          <w:sz w:val="24"/>
          <w:szCs w:val="24"/>
        </w:rPr>
        <w:t>.</w:t>
      </w:r>
    </w:p>
    <w:p w:rsidR="00AD08FD" w:rsidRDefault="00AD08FD" w:rsidP="00AD08FD">
      <w:pPr>
        <w:pStyle w:val="BodyText"/>
        <w:jc w:val="left"/>
        <w:rPr>
          <w:sz w:val="24"/>
          <w:szCs w:val="24"/>
        </w:rPr>
      </w:pPr>
    </w:p>
    <w:p w:rsidR="004E286E" w:rsidRDefault="004E286E" w:rsidP="00AD08FD">
      <w:pPr>
        <w:pStyle w:val="BodyText"/>
        <w:jc w:val="left"/>
        <w:rPr>
          <w:sz w:val="24"/>
          <w:szCs w:val="24"/>
        </w:rPr>
      </w:pPr>
      <w:r>
        <w:rPr>
          <w:sz w:val="24"/>
          <w:szCs w:val="24"/>
        </w:rPr>
        <w:tab/>
      </w:r>
      <w:r>
        <w:rPr>
          <w:sz w:val="24"/>
          <w:szCs w:val="24"/>
        </w:rPr>
        <w:tab/>
        <w:t xml:space="preserve">In this proceeding, Complainant routinely checked the structure on a weekly basis and never saw or observed either the first door knob card, which would have informed him </w:t>
      </w:r>
      <w:r w:rsidR="0057047B">
        <w:rPr>
          <w:sz w:val="24"/>
          <w:szCs w:val="24"/>
        </w:rPr>
        <w:t>service would be discontinued</w:t>
      </w:r>
      <w:r>
        <w:rPr>
          <w:sz w:val="24"/>
          <w:szCs w:val="24"/>
        </w:rPr>
        <w:t xml:space="preserve"> for repairs, or the second door knob card, which would have informed him service </w:t>
      </w:r>
      <w:r w:rsidR="0057047B">
        <w:rPr>
          <w:sz w:val="24"/>
          <w:szCs w:val="24"/>
        </w:rPr>
        <w:t>had been</w:t>
      </w:r>
      <w:r>
        <w:rPr>
          <w:sz w:val="24"/>
          <w:szCs w:val="24"/>
        </w:rPr>
        <w:t xml:space="preserve"> discontinued and </w:t>
      </w:r>
      <w:r w:rsidR="0057047B">
        <w:rPr>
          <w:sz w:val="24"/>
          <w:szCs w:val="24"/>
        </w:rPr>
        <w:t xml:space="preserve">a field representative needed to check the service inside the structure before service could be </w:t>
      </w:r>
      <w:r>
        <w:rPr>
          <w:sz w:val="24"/>
          <w:szCs w:val="24"/>
        </w:rPr>
        <w:t>restored.</w:t>
      </w:r>
    </w:p>
    <w:p w:rsidR="004E286E" w:rsidRDefault="004E286E" w:rsidP="00AD08FD">
      <w:pPr>
        <w:pStyle w:val="BodyText"/>
        <w:jc w:val="left"/>
        <w:rPr>
          <w:sz w:val="24"/>
          <w:szCs w:val="24"/>
        </w:rPr>
      </w:pPr>
    </w:p>
    <w:p w:rsidR="00435E38" w:rsidRPr="00435E38" w:rsidRDefault="00435E38" w:rsidP="00AD08FD">
      <w:pPr>
        <w:pStyle w:val="BodyText"/>
        <w:jc w:val="left"/>
        <w:rPr>
          <w:sz w:val="24"/>
          <w:szCs w:val="24"/>
          <w:u w:val="single"/>
        </w:rPr>
      </w:pPr>
      <w:r w:rsidRPr="00435E38">
        <w:rPr>
          <w:sz w:val="24"/>
          <w:szCs w:val="24"/>
          <w:u w:val="single"/>
        </w:rPr>
        <w:lastRenderedPageBreak/>
        <w:t>Hearsay Evidence</w:t>
      </w:r>
    </w:p>
    <w:p w:rsidR="00435E38" w:rsidRDefault="00435E38" w:rsidP="00435E38">
      <w:pPr>
        <w:pStyle w:val="BodyText"/>
        <w:jc w:val="left"/>
        <w:rPr>
          <w:sz w:val="24"/>
          <w:szCs w:val="24"/>
        </w:rPr>
      </w:pPr>
    </w:p>
    <w:p w:rsidR="00921CAC" w:rsidRDefault="008B677C" w:rsidP="00435E38">
      <w:pPr>
        <w:pStyle w:val="BodyText"/>
        <w:jc w:val="left"/>
        <w:rPr>
          <w:sz w:val="24"/>
          <w:szCs w:val="24"/>
        </w:rPr>
      </w:pPr>
      <w:r>
        <w:rPr>
          <w:sz w:val="24"/>
          <w:szCs w:val="24"/>
        </w:rPr>
        <w:tab/>
      </w:r>
      <w:r>
        <w:rPr>
          <w:sz w:val="24"/>
          <w:szCs w:val="24"/>
        </w:rPr>
        <w:tab/>
        <w:t xml:space="preserve">In this proceeding, Columbia admitted numerous hearsay statements attributed to its field technicians concerning whether pressure tests were completed on Complainant’s service line in October 2010 and March 2011, and concerning when and how notice of the discontinued service was provided to Complainant in November 2010.  </w:t>
      </w:r>
      <w:r w:rsidR="0057047B">
        <w:rPr>
          <w:sz w:val="24"/>
          <w:szCs w:val="24"/>
        </w:rPr>
        <w:t>In fact, Columbia’s entire evidence about what occurred at or near Complainant’s property in October 2010 and November 2010 consisted of hearsay only</w:t>
      </w:r>
      <w:r w:rsidR="00921CAC">
        <w:rPr>
          <w:sz w:val="24"/>
          <w:szCs w:val="24"/>
        </w:rPr>
        <w:t xml:space="preserve">.  Columbia did not provide the names of the individuals who allegedly made the statements to the witness who was not their supervisor until months later.  </w:t>
      </w:r>
    </w:p>
    <w:p w:rsidR="00921CAC" w:rsidRDefault="00921CAC" w:rsidP="00435E38">
      <w:pPr>
        <w:pStyle w:val="BodyText"/>
        <w:jc w:val="left"/>
        <w:rPr>
          <w:sz w:val="24"/>
          <w:szCs w:val="24"/>
        </w:rPr>
      </w:pPr>
    </w:p>
    <w:p w:rsidR="008B677C" w:rsidRDefault="008B677C" w:rsidP="00921CAC">
      <w:pPr>
        <w:pStyle w:val="BodyText"/>
        <w:ind w:firstLine="1440"/>
        <w:jc w:val="left"/>
        <w:rPr>
          <w:sz w:val="24"/>
          <w:szCs w:val="24"/>
        </w:rPr>
      </w:pPr>
      <w:r>
        <w:rPr>
          <w:sz w:val="24"/>
          <w:szCs w:val="24"/>
        </w:rPr>
        <w:t xml:space="preserve">Complainant, who </w:t>
      </w:r>
      <w:r w:rsidR="00921CAC">
        <w:rPr>
          <w:sz w:val="24"/>
          <w:szCs w:val="24"/>
        </w:rPr>
        <w:t>was unrepresented by an attorney</w:t>
      </w:r>
      <w:r>
        <w:rPr>
          <w:sz w:val="24"/>
          <w:szCs w:val="24"/>
        </w:rPr>
        <w:t xml:space="preserve">, did not object to those statements.  </w:t>
      </w:r>
    </w:p>
    <w:p w:rsidR="008B677C" w:rsidRDefault="008B677C" w:rsidP="00435E38">
      <w:pPr>
        <w:pStyle w:val="BodyText"/>
        <w:jc w:val="left"/>
        <w:rPr>
          <w:sz w:val="24"/>
          <w:szCs w:val="24"/>
        </w:rPr>
      </w:pPr>
    </w:p>
    <w:p w:rsidR="008B677C" w:rsidRDefault="008B677C" w:rsidP="00435E38">
      <w:pPr>
        <w:pStyle w:val="BodyText"/>
        <w:jc w:val="left"/>
        <w:rPr>
          <w:sz w:val="24"/>
          <w:szCs w:val="24"/>
        </w:rPr>
      </w:pPr>
      <w:r>
        <w:rPr>
          <w:sz w:val="24"/>
          <w:szCs w:val="24"/>
        </w:rPr>
        <w:tab/>
      </w:r>
      <w:r>
        <w:rPr>
          <w:sz w:val="24"/>
          <w:szCs w:val="24"/>
        </w:rPr>
        <w:tab/>
        <w:t xml:space="preserve">Columbia </w:t>
      </w:r>
      <w:r w:rsidR="00914774">
        <w:rPr>
          <w:sz w:val="24"/>
          <w:szCs w:val="24"/>
        </w:rPr>
        <w:t>did not present the testimonies of the field technicians who allegedly made these statements</w:t>
      </w:r>
      <w:r w:rsidR="00F102FC">
        <w:rPr>
          <w:sz w:val="24"/>
          <w:szCs w:val="24"/>
        </w:rPr>
        <w:t>.  Neither did Columbia</w:t>
      </w:r>
      <w:r w:rsidR="00914774">
        <w:rPr>
          <w:sz w:val="24"/>
          <w:szCs w:val="24"/>
        </w:rPr>
        <w:t xml:space="preserve"> indicate an inability to make those individuals available at the hearing.  In addition, Columbia did not present any documents, made in the normal course of business, </w:t>
      </w:r>
      <w:r w:rsidR="00F102FC">
        <w:rPr>
          <w:sz w:val="24"/>
          <w:szCs w:val="24"/>
        </w:rPr>
        <w:t xml:space="preserve">or witnesses with personal knowledge who could provide evidence </w:t>
      </w:r>
      <w:r w:rsidR="00914774">
        <w:rPr>
          <w:sz w:val="24"/>
          <w:szCs w:val="24"/>
        </w:rPr>
        <w:t>which would have corroborated the hearsay statements</w:t>
      </w:r>
      <w:r w:rsidR="00F102FC">
        <w:rPr>
          <w:sz w:val="24"/>
          <w:szCs w:val="24"/>
        </w:rPr>
        <w:t xml:space="preserve">.  Columbia also </w:t>
      </w:r>
      <w:r w:rsidR="00914774">
        <w:rPr>
          <w:sz w:val="24"/>
          <w:szCs w:val="24"/>
        </w:rPr>
        <w:t>did not indicate an inability to make those records available at the hearing.</w:t>
      </w:r>
    </w:p>
    <w:p w:rsidR="008B677C" w:rsidRDefault="008B677C" w:rsidP="00435E38">
      <w:pPr>
        <w:pStyle w:val="BodyText"/>
        <w:jc w:val="left"/>
        <w:rPr>
          <w:sz w:val="24"/>
          <w:szCs w:val="24"/>
        </w:rPr>
      </w:pPr>
    </w:p>
    <w:p w:rsidR="00EC05E5" w:rsidRDefault="00C37042" w:rsidP="00435E38">
      <w:pPr>
        <w:spacing w:line="360" w:lineRule="auto"/>
        <w:ind w:firstLine="1440"/>
      </w:pPr>
      <w:r>
        <w:t>The</w:t>
      </w:r>
      <w:r w:rsidR="00EC05E5">
        <w:t xml:space="preserve"> hearsay rule is not a technical rule</w:t>
      </w:r>
      <w:r>
        <w:t xml:space="preserve"> but </w:t>
      </w:r>
      <w:r w:rsidR="00F102FC">
        <w:t xml:space="preserve">it </w:t>
      </w:r>
      <w:r w:rsidRPr="00F102FC">
        <w:rPr>
          <w:b/>
          <w:u w:val="single"/>
        </w:rPr>
        <w:t>is</w:t>
      </w:r>
      <w:r>
        <w:t xml:space="preserve"> </w:t>
      </w:r>
      <w:r w:rsidR="00EC05E5">
        <w:t xml:space="preserve">a fundamental principle of law which </w:t>
      </w:r>
      <w:r>
        <w:t xml:space="preserve">an agency </w:t>
      </w:r>
      <w:r w:rsidR="00EC05E5">
        <w:t>must follow where facts crucial to the issue are sought to be placed on the record.</w:t>
      </w:r>
      <w:r w:rsidR="00F102FC">
        <w:rPr>
          <w:rStyle w:val="FootnoteReference"/>
        </w:rPr>
        <w:footnoteReference w:id="3"/>
      </w:r>
      <w:r w:rsidR="00EC05E5">
        <w:t xml:space="preserve">  Factual findings or adjudications based solely on hearsay will not stand unless other competent evidence is in the record.</w:t>
      </w:r>
      <w:r w:rsidR="00F102FC">
        <w:rPr>
          <w:rStyle w:val="FootnoteReference"/>
        </w:rPr>
        <w:footnoteReference w:id="4"/>
      </w:r>
      <w:r w:rsidR="00EC05E5">
        <w:t xml:space="preserve">  </w:t>
      </w:r>
    </w:p>
    <w:p w:rsidR="00EC05E5" w:rsidRDefault="00EC05E5" w:rsidP="00435E38">
      <w:pPr>
        <w:spacing w:line="360" w:lineRule="auto"/>
        <w:ind w:firstLine="1440"/>
      </w:pPr>
    </w:p>
    <w:p w:rsidR="00EC05E5" w:rsidRDefault="00EC05E5" w:rsidP="00435E38">
      <w:pPr>
        <w:spacing w:line="360" w:lineRule="auto"/>
        <w:ind w:firstLine="1440"/>
      </w:pPr>
      <w:r>
        <w:lastRenderedPageBreak/>
        <w:t xml:space="preserve">In </w:t>
      </w:r>
      <w:r>
        <w:rPr>
          <w:u w:val="single"/>
        </w:rPr>
        <w:t>Walker</w:t>
      </w:r>
      <w:r>
        <w:t xml:space="preserve">, </w:t>
      </w:r>
      <w:r w:rsidR="00DD4819">
        <w:t xml:space="preserve">supra, </w:t>
      </w:r>
      <w:r>
        <w:t>the Pennsylvania Commonwealth Court set forth the following guidelines to lessen earlier confusion regarding the use of hearsay in administrative proceedings:</w:t>
      </w:r>
    </w:p>
    <w:p w:rsidR="007D4A31" w:rsidRDefault="007D4A31" w:rsidP="007D4A31">
      <w:pPr>
        <w:ind w:firstLine="1440"/>
      </w:pPr>
    </w:p>
    <w:p w:rsidR="00DD4819" w:rsidRDefault="00EC05E5" w:rsidP="00F102FC">
      <w:pPr>
        <w:numPr>
          <w:ilvl w:val="0"/>
          <w:numId w:val="11"/>
        </w:numPr>
      </w:pPr>
      <w:r>
        <w:t xml:space="preserve">Hearsay evidence </w:t>
      </w:r>
      <w:r>
        <w:rPr>
          <w:u w:val="single"/>
        </w:rPr>
        <w:t>properly objected to</w:t>
      </w:r>
      <w:r>
        <w:t>, is not competent evidence to</w:t>
      </w:r>
      <w:r w:rsidR="00F102FC">
        <w:t xml:space="preserve"> support a finding of the Board</w:t>
      </w:r>
      <w:r>
        <w:t xml:space="preserve">; </w:t>
      </w:r>
    </w:p>
    <w:p w:rsidR="00F102FC" w:rsidRDefault="00F102FC" w:rsidP="00F102FC">
      <w:pPr>
        <w:ind w:left="1440"/>
      </w:pPr>
    </w:p>
    <w:p w:rsidR="00EC05E5" w:rsidRDefault="00EC05E5" w:rsidP="00DD4819">
      <w:pPr>
        <w:ind w:left="1440"/>
      </w:pPr>
      <w:r>
        <w:t xml:space="preserve">(2) Hearsay evidence, </w:t>
      </w:r>
      <w:r>
        <w:rPr>
          <w:u w:val="single"/>
        </w:rPr>
        <w:t>admitted without objection</w:t>
      </w:r>
      <w:r>
        <w:t xml:space="preserve">, will be given its natural probative effect and may support a finding of the Board, </w:t>
      </w:r>
      <w:r>
        <w:rPr>
          <w:u w:val="single"/>
        </w:rPr>
        <w:t>if it is corroborated by any competent evidence in the record</w:t>
      </w:r>
      <w:r>
        <w:t xml:space="preserve">, but a finding of fact based </w:t>
      </w:r>
      <w:r>
        <w:rPr>
          <w:u w:val="single"/>
        </w:rPr>
        <w:t>solely</w:t>
      </w:r>
      <w:r>
        <w:t xml:space="preserve"> on hearsay will not stand. </w:t>
      </w:r>
      <w:r w:rsidR="00DD4819">
        <w:t xml:space="preserve"> (E</w:t>
      </w:r>
      <w:r>
        <w:t>mphasis in the original)</w:t>
      </w:r>
      <w:r w:rsidR="00DD4819">
        <w:t>.</w:t>
      </w:r>
      <w:r w:rsidR="00DD4819">
        <w:rPr>
          <w:rStyle w:val="FootnoteReference"/>
        </w:rPr>
        <w:footnoteReference w:id="5"/>
      </w:r>
    </w:p>
    <w:p w:rsidR="00EC05E5" w:rsidRDefault="00EC05E5" w:rsidP="00435E38">
      <w:pPr>
        <w:spacing w:line="360" w:lineRule="auto"/>
        <w:ind w:hanging="720"/>
      </w:pPr>
    </w:p>
    <w:p w:rsidR="00207D0F" w:rsidRDefault="00914774" w:rsidP="00977A76">
      <w:pPr>
        <w:spacing w:line="360" w:lineRule="auto"/>
      </w:pPr>
      <w:r>
        <w:tab/>
      </w:r>
      <w:r>
        <w:tab/>
        <w:t>For these reasons, the statements made by Columbia’s witness Vaughn</w:t>
      </w:r>
      <w:r w:rsidR="00B43D2D">
        <w:t xml:space="preserve"> concerning hearsay statements made by the field technicians </w:t>
      </w:r>
      <w:r w:rsidR="00977A76">
        <w:t>cannot</w:t>
      </w:r>
      <w:r w:rsidR="00B43D2D">
        <w:t xml:space="preserve"> be used to prove Columbia’s contentions that it properly handled notices to Complainant</w:t>
      </w:r>
      <w:r w:rsidR="00977A76">
        <w:t>, without corroboration</w:t>
      </w:r>
      <w:r w:rsidR="001A7C7E">
        <w:t xml:space="preserve">.  </w:t>
      </w:r>
      <w:r w:rsidR="00977A76">
        <w:t xml:space="preserve">Without corroboration, those statements cannot </w:t>
      </w:r>
      <w:r w:rsidR="001A7C7E">
        <w:t>be used to show Columbia</w:t>
      </w:r>
      <w:r w:rsidR="00B43D2D">
        <w:t xml:space="preserve"> properly handled the repairs to its own service line and main line in November 2010.  </w:t>
      </w:r>
      <w:r w:rsidR="00977A76">
        <w:t>Likewise, those statements cannot be used</w:t>
      </w:r>
      <w:r w:rsidR="001A7C7E">
        <w:t xml:space="preserve"> to show Columbia’s technician did not pressure test Mr. Harris’ service line</w:t>
      </w:r>
      <w:r w:rsidR="00977A76">
        <w:t xml:space="preserve"> in October 2010.  </w:t>
      </w:r>
      <w:r w:rsidR="00B43D2D">
        <w:t xml:space="preserve">Therefore, the only credible evidence of record </w:t>
      </w:r>
      <w:r w:rsidR="001A7C7E">
        <w:t>consists of</w:t>
      </w:r>
      <w:r w:rsidR="00B43D2D">
        <w:t xml:space="preserve"> </w:t>
      </w:r>
      <w:r w:rsidR="001A7C7E">
        <w:t>Complainant’s</w:t>
      </w:r>
      <w:r w:rsidR="00B43D2D">
        <w:t xml:space="preserve"> </w:t>
      </w:r>
      <w:r w:rsidR="00777DF8">
        <w:t>statements</w:t>
      </w:r>
      <w:r w:rsidR="00B43D2D">
        <w:t>, which the presiding officer finds to be not only credible but also believable and carrying significant weight.</w:t>
      </w:r>
      <w:r w:rsidR="001A7C7E">
        <w:t xml:space="preserve">  </w:t>
      </w:r>
    </w:p>
    <w:p w:rsidR="00207D0F" w:rsidRDefault="00207D0F" w:rsidP="001A7C7E">
      <w:pPr>
        <w:spacing w:line="360" w:lineRule="auto"/>
        <w:ind w:firstLine="720"/>
      </w:pPr>
    </w:p>
    <w:p w:rsidR="00207D0F" w:rsidRPr="00A72226" w:rsidRDefault="00977A76" w:rsidP="00207D0F">
      <w:pPr>
        <w:spacing w:line="360" w:lineRule="auto"/>
        <w:ind w:firstLine="1440"/>
      </w:pPr>
      <w:r>
        <w:t>However, t</w:t>
      </w:r>
      <w:r w:rsidR="001A7C7E">
        <w:t xml:space="preserve">hat weight is insufficient to prove Columbia did, in fact, cause a sound, non-leaking service line to start leaking.  The evidence presented </w:t>
      </w:r>
      <w:r w:rsidR="00207D0F">
        <w:t>s</w:t>
      </w:r>
      <w:r w:rsidR="00422D05">
        <w:t>uggests</w:t>
      </w:r>
      <w:r w:rsidRPr="00977A76">
        <w:rPr>
          <w:b/>
        </w:rPr>
        <w:t xml:space="preserve"> </w:t>
      </w:r>
      <w:r w:rsidR="00207D0F">
        <w:t xml:space="preserve">the leaky service line </w:t>
      </w:r>
      <w:r w:rsidR="00422D05">
        <w:t xml:space="preserve">may have </w:t>
      </w:r>
      <w:r w:rsidR="00207D0F">
        <w:t xml:space="preserve">resulted from Columbia’s actions.  However, a fact that </w:t>
      </w:r>
      <w:r w:rsidR="004A1C3C">
        <w:t>might</w:t>
      </w:r>
      <w:r w:rsidR="00207D0F">
        <w:t xml:space="preserve"> be true is </w:t>
      </w:r>
      <w:r w:rsidR="00D216BA">
        <w:t xml:space="preserve">an insufficient level of circumstantial evidence that </w:t>
      </w:r>
      <w:r w:rsidR="00207D0F">
        <w:t>does not reach up to the level of evidence required by the applicable standard of proof</w:t>
      </w:r>
      <w:r>
        <w:t xml:space="preserve"> in a Commission proceeding</w:t>
      </w:r>
      <w:r w:rsidR="00207D0F">
        <w:t xml:space="preserve">.  </w:t>
      </w:r>
      <w:r w:rsidR="00207D0F" w:rsidRPr="00A72226">
        <w:t>As the party seeking affirmative relief from the Commission, Complainant bears the burden of proving the necessary elements of the complaint by substantial evidence.</w:t>
      </w:r>
      <w:r w:rsidR="00207D0F" w:rsidRPr="00A72226">
        <w:rPr>
          <w:rStyle w:val="FootnoteReference"/>
        </w:rPr>
        <w:footnoteReference w:id="6"/>
      </w:r>
      <w:r w:rsidR="00207D0F" w:rsidRPr="00A72226">
        <w:t xml:space="preserve">  Substantial evidence is defined as such evidence that a reasonable mind might accept as adequate to support a conclusion, but Complainant is required </w:t>
      </w:r>
      <w:r w:rsidR="00207D0F" w:rsidRPr="00A72226">
        <w:lastRenderedPageBreak/>
        <w:t>to present more than a mere trace of evidence or a suspicion of the existence of a fact sought to be established.</w:t>
      </w:r>
      <w:r w:rsidR="00207D0F" w:rsidRPr="00A72226">
        <w:rPr>
          <w:rStyle w:val="FootnoteReference"/>
        </w:rPr>
        <w:footnoteReference w:id="7"/>
      </w:r>
    </w:p>
    <w:p w:rsidR="00207D0F" w:rsidRDefault="00207D0F" w:rsidP="00435E38">
      <w:pPr>
        <w:spacing w:line="360" w:lineRule="auto"/>
      </w:pPr>
    </w:p>
    <w:p w:rsidR="00777DF8" w:rsidRDefault="00207D0F" w:rsidP="00435E38">
      <w:pPr>
        <w:spacing w:line="360" w:lineRule="auto"/>
      </w:pPr>
      <w:r>
        <w:tab/>
      </w:r>
      <w:r>
        <w:tab/>
        <w:t xml:space="preserve">What Complainant presented </w:t>
      </w:r>
      <w:r w:rsidR="00976702">
        <w:t xml:space="preserve">and proved </w:t>
      </w:r>
      <w:r>
        <w:t xml:space="preserve">was a </w:t>
      </w:r>
      <w:r w:rsidRPr="00976702">
        <w:rPr>
          <w:u w:val="single"/>
        </w:rPr>
        <w:t>strong suspicion</w:t>
      </w:r>
      <w:r>
        <w:t xml:space="preserve"> that Columbia damaged his service line.  No evidence was presented concerning where along the service line the leak occurred.  No evidence was presented concerning how far from Columbia’s service line this leak occurred.  No evidence was presented from anyone who saw Harris’ service line and could speak to its overall condition</w:t>
      </w:r>
      <w:r w:rsidR="00976702">
        <w:t>, or how it might have been damaged</w:t>
      </w:r>
      <w:r>
        <w:t xml:space="preserve">.  </w:t>
      </w:r>
      <w:r w:rsidR="00777DF8">
        <w:t xml:space="preserve">Therefore, the presiding officer </w:t>
      </w:r>
      <w:r w:rsidR="00976702">
        <w:t>must conclude</w:t>
      </w:r>
      <w:r w:rsidR="00777DF8">
        <w:t xml:space="preserve"> Complainant did not present substantial evidence to support his claim that Columbia’s actions damaged his service line.</w:t>
      </w:r>
    </w:p>
    <w:p w:rsidR="00207D0F" w:rsidRDefault="00207D0F" w:rsidP="00435E38">
      <w:pPr>
        <w:spacing w:line="360" w:lineRule="auto"/>
      </w:pPr>
    </w:p>
    <w:p w:rsidR="00914774" w:rsidRPr="00914774" w:rsidRDefault="00914774" w:rsidP="00435E38">
      <w:pPr>
        <w:spacing w:line="360" w:lineRule="auto"/>
        <w:rPr>
          <w:u w:val="single"/>
        </w:rPr>
      </w:pPr>
      <w:r w:rsidRPr="00914774">
        <w:rPr>
          <w:u w:val="single"/>
        </w:rPr>
        <w:t>Claim for Damages</w:t>
      </w:r>
    </w:p>
    <w:p w:rsidR="00C17843" w:rsidRDefault="00C17843" w:rsidP="00435E38">
      <w:pPr>
        <w:spacing w:line="360" w:lineRule="auto"/>
      </w:pPr>
    </w:p>
    <w:p w:rsidR="00C17843" w:rsidRDefault="00777DF8" w:rsidP="00435E38">
      <w:pPr>
        <w:spacing w:line="360" w:lineRule="auto"/>
        <w:ind w:firstLine="1440"/>
      </w:pPr>
      <w:r>
        <w:t>It should be noted that, if Complainant had presented sufficient evidence to prove Columbia damaged his service line, the Commission would not have been empowered to order Columbia to pay damage</w:t>
      </w:r>
      <w:r w:rsidR="00976702">
        <w:t>s</w:t>
      </w:r>
      <w:r>
        <w:t xml:space="preserve"> to Harris.  </w:t>
      </w:r>
      <w:r w:rsidR="00976702">
        <w:t>The Commission has the power</w:t>
      </w:r>
      <w:r w:rsidR="00C17843">
        <w:t xml:space="preserve">, and can consider </w:t>
      </w:r>
      <w:r w:rsidR="00976702">
        <w:t xml:space="preserve">only </w:t>
      </w:r>
      <w:r w:rsidR="00C17843">
        <w:t>such matters</w:t>
      </w:r>
      <w:r w:rsidR="00976702">
        <w:t>,</w:t>
      </w:r>
      <w:r w:rsidR="00C17843">
        <w:t xml:space="preserve"> as are expressly, or by necessary implication, given to it by the legislature.  It has no other powers.  The Public Utility Code, 66 Pa. C.S. §101 </w:t>
      </w:r>
      <w:r w:rsidR="00C17843" w:rsidRPr="004E1577">
        <w:rPr>
          <w:i/>
        </w:rPr>
        <w:t>et seq</w:t>
      </w:r>
      <w:r w:rsidR="00C17843">
        <w:t>. does not give the Commission jurisdiction over claims for damages.</w:t>
      </w:r>
      <w:r w:rsidR="00993F09">
        <w:rPr>
          <w:rStyle w:val="FootnoteReference"/>
        </w:rPr>
        <w:footnoteReference w:id="8"/>
      </w:r>
      <w:r w:rsidR="00C17843">
        <w:t xml:space="preserve">  </w:t>
      </w:r>
      <w:r>
        <w:t>The remedial and enforcement powers vested in the Commission by the Public Utility Code were designed to allow the Commission to enforce its orders and regulations, but not to empower it to award damages or to litigate a private action for damages on behalf of a complainant.</w:t>
      </w:r>
      <w:r>
        <w:rPr>
          <w:rStyle w:val="FootnoteReference"/>
        </w:rPr>
        <w:footnoteReference w:id="9"/>
      </w:r>
      <w:r>
        <w:t xml:space="preserve">  </w:t>
      </w:r>
      <w:r w:rsidR="00C17843">
        <w:t xml:space="preserve">The </w:t>
      </w:r>
      <w:r w:rsidR="004365C8">
        <w:t>C</w:t>
      </w:r>
      <w:r w:rsidR="00C17843">
        <w:t xml:space="preserve">ourts of Common Pleas retain original jurisdiction over suits for damages.  </w:t>
      </w:r>
    </w:p>
    <w:p w:rsidR="00C17843" w:rsidRDefault="00C17843" w:rsidP="00435E38">
      <w:pPr>
        <w:spacing w:line="360" w:lineRule="auto"/>
        <w:ind w:firstLine="1440"/>
      </w:pPr>
    </w:p>
    <w:p w:rsidR="00EC05E5" w:rsidRPr="00435E38" w:rsidRDefault="00976702" w:rsidP="006B4F02">
      <w:pPr>
        <w:pStyle w:val="BodyText"/>
        <w:jc w:val="left"/>
        <w:rPr>
          <w:sz w:val="24"/>
          <w:szCs w:val="24"/>
          <w:u w:val="single"/>
        </w:rPr>
      </w:pPr>
      <w:r>
        <w:rPr>
          <w:sz w:val="24"/>
          <w:szCs w:val="24"/>
          <w:u w:val="single"/>
        </w:rPr>
        <w:br w:type="page"/>
      </w:r>
      <w:r>
        <w:rPr>
          <w:sz w:val="24"/>
          <w:szCs w:val="24"/>
          <w:u w:val="single"/>
        </w:rPr>
        <w:lastRenderedPageBreak/>
        <w:t xml:space="preserve">Provision of Notice to Complainant and Billing during Period of Non-Service </w:t>
      </w:r>
    </w:p>
    <w:p w:rsidR="00435E38" w:rsidRDefault="00435E38" w:rsidP="006B4F02">
      <w:pPr>
        <w:pStyle w:val="BodyText"/>
        <w:jc w:val="left"/>
        <w:rPr>
          <w:sz w:val="24"/>
          <w:szCs w:val="24"/>
        </w:rPr>
      </w:pPr>
    </w:p>
    <w:p w:rsidR="00AF192E" w:rsidRPr="00A72226" w:rsidRDefault="00F343D1" w:rsidP="00976702">
      <w:pPr>
        <w:pStyle w:val="BodyText"/>
        <w:jc w:val="left"/>
        <w:rPr>
          <w:sz w:val="24"/>
          <w:szCs w:val="24"/>
        </w:rPr>
      </w:pPr>
      <w:r w:rsidRPr="00A72226">
        <w:rPr>
          <w:sz w:val="24"/>
          <w:szCs w:val="24"/>
        </w:rPr>
        <w:tab/>
      </w:r>
      <w:r w:rsidRPr="00A72226">
        <w:rPr>
          <w:sz w:val="24"/>
          <w:szCs w:val="24"/>
        </w:rPr>
        <w:tab/>
      </w:r>
      <w:r w:rsidR="001F4B49" w:rsidRPr="00A72226">
        <w:rPr>
          <w:sz w:val="24"/>
          <w:szCs w:val="24"/>
        </w:rPr>
        <w:t>In this matter,</w:t>
      </w:r>
      <w:r w:rsidR="00976702">
        <w:rPr>
          <w:sz w:val="24"/>
          <w:szCs w:val="24"/>
        </w:rPr>
        <w:t xml:space="preserve"> </w:t>
      </w:r>
      <w:r w:rsidR="0078373B" w:rsidRPr="00A72226">
        <w:rPr>
          <w:sz w:val="24"/>
          <w:szCs w:val="24"/>
        </w:rPr>
        <w:t xml:space="preserve">Complainant </w:t>
      </w:r>
      <w:r w:rsidRPr="00A72226">
        <w:rPr>
          <w:sz w:val="24"/>
          <w:szCs w:val="24"/>
        </w:rPr>
        <w:t>provide</w:t>
      </w:r>
      <w:r w:rsidR="00CA3FCD">
        <w:rPr>
          <w:sz w:val="24"/>
          <w:szCs w:val="24"/>
        </w:rPr>
        <w:t>d</w:t>
      </w:r>
      <w:r w:rsidRPr="00A72226">
        <w:rPr>
          <w:sz w:val="24"/>
          <w:szCs w:val="24"/>
        </w:rPr>
        <w:t xml:space="preserve"> sufficient evidence to show Respondent </w:t>
      </w:r>
      <w:r w:rsidR="00AD08FD" w:rsidRPr="00A72226">
        <w:rPr>
          <w:sz w:val="24"/>
          <w:szCs w:val="24"/>
        </w:rPr>
        <w:t>did not</w:t>
      </w:r>
      <w:r w:rsidRPr="00A72226">
        <w:rPr>
          <w:sz w:val="24"/>
          <w:szCs w:val="24"/>
        </w:rPr>
        <w:t xml:space="preserve"> provide adequate prior notice</w:t>
      </w:r>
      <w:r w:rsidR="00B20A2B">
        <w:rPr>
          <w:sz w:val="24"/>
          <w:szCs w:val="24"/>
        </w:rPr>
        <w:t xml:space="preserve"> of the scheduled repairs</w:t>
      </w:r>
      <w:r w:rsidRPr="00A72226">
        <w:rPr>
          <w:sz w:val="24"/>
          <w:szCs w:val="24"/>
        </w:rPr>
        <w:t xml:space="preserve">, </w:t>
      </w:r>
      <w:r w:rsidR="00B20A2B">
        <w:rPr>
          <w:sz w:val="24"/>
          <w:szCs w:val="24"/>
        </w:rPr>
        <w:t>did not provide adequate notice of the compl</w:t>
      </w:r>
      <w:r w:rsidR="00A8629A">
        <w:rPr>
          <w:sz w:val="24"/>
          <w:szCs w:val="24"/>
        </w:rPr>
        <w:t>eted repairs,</w:t>
      </w:r>
      <w:r w:rsidR="00C37042">
        <w:rPr>
          <w:sz w:val="24"/>
          <w:szCs w:val="24"/>
        </w:rPr>
        <w:t xml:space="preserve"> </w:t>
      </w:r>
      <w:r w:rsidRPr="00A72226">
        <w:rPr>
          <w:sz w:val="24"/>
          <w:szCs w:val="24"/>
        </w:rPr>
        <w:t>and</w:t>
      </w:r>
      <w:r w:rsidR="00CA3FCD">
        <w:rPr>
          <w:sz w:val="24"/>
          <w:szCs w:val="24"/>
        </w:rPr>
        <w:t xml:space="preserve"> </w:t>
      </w:r>
      <w:r w:rsidR="00C37042">
        <w:rPr>
          <w:sz w:val="24"/>
          <w:szCs w:val="24"/>
        </w:rPr>
        <w:t xml:space="preserve">continued to bill Complainant </w:t>
      </w:r>
      <w:r w:rsidR="00262F8F">
        <w:rPr>
          <w:sz w:val="24"/>
          <w:szCs w:val="24"/>
        </w:rPr>
        <w:t xml:space="preserve">for over four months for the customary </w:t>
      </w:r>
      <w:r w:rsidR="00C37042">
        <w:rPr>
          <w:sz w:val="24"/>
          <w:szCs w:val="24"/>
        </w:rPr>
        <w:t xml:space="preserve">service charge </w:t>
      </w:r>
      <w:r w:rsidR="00262F8F">
        <w:rPr>
          <w:sz w:val="24"/>
          <w:szCs w:val="24"/>
        </w:rPr>
        <w:t xml:space="preserve">and estimated natural gas consumption, </w:t>
      </w:r>
      <w:r w:rsidR="00C37042">
        <w:rPr>
          <w:sz w:val="24"/>
          <w:szCs w:val="24"/>
        </w:rPr>
        <w:t xml:space="preserve">despite knowing </w:t>
      </w:r>
      <w:r w:rsidR="00262F8F">
        <w:rPr>
          <w:sz w:val="24"/>
          <w:szCs w:val="24"/>
        </w:rPr>
        <w:t>it had discontinued service</w:t>
      </w:r>
      <w:r w:rsidRPr="00A72226">
        <w:rPr>
          <w:sz w:val="24"/>
          <w:szCs w:val="24"/>
        </w:rPr>
        <w:t xml:space="preserve">.  </w:t>
      </w:r>
      <w:r w:rsidR="00262F8F">
        <w:rPr>
          <w:sz w:val="24"/>
          <w:szCs w:val="24"/>
        </w:rPr>
        <w:t xml:space="preserve">Respondent’s actions reveal a failure to maintain its own records in a reasonably accurate manner; a failure to provide notice to a customer about an impending break in service; </w:t>
      </w:r>
      <w:r w:rsidR="0080053D">
        <w:rPr>
          <w:sz w:val="24"/>
          <w:szCs w:val="24"/>
        </w:rPr>
        <w:t xml:space="preserve">and </w:t>
      </w:r>
      <w:r w:rsidR="00262F8F">
        <w:rPr>
          <w:sz w:val="24"/>
          <w:szCs w:val="24"/>
        </w:rPr>
        <w:t xml:space="preserve">a failure to provide notice to a customer </w:t>
      </w:r>
      <w:r w:rsidR="0080053D">
        <w:rPr>
          <w:sz w:val="24"/>
          <w:szCs w:val="24"/>
        </w:rPr>
        <w:t>of the need to request a service call to restore service.</w:t>
      </w:r>
    </w:p>
    <w:p w:rsidR="007E797B" w:rsidRDefault="007E797B" w:rsidP="007E797B">
      <w:pPr>
        <w:pStyle w:val="BodyText"/>
        <w:ind w:firstLine="1440"/>
        <w:jc w:val="left"/>
        <w:outlineLvl w:val="0"/>
        <w:rPr>
          <w:sz w:val="24"/>
          <w:szCs w:val="24"/>
        </w:rPr>
      </w:pPr>
    </w:p>
    <w:p w:rsidR="007E797B" w:rsidRPr="00A72226" w:rsidRDefault="0080053D" w:rsidP="007E797B">
      <w:pPr>
        <w:pStyle w:val="BodyText"/>
        <w:ind w:firstLine="1440"/>
        <w:jc w:val="left"/>
        <w:outlineLvl w:val="0"/>
        <w:rPr>
          <w:sz w:val="24"/>
          <w:szCs w:val="24"/>
        </w:rPr>
      </w:pPr>
      <w:r>
        <w:rPr>
          <w:sz w:val="24"/>
          <w:szCs w:val="24"/>
        </w:rPr>
        <w:t xml:space="preserve">These failures amount to a lack of reasonable and reliable customer service to Complainant.  Accordingly, civil penalties are appropriate.  </w:t>
      </w:r>
    </w:p>
    <w:p w:rsidR="000D74CE" w:rsidRDefault="000D74CE" w:rsidP="00AF192E">
      <w:pPr>
        <w:pStyle w:val="BodyText"/>
        <w:jc w:val="left"/>
        <w:rPr>
          <w:sz w:val="24"/>
          <w:szCs w:val="24"/>
        </w:rPr>
      </w:pPr>
    </w:p>
    <w:p w:rsidR="00435E38" w:rsidRPr="00435E38" w:rsidRDefault="00BE5039" w:rsidP="00AF192E">
      <w:pPr>
        <w:pStyle w:val="BodyText"/>
        <w:jc w:val="left"/>
        <w:rPr>
          <w:sz w:val="24"/>
          <w:szCs w:val="24"/>
          <w:u w:val="single"/>
        </w:rPr>
      </w:pPr>
      <w:r>
        <w:rPr>
          <w:sz w:val="24"/>
          <w:szCs w:val="24"/>
          <w:u w:val="single"/>
        </w:rPr>
        <w:t>Civil Penalties</w:t>
      </w:r>
    </w:p>
    <w:p w:rsidR="00435E38" w:rsidRPr="00A72226" w:rsidRDefault="00435E38" w:rsidP="00AF192E">
      <w:pPr>
        <w:pStyle w:val="BodyText"/>
        <w:jc w:val="left"/>
        <w:rPr>
          <w:sz w:val="24"/>
          <w:szCs w:val="24"/>
        </w:rPr>
      </w:pPr>
    </w:p>
    <w:p w:rsidR="00123B47" w:rsidRDefault="00123B47" w:rsidP="00123B47">
      <w:pPr>
        <w:spacing w:line="360" w:lineRule="auto"/>
        <w:ind w:firstLine="1440"/>
      </w:pPr>
      <w:r>
        <w:t>Sections 3301(a) and</w:t>
      </w:r>
      <w:r w:rsidR="007E797B">
        <w:t xml:space="preserve"> (b) of the Public Utility Code</w:t>
      </w:r>
      <w:r>
        <w:t xml:space="preserve">, 66 Pa. C.S.A. §3301(a) and (b), authorize the </w:t>
      </w:r>
      <w:r w:rsidR="009726F3">
        <w:t>C</w:t>
      </w:r>
      <w:r>
        <w:t>ommission to impose a maximum civil penalty of $1,000.00 per day for violations of its statutes</w:t>
      </w:r>
      <w:r w:rsidR="00A8629A">
        <w:t>, regulations and orders.  The C</w:t>
      </w:r>
      <w:r>
        <w:t xml:space="preserve">ommission has adopted certain standards that are applied in determining the amount of civil penalties when violations are admitted or determined to have occurred.  There are ten standards published at 52 Pa. Code §69.1201 in the Commission’s Policy Statements and Guidelines.  </w:t>
      </w:r>
    </w:p>
    <w:p w:rsidR="00123B47" w:rsidRPr="00EA1625" w:rsidRDefault="00123B47" w:rsidP="00E76C1B">
      <w:pPr>
        <w:spacing w:line="360" w:lineRule="auto"/>
        <w:ind w:firstLine="1440"/>
      </w:pPr>
    </w:p>
    <w:p w:rsidR="00593A02" w:rsidRDefault="00123B47" w:rsidP="00593A02">
      <w:pPr>
        <w:spacing w:line="360" w:lineRule="auto"/>
        <w:ind w:firstLine="1440"/>
      </w:pPr>
      <w:r w:rsidRPr="00EA1625">
        <w:t>The standards for developing a civil penalty</w:t>
      </w:r>
      <w:r w:rsidR="00EC394E">
        <w:t xml:space="preserve"> </w:t>
      </w:r>
      <w:r w:rsidRPr="00EA1625">
        <w:t xml:space="preserve">are as follows:  </w:t>
      </w:r>
      <w:bookmarkStart w:id="0" w:name="69.1201."/>
    </w:p>
    <w:p w:rsidR="00593A02" w:rsidRDefault="00593A02" w:rsidP="00331FAB">
      <w:pPr>
        <w:ind w:firstLine="1440"/>
      </w:pPr>
    </w:p>
    <w:p w:rsidR="00593A02" w:rsidRDefault="00593A02" w:rsidP="00641049">
      <w:pPr>
        <w:ind w:left="1440" w:right="1440" w:firstLine="720"/>
      </w:pPr>
      <w:r>
        <w:t xml:space="preserve">(1)  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 </w:t>
      </w:r>
    </w:p>
    <w:p w:rsidR="00593A02" w:rsidRDefault="00593A02" w:rsidP="00593A02">
      <w:pPr>
        <w:pStyle w:val="NormalWeb"/>
        <w:spacing w:before="0" w:beforeAutospacing="0" w:after="0" w:afterAutospacing="0" w:line="360" w:lineRule="auto"/>
      </w:pPr>
    </w:p>
    <w:p w:rsidR="00593A02" w:rsidRDefault="00593A02" w:rsidP="001F769F">
      <w:pPr>
        <w:pStyle w:val="NormalWeb"/>
        <w:spacing w:before="0" w:beforeAutospacing="0" w:after="0" w:afterAutospacing="0"/>
        <w:ind w:left="1440" w:right="1440" w:firstLine="720"/>
      </w:pPr>
      <w:r>
        <w:t xml:space="preserve">(2)  Whether the resulting consequences of the conduct at issue were of a serious nature. When consequences of a serious </w:t>
      </w:r>
      <w:r>
        <w:lastRenderedPageBreak/>
        <w:t xml:space="preserve">nature are involved, such as personal injury or property damage, the consequences may warrant a higher penalty. </w:t>
      </w:r>
    </w:p>
    <w:p w:rsidR="00593A02" w:rsidRDefault="00593A02" w:rsidP="001F769F">
      <w:pPr>
        <w:pStyle w:val="NormalWeb"/>
        <w:spacing w:before="0" w:beforeAutospacing="0" w:after="0" w:afterAutospacing="0"/>
        <w:ind w:firstLine="1440"/>
      </w:pPr>
    </w:p>
    <w:p w:rsidR="00593A02" w:rsidRDefault="00593A02" w:rsidP="00445205">
      <w:pPr>
        <w:pStyle w:val="NormalWeb"/>
        <w:spacing w:before="0" w:beforeAutospacing="0" w:after="0" w:afterAutospacing="0"/>
        <w:ind w:left="1440" w:right="1440" w:firstLine="720"/>
      </w:pPr>
      <w:r>
        <w:t xml:space="preserve">(3)  Whether the conduct at issue was deemed intentional or negligent. This factor may only be considered in evaluating litigated cases. When conduct has been deemed intentional, the conduct may result in a higher penalty. </w:t>
      </w:r>
    </w:p>
    <w:p w:rsidR="00593A02" w:rsidRDefault="00593A02" w:rsidP="001F769F">
      <w:pPr>
        <w:pStyle w:val="NormalWeb"/>
        <w:spacing w:before="0" w:beforeAutospacing="0" w:after="0" w:afterAutospacing="0"/>
      </w:pPr>
    </w:p>
    <w:p w:rsidR="00593A02" w:rsidRDefault="00593A02" w:rsidP="00D85FCD">
      <w:pPr>
        <w:pStyle w:val="NormalWeb"/>
        <w:spacing w:before="0" w:beforeAutospacing="0" w:after="0" w:afterAutospacing="0"/>
        <w:ind w:left="1440" w:right="1440" w:firstLine="720"/>
      </w:pPr>
      <w:r>
        <w:t xml:space="preserve">(4)  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 </w:t>
      </w:r>
    </w:p>
    <w:p w:rsidR="00593A02" w:rsidRDefault="00593A02" w:rsidP="001F769F">
      <w:pPr>
        <w:pStyle w:val="NormalWeb"/>
        <w:spacing w:before="0" w:beforeAutospacing="0" w:after="0" w:afterAutospacing="0"/>
      </w:pPr>
    </w:p>
    <w:p w:rsidR="00593A02" w:rsidRDefault="00593A02" w:rsidP="001A52AB">
      <w:pPr>
        <w:pStyle w:val="NormalWeb"/>
        <w:spacing w:before="0" w:beforeAutospacing="0" w:after="0" w:afterAutospacing="0"/>
        <w:ind w:left="1440" w:right="1440" w:firstLine="720"/>
      </w:pPr>
      <w:r>
        <w:t xml:space="preserve">(5)  The number of customers affected and the duration of the violation. </w:t>
      </w:r>
    </w:p>
    <w:p w:rsidR="00593A02" w:rsidRDefault="00593A02" w:rsidP="001F769F">
      <w:pPr>
        <w:pStyle w:val="NormalWeb"/>
        <w:spacing w:before="0" w:beforeAutospacing="0" w:after="0" w:afterAutospacing="0"/>
      </w:pPr>
    </w:p>
    <w:p w:rsidR="00593A02" w:rsidRDefault="00593A02" w:rsidP="00346BE1">
      <w:pPr>
        <w:pStyle w:val="NormalWeb"/>
        <w:spacing w:before="0" w:beforeAutospacing="0" w:after="0" w:afterAutospacing="0"/>
        <w:ind w:left="1440" w:right="1440" w:firstLine="720"/>
      </w:pPr>
      <w:r>
        <w:t xml:space="preserve">(6)  The compliance history of the regulated entity which committed the violation. An isolated incident from an otherwise compliant utility may result in a lower penalty, whereas frequent, recurrent violations by a utility may result in a higher penalty. </w:t>
      </w:r>
    </w:p>
    <w:p w:rsidR="00593A02" w:rsidRDefault="00593A02" w:rsidP="001F769F">
      <w:pPr>
        <w:pStyle w:val="NormalWeb"/>
        <w:spacing w:before="0" w:beforeAutospacing="0" w:after="0" w:afterAutospacing="0"/>
        <w:ind w:firstLine="1440"/>
      </w:pPr>
    </w:p>
    <w:p w:rsidR="00593A02" w:rsidRDefault="00593A02" w:rsidP="00105CDD">
      <w:pPr>
        <w:pStyle w:val="NormalWeb"/>
        <w:spacing w:before="0" w:beforeAutospacing="0" w:after="0" w:afterAutospacing="0"/>
        <w:ind w:left="1440" w:right="1440" w:firstLine="720"/>
      </w:pPr>
      <w:r>
        <w:t xml:space="preserve">(7)  Whether the regulated entity cooperated with the Commission’s investigation. Facts establishing bad faith, active concealment of violations, or attempts to interfere with Commission investigations may result in a higher penalty. </w:t>
      </w:r>
    </w:p>
    <w:p w:rsidR="00593A02" w:rsidRDefault="00593A02" w:rsidP="001F769F">
      <w:pPr>
        <w:pStyle w:val="NormalWeb"/>
        <w:spacing w:before="0" w:beforeAutospacing="0" w:after="0" w:afterAutospacing="0"/>
        <w:ind w:firstLine="1440"/>
      </w:pPr>
    </w:p>
    <w:p w:rsidR="00593A02" w:rsidRDefault="00593A02" w:rsidP="005006CD">
      <w:pPr>
        <w:pStyle w:val="NormalWeb"/>
        <w:spacing w:before="0" w:beforeAutospacing="0" w:after="0" w:afterAutospacing="0"/>
        <w:ind w:left="1440" w:right="1440" w:firstLine="720"/>
      </w:pPr>
      <w:r>
        <w:t xml:space="preserve">(8)  The amount of the civil penalty or fine necessary to deter future violations. The size of the utility may be considered to determine an appropriate penalty amount. </w:t>
      </w:r>
    </w:p>
    <w:p w:rsidR="00593A02" w:rsidRDefault="00593A02" w:rsidP="001F769F">
      <w:pPr>
        <w:pStyle w:val="NormalWeb"/>
        <w:spacing w:before="0" w:beforeAutospacing="0" w:after="0" w:afterAutospacing="0"/>
        <w:ind w:firstLine="1440"/>
      </w:pPr>
    </w:p>
    <w:p w:rsidR="00593A02" w:rsidRDefault="00593A02" w:rsidP="00C534C6">
      <w:pPr>
        <w:pStyle w:val="NormalWeb"/>
        <w:spacing w:before="0" w:beforeAutospacing="0" w:after="0" w:afterAutospacing="0"/>
        <w:ind w:left="720" w:firstLine="1440"/>
      </w:pPr>
      <w:r>
        <w:t xml:space="preserve">(9)  Past Commission decisions in similar situations. </w:t>
      </w:r>
    </w:p>
    <w:p w:rsidR="00593A02" w:rsidRDefault="00593A02" w:rsidP="001F769F">
      <w:pPr>
        <w:pStyle w:val="NormalWeb"/>
        <w:spacing w:before="0" w:beforeAutospacing="0" w:after="0" w:afterAutospacing="0"/>
        <w:ind w:firstLine="1440"/>
      </w:pPr>
    </w:p>
    <w:p w:rsidR="00593A02" w:rsidRDefault="00593A02" w:rsidP="00C534C6">
      <w:pPr>
        <w:pStyle w:val="NormalWeb"/>
        <w:spacing w:before="0" w:beforeAutospacing="0" w:after="0" w:afterAutospacing="0"/>
        <w:ind w:left="720" w:firstLine="1440"/>
      </w:pPr>
      <w:r>
        <w:t>(10)  Other relevant factors.</w:t>
      </w:r>
    </w:p>
    <w:bookmarkEnd w:id="0"/>
    <w:p w:rsidR="00EC394E" w:rsidRDefault="00EC394E" w:rsidP="00593A02">
      <w:pPr>
        <w:spacing w:line="480" w:lineRule="auto"/>
        <w:ind w:firstLine="1440"/>
      </w:pPr>
    </w:p>
    <w:p w:rsidR="00123B47" w:rsidRDefault="00123B47" w:rsidP="003720EA">
      <w:pPr>
        <w:spacing w:line="360" w:lineRule="auto"/>
        <w:ind w:firstLine="1440"/>
      </w:pPr>
      <w:r>
        <w:t xml:space="preserve">These </w:t>
      </w:r>
      <w:r w:rsidRPr="00EA1625">
        <w:t>factors are generic in nature</w:t>
      </w:r>
      <w:r>
        <w:t xml:space="preserve"> </w:t>
      </w:r>
      <w:r w:rsidRPr="00EA1625">
        <w:t>and are applicable to determine the amount of a civil penalty for all violations of the Public Utility Co</w:t>
      </w:r>
      <w:r w:rsidR="00EC394E">
        <w:t>de and Commission Regulations.</w:t>
      </w:r>
      <w:r w:rsidR="00EC394E">
        <w:rPr>
          <w:rStyle w:val="FootnoteReference"/>
        </w:rPr>
        <w:footnoteReference w:id="10"/>
      </w:r>
      <w:r w:rsidR="00EC394E">
        <w:t xml:space="preserve">  </w:t>
      </w:r>
      <w:r w:rsidRPr="00EA1625">
        <w:lastRenderedPageBreak/>
        <w:t>Therefore, the standards must be used in all cases when determining the appropriate amount of a civil penalty for all types of violations for all categ</w:t>
      </w:r>
      <w:r w:rsidR="00EC394E">
        <w:t xml:space="preserve">ories of public utilities.  </w:t>
      </w:r>
    </w:p>
    <w:p w:rsidR="00BE5039" w:rsidRDefault="00BE5039" w:rsidP="003720EA">
      <w:pPr>
        <w:spacing w:line="360" w:lineRule="auto"/>
      </w:pPr>
    </w:p>
    <w:p w:rsidR="00BE5039" w:rsidRPr="00BE5039" w:rsidRDefault="00BE5039" w:rsidP="003720EA">
      <w:pPr>
        <w:spacing w:line="360" w:lineRule="auto"/>
        <w:rPr>
          <w:u w:val="single"/>
        </w:rPr>
      </w:pPr>
      <w:r w:rsidRPr="00BE5039">
        <w:rPr>
          <w:u w:val="single"/>
        </w:rPr>
        <w:t>Conclusion Concerning Civil Penalty</w:t>
      </w:r>
    </w:p>
    <w:p w:rsidR="00BE5039" w:rsidRDefault="00BE5039" w:rsidP="003720EA">
      <w:pPr>
        <w:spacing w:line="360" w:lineRule="auto"/>
      </w:pPr>
    </w:p>
    <w:p w:rsidR="00C35C99" w:rsidRDefault="00FC058B" w:rsidP="003720EA">
      <w:pPr>
        <w:spacing w:line="360" w:lineRule="auto"/>
      </w:pPr>
      <w:r>
        <w:tab/>
      </w:r>
      <w:r>
        <w:tab/>
        <w:t>Upon review of the facts herein and the factors listed in 52 Pa. Code §69.1201, there were numerous times when Respondent was negligent in not recognizing or appreciating the information available to it within its own records.  In addition, Respondent intentionally sent out billing statements knowing Complainant’s gas service was not functional and knowing its meters were reporting no usage.  Respondent did not promptly and voluntarily correct the problem when Complainant approached it in February 2011</w:t>
      </w:r>
      <w:r w:rsidR="00C35C99">
        <w:t xml:space="preserve">.  Instead, Respondent opted </w:t>
      </w:r>
      <w:r>
        <w:t xml:space="preserve">to argue with Complainant.  </w:t>
      </w:r>
    </w:p>
    <w:p w:rsidR="00C35C99" w:rsidRDefault="00C35C99" w:rsidP="003720EA">
      <w:pPr>
        <w:spacing w:line="360" w:lineRule="auto"/>
      </w:pPr>
    </w:p>
    <w:p w:rsidR="00FC058B" w:rsidRDefault="00FC058B" w:rsidP="00C35C99">
      <w:pPr>
        <w:spacing w:line="360" w:lineRule="auto"/>
        <w:ind w:firstLine="1440"/>
      </w:pPr>
      <w:r>
        <w:t>However, once Respondent realized its error in sending out the billing statements, it quickly credited Complainant’s account.  Although this situation extended over many months, Complainant appears to be the only customer who was affected</w:t>
      </w:r>
      <w:r w:rsidR="00C35C99">
        <w:t xml:space="preserve"> and the lapses in providing notice were not consistent with Respondent’s training or practices.  Overall, upon review of the ten factors specified in 52 Pa. Code §69.1201, the most disturbing feature of this proceeding is Respondent’s failure to grasp the import and impact of its own records.</w:t>
      </w:r>
    </w:p>
    <w:p w:rsidR="00FC058B" w:rsidRDefault="00FC058B" w:rsidP="00BE5039">
      <w:pPr>
        <w:spacing w:line="360" w:lineRule="auto"/>
      </w:pPr>
    </w:p>
    <w:p w:rsidR="002C0DFA" w:rsidRDefault="00C35C99" w:rsidP="00123B47">
      <w:pPr>
        <w:spacing w:line="360" w:lineRule="auto"/>
        <w:ind w:firstLine="1440"/>
      </w:pPr>
      <w:r>
        <w:t>Upon m</w:t>
      </w:r>
      <w:r w:rsidR="00123B47" w:rsidRPr="00EA1625">
        <w:t xml:space="preserve">y review of </w:t>
      </w:r>
      <w:r>
        <w:t xml:space="preserve">all of </w:t>
      </w:r>
      <w:r w:rsidR="00123B47" w:rsidRPr="00EA1625">
        <w:t xml:space="preserve">the record evidence </w:t>
      </w:r>
      <w:r>
        <w:t>I</w:t>
      </w:r>
      <w:r w:rsidR="00123B47" w:rsidRPr="00EA1625">
        <w:t xml:space="preserve"> conclude </w:t>
      </w:r>
      <w:r w:rsidR="000A1696">
        <w:t>Columbia</w:t>
      </w:r>
      <w:r w:rsidR="00123B47">
        <w:t xml:space="preserve"> provided </w:t>
      </w:r>
      <w:r w:rsidR="00123B47" w:rsidRPr="00EA1625">
        <w:t>unreasonable service to Complainant</w:t>
      </w:r>
      <w:r w:rsidR="00123B47">
        <w:t xml:space="preserve"> when </w:t>
      </w:r>
      <w:r w:rsidR="00EC394E">
        <w:t>it failed to:</w:t>
      </w:r>
      <w:r w:rsidR="00D25145">
        <w:t xml:space="preserve"> </w:t>
      </w:r>
      <w:r w:rsidR="00EC394E">
        <w:t xml:space="preserve"> (1) maintain its own records in a reasonably accurate manner; (2) failed to provide notice to a customer about an impending break in service; (3) failed to provide notice to a customer of the need to request a service call to restore service</w:t>
      </w:r>
      <w:r w:rsidR="002C0DFA">
        <w:t>; (4) failed to maintain accurate records showing natural gas service had been discontinued in October 2010; and (5) continued to send monthly billing statements during a time period when no natural gas could have been used and despite Respondent’s records which show Respondent’s meter registered zero consumption during this period.  Columbia’s</w:t>
      </w:r>
      <w:r w:rsidR="00123B47">
        <w:t xml:space="preserve"> provision of natural gas service </w:t>
      </w:r>
      <w:r w:rsidR="00123B47" w:rsidRPr="00EA1625">
        <w:t xml:space="preserve">was in violation of Section 1501 of the Code, 66 Pa. C.S. §1501, and warrants the imposition of a civil penalty.  </w:t>
      </w:r>
    </w:p>
    <w:p w:rsidR="00123B47" w:rsidRPr="00995C00" w:rsidRDefault="00123B47" w:rsidP="00123B47">
      <w:pPr>
        <w:spacing w:line="360" w:lineRule="auto"/>
        <w:ind w:firstLine="1440"/>
      </w:pPr>
    </w:p>
    <w:p w:rsidR="00450987" w:rsidRDefault="00123B47" w:rsidP="00123B47">
      <w:pPr>
        <w:pStyle w:val="BodyText"/>
        <w:jc w:val="left"/>
        <w:rPr>
          <w:sz w:val="24"/>
          <w:szCs w:val="24"/>
        </w:rPr>
      </w:pPr>
      <w:r>
        <w:rPr>
          <w:sz w:val="24"/>
          <w:szCs w:val="24"/>
        </w:rPr>
        <w:lastRenderedPageBreak/>
        <w:tab/>
      </w:r>
      <w:r>
        <w:rPr>
          <w:sz w:val="24"/>
          <w:szCs w:val="24"/>
        </w:rPr>
        <w:tab/>
        <w:t xml:space="preserve">I am assessing a Five Hundred dollar ($500.00) civil penalty against Respondent because the utility </w:t>
      </w:r>
      <w:r w:rsidR="007E797B">
        <w:rPr>
          <w:sz w:val="24"/>
          <w:szCs w:val="24"/>
        </w:rPr>
        <w:t xml:space="preserve">improperly notified Complainant about the pending repairs to the main line and Columbia’s service line, failed to notify Complainant that the natural gas service was “off” after the repairs were completed, </w:t>
      </w:r>
      <w:r w:rsidR="00450987">
        <w:rPr>
          <w:sz w:val="24"/>
          <w:szCs w:val="24"/>
        </w:rPr>
        <w:t xml:space="preserve">failed to maintain accurate records showing the natural gas service had been </w:t>
      </w:r>
      <w:r w:rsidR="00F559B1">
        <w:rPr>
          <w:sz w:val="24"/>
          <w:szCs w:val="24"/>
        </w:rPr>
        <w:t>discontinued</w:t>
      </w:r>
      <w:r w:rsidR="00450987">
        <w:rPr>
          <w:sz w:val="24"/>
          <w:szCs w:val="24"/>
        </w:rPr>
        <w:t xml:space="preserve"> at Complainant’s request in October 2010, </w:t>
      </w:r>
      <w:r w:rsidR="000A1696">
        <w:rPr>
          <w:sz w:val="24"/>
          <w:szCs w:val="24"/>
        </w:rPr>
        <w:t xml:space="preserve">and </w:t>
      </w:r>
      <w:r w:rsidR="00450987">
        <w:rPr>
          <w:sz w:val="24"/>
          <w:szCs w:val="24"/>
        </w:rPr>
        <w:t xml:space="preserve">continued to send monthly billing statements during a time period when no natural gas could be used due to Complainant’s request to </w:t>
      </w:r>
      <w:r w:rsidR="00F559B1">
        <w:rPr>
          <w:sz w:val="24"/>
          <w:szCs w:val="24"/>
        </w:rPr>
        <w:t>discontinue</w:t>
      </w:r>
      <w:r w:rsidR="00450987">
        <w:rPr>
          <w:sz w:val="24"/>
          <w:szCs w:val="24"/>
        </w:rPr>
        <w:t xml:space="preserve"> service in October 2010</w:t>
      </w:r>
      <w:r w:rsidR="00F559B1">
        <w:rPr>
          <w:sz w:val="24"/>
          <w:szCs w:val="24"/>
        </w:rPr>
        <w:t>, despite Respondent’s records which show Respondent read the meter during the period of discontinuance</w:t>
      </w:r>
      <w:r w:rsidR="00450987">
        <w:rPr>
          <w:sz w:val="24"/>
          <w:szCs w:val="24"/>
        </w:rPr>
        <w:t xml:space="preserve">.  </w:t>
      </w:r>
    </w:p>
    <w:p w:rsidR="00450987" w:rsidRDefault="00450987" w:rsidP="00123B47">
      <w:pPr>
        <w:pStyle w:val="BodyText"/>
        <w:jc w:val="left"/>
        <w:rPr>
          <w:sz w:val="24"/>
          <w:szCs w:val="24"/>
        </w:rPr>
      </w:pPr>
    </w:p>
    <w:p w:rsidR="00123B47" w:rsidRDefault="00450987" w:rsidP="00450987">
      <w:pPr>
        <w:pStyle w:val="BodyText"/>
        <w:ind w:firstLine="1440"/>
        <w:jc w:val="left"/>
        <w:rPr>
          <w:sz w:val="24"/>
          <w:szCs w:val="24"/>
        </w:rPr>
      </w:pPr>
      <w:r>
        <w:rPr>
          <w:sz w:val="24"/>
          <w:szCs w:val="24"/>
        </w:rPr>
        <w:t>The testimony evidences</w:t>
      </w:r>
      <w:r w:rsidR="00123B47">
        <w:rPr>
          <w:sz w:val="24"/>
          <w:szCs w:val="24"/>
        </w:rPr>
        <w:t xml:space="preserve"> Respondent maintained its records in such a way that its </w:t>
      </w:r>
      <w:r w:rsidR="00B20A2B">
        <w:rPr>
          <w:sz w:val="24"/>
          <w:szCs w:val="24"/>
        </w:rPr>
        <w:t xml:space="preserve">own </w:t>
      </w:r>
      <w:r w:rsidR="00123B47">
        <w:rPr>
          <w:sz w:val="24"/>
          <w:szCs w:val="24"/>
        </w:rPr>
        <w:t xml:space="preserve">personnel did not realize </w:t>
      </w:r>
      <w:r w:rsidR="00F559B1">
        <w:rPr>
          <w:sz w:val="24"/>
          <w:szCs w:val="24"/>
        </w:rPr>
        <w:t xml:space="preserve">it had discontinued </w:t>
      </w:r>
      <w:r w:rsidR="00B20A2B">
        <w:rPr>
          <w:sz w:val="24"/>
          <w:szCs w:val="24"/>
        </w:rPr>
        <w:t xml:space="preserve">service.  This failure to maintain accurate records continued for more than four months (from October 17, 2010 to February 28, 2011).  </w:t>
      </w:r>
      <w:r w:rsidR="00123B47">
        <w:rPr>
          <w:sz w:val="24"/>
          <w:szCs w:val="24"/>
        </w:rPr>
        <w:t xml:space="preserve">The civil penalty is limited to only $500.00 because Respondent took immediate action to correct the problem </w:t>
      </w:r>
      <w:r w:rsidR="00B20A2B">
        <w:rPr>
          <w:sz w:val="24"/>
          <w:szCs w:val="24"/>
        </w:rPr>
        <w:t xml:space="preserve">by refunding three months’ service charge back to Complainant and communicating back to Complainant as soon as it realized its error about the </w:t>
      </w:r>
      <w:r w:rsidR="00F559B1">
        <w:rPr>
          <w:sz w:val="24"/>
          <w:szCs w:val="24"/>
        </w:rPr>
        <w:t>discontinued</w:t>
      </w:r>
      <w:r w:rsidR="00B20A2B">
        <w:rPr>
          <w:sz w:val="24"/>
          <w:szCs w:val="24"/>
        </w:rPr>
        <w:t xml:space="preserve"> gas service.  </w:t>
      </w:r>
      <w:r w:rsidR="00123B47">
        <w:rPr>
          <w:sz w:val="24"/>
          <w:szCs w:val="24"/>
        </w:rPr>
        <w:t xml:space="preserve">  </w:t>
      </w:r>
    </w:p>
    <w:p w:rsidR="00205CC7" w:rsidRDefault="00205CC7" w:rsidP="0080053D">
      <w:pPr>
        <w:spacing w:line="360" w:lineRule="auto"/>
        <w:rPr>
          <w:u w:val="single"/>
        </w:rPr>
      </w:pPr>
    </w:p>
    <w:p w:rsidR="0080053D" w:rsidRDefault="0080053D" w:rsidP="0080053D">
      <w:pPr>
        <w:spacing w:line="360" w:lineRule="auto"/>
      </w:pPr>
      <w:r>
        <w:rPr>
          <w:u w:val="single"/>
        </w:rPr>
        <w:t>Conclusion</w:t>
      </w:r>
    </w:p>
    <w:p w:rsidR="0080053D" w:rsidRDefault="0080053D" w:rsidP="0080053D">
      <w:pPr>
        <w:spacing w:line="360" w:lineRule="auto"/>
      </w:pPr>
    </w:p>
    <w:p w:rsidR="0080053D" w:rsidRPr="0080053D" w:rsidRDefault="0080053D" w:rsidP="0080053D">
      <w:pPr>
        <w:spacing w:line="360" w:lineRule="auto"/>
      </w:pPr>
      <w:r>
        <w:tab/>
      </w:r>
      <w:r>
        <w:tab/>
        <w:t xml:space="preserve">Accordingly, </w:t>
      </w:r>
      <w:r w:rsidRPr="00A72226">
        <w:t xml:space="preserve">the complaint is </w:t>
      </w:r>
      <w:r>
        <w:t>sustained in part in that Columbia did not provide adequate customer service and should pay $</w:t>
      </w:r>
      <w:r w:rsidR="00BF00AE">
        <w:t>500.00</w:t>
      </w:r>
      <w:r>
        <w:t xml:space="preserve"> in civil penalties but is denied in part</w:t>
      </w:r>
      <w:r w:rsidRPr="00A72226">
        <w:t xml:space="preserve"> </w:t>
      </w:r>
      <w:r>
        <w:t>in that Harris is not entitled to receive an order of damages from the Commission and Harris has not proven the damage to his natural service line was caused by Columbia</w:t>
      </w:r>
      <w:r w:rsidRPr="00A72226">
        <w:t>.</w:t>
      </w:r>
    </w:p>
    <w:p w:rsidR="00C67834" w:rsidRPr="00A72226" w:rsidRDefault="00C67834" w:rsidP="00AF192E">
      <w:pPr>
        <w:spacing w:line="360" w:lineRule="auto"/>
        <w:jc w:val="center"/>
        <w:rPr>
          <w:u w:val="single"/>
        </w:rPr>
      </w:pPr>
    </w:p>
    <w:p w:rsidR="00AF192E" w:rsidRPr="00A72226" w:rsidRDefault="00AF192E" w:rsidP="00AF192E">
      <w:pPr>
        <w:spacing w:line="360" w:lineRule="auto"/>
        <w:jc w:val="center"/>
        <w:rPr>
          <w:u w:val="single"/>
        </w:rPr>
      </w:pPr>
      <w:r w:rsidRPr="00A72226">
        <w:rPr>
          <w:u w:val="single"/>
        </w:rPr>
        <w:t>CONCLUSIONS OF LAW</w:t>
      </w:r>
    </w:p>
    <w:p w:rsidR="00AF192E" w:rsidRPr="00A72226" w:rsidRDefault="00AF192E" w:rsidP="00AF192E">
      <w:pPr>
        <w:spacing w:line="360" w:lineRule="auto"/>
        <w:ind w:firstLine="1440"/>
      </w:pPr>
    </w:p>
    <w:p w:rsidR="00AF192E" w:rsidRPr="00A72226" w:rsidRDefault="00AF192E" w:rsidP="00AF192E">
      <w:pPr>
        <w:numPr>
          <w:ilvl w:val="0"/>
          <w:numId w:val="1"/>
        </w:numPr>
        <w:tabs>
          <w:tab w:val="clear" w:pos="900"/>
          <w:tab w:val="num" w:pos="2160"/>
        </w:tabs>
        <w:spacing w:line="360" w:lineRule="auto"/>
        <w:ind w:left="0" w:firstLine="1440"/>
      </w:pPr>
      <w:r w:rsidRPr="00A72226">
        <w:t>The Commission has jurisdiction over the parties and the subject matter of this proceeding.  66 Pa. C.S. §701.</w:t>
      </w:r>
    </w:p>
    <w:p w:rsidR="00AF192E" w:rsidRPr="00A72226" w:rsidRDefault="00AF192E" w:rsidP="00AF192E">
      <w:pPr>
        <w:tabs>
          <w:tab w:val="num" w:pos="2160"/>
        </w:tabs>
        <w:spacing w:line="360" w:lineRule="auto"/>
        <w:ind w:firstLine="1260"/>
      </w:pPr>
    </w:p>
    <w:p w:rsidR="00AF192E" w:rsidRPr="00A72226" w:rsidRDefault="00AF192E" w:rsidP="00AF192E">
      <w:pPr>
        <w:spacing w:line="360" w:lineRule="auto"/>
      </w:pPr>
      <w:r w:rsidRPr="00A72226">
        <w:tab/>
      </w:r>
      <w:r w:rsidRPr="00A72226">
        <w:tab/>
        <w:t>2.</w:t>
      </w:r>
      <w:r w:rsidRPr="00A72226">
        <w:tab/>
        <w:t xml:space="preserve">Complainant carries the burden of proving Respondent </w:t>
      </w:r>
      <w:r w:rsidR="00F343D1" w:rsidRPr="00A72226">
        <w:t xml:space="preserve">inadequately provided customer service </w:t>
      </w:r>
      <w:r w:rsidR="00BF00AE">
        <w:t xml:space="preserve">by damaging his service line </w:t>
      </w:r>
      <w:r w:rsidR="006A5A34">
        <w:t>in November 2010</w:t>
      </w:r>
      <w:r w:rsidRPr="00A72226">
        <w:t>.  66 Pa. C.S.A. §332(a).</w:t>
      </w:r>
    </w:p>
    <w:p w:rsidR="00BF00AE" w:rsidRDefault="00BF00AE" w:rsidP="00AF192E">
      <w:pPr>
        <w:spacing w:line="360" w:lineRule="auto"/>
      </w:pPr>
      <w:bookmarkStart w:id="1" w:name="_GoBack"/>
      <w:bookmarkEnd w:id="1"/>
      <w:r>
        <w:lastRenderedPageBreak/>
        <w:tab/>
      </w:r>
      <w:r>
        <w:tab/>
        <w:t>3.</w:t>
      </w:r>
      <w:r>
        <w:tab/>
        <w:t>Complainant failed to prove Respondent damaged his service line in November 2010.</w:t>
      </w:r>
    </w:p>
    <w:p w:rsidR="00BF00AE" w:rsidRPr="00A72226" w:rsidRDefault="00BF00AE" w:rsidP="00AF192E">
      <w:pPr>
        <w:spacing w:line="360" w:lineRule="auto"/>
      </w:pPr>
    </w:p>
    <w:p w:rsidR="00AF192E" w:rsidRPr="008D0816" w:rsidRDefault="008D0816" w:rsidP="00AF192E">
      <w:pPr>
        <w:pStyle w:val="FootnoteText"/>
        <w:spacing w:line="360" w:lineRule="auto"/>
        <w:rPr>
          <w:sz w:val="24"/>
          <w:szCs w:val="24"/>
        </w:rPr>
      </w:pPr>
      <w:r>
        <w:rPr>
          <w:sz w:val="24"/>
          <w:szCs w:val="24"/>
        </w:rPr>
        <w:tab/>
      </w:r>
      <w:r>
        <w:rPr>
          <w:sz w:val="24"/>
          <w:szCs w:val="24"/>
        </w:rPr>
        <w:tab/>
        <w:t>4</w:t>
      </w:r>
      <w:r w:rsidR="00AF192E" w:rsidRPr="00A72226">
        <w:rPr>
          <w:sz w:val="24"/>
          <w:szCs w:val="24"/>
        </w:rPr>
        <w:t>.</w:t>
      </w:r>
      <w:r w:rsidR="00AF192E" w:rsidRPr="00A72226">
        <w:rPr>
          <w:sz w:val="24"/>
          <w:szCs w:val="24"/>
        </w:rPr>
        <w:tab/>
      </w:r>
      <w:r>
        <w:rPr>
          <w:sz w:val="24"/>
          <w:szCs w:val="24"/>
        </w:rPr>
        <w:t xml:space="preserve">Complainant met the burden of proving </w:t>
      </w:r>
      <w:r w:rsidR="00AF192E" w:rsidRPr="00A72226">
        <w:rPr>
          <w:sz w:val="24"/>
          <w:szCs w:val="24"/>
        </w:rPr>
        <w:t xml:space="preserve">Respondent </w:t>
      </w:r>
      <w:r w:rsidR="006A5A34">
        <w:rPr>
          <w:sz w:val="24"/>
          <w:szCs w:val="24"/>
        </w:rPr>
        <w:t xml:space="preserve">failed to </w:t>
      </w:r>
      <w:r w:rsidR="00AF192E" w:rsidRPr="00A72226">
        <w:rPr>
          <w:sz w:val="24"/>
          <w:szCs w:val="24"/>
        </w:rPr>
        <w:t xml:space="preserve">appropriately </w:t>
      </w:r>
      <w:r w:rsidR="00F343D1" w:rsidRPr="00A72226">
        <w:rPr>
          <w:sz w:val="24"/>
          <w:szCs w:val="24"/>
        </w:rPr>
        <w:t>notif</w:t>
      </w:r>
      <w:r w:rsidR="006A5A34">
        <w:rPr>
          <w:sz w:val="24"/>
          <w:szCs w:val="24"/>
        </w:rPr>
        <w:t>y</w:t>
      </w:r>
      <w:r w:rsidR="00F343D1" w:rsidRPr="00A72226">
        <w:rPr>
          <w:sz w:val="24"/>
          <w:szCs w:val="24"/>
        </w:rPr>
        <w:t xml:space="preserve"> Complainant about the</w:t>
      </w:r>
      <w:r w:rsidR="00BF00AE">
        <w:rPr>
          <w:sz w:val="24"/>
          <w:szCs w:val="24"/>
        </w:rPr>
        <w:t xml:space="preserve"> impending service interruption and about the need to restore </w:t>
      </w:r>
      <w:r w:rsidR="00BF00AE" w:rsidRPr="008D0816">
        <w:rPr>
          <w:sz w:val="24"/>
          <w:szCs w:val="24"/>
        </w:rPr>
        <w:t xml:space="preserve">service, failed to maintain its own records to accurately reflect discontinued service at the service address, failed to maintain accurate records to reflect zero consumption at the service address, </w:t>
      </w:r>
      <w:r w:rsidRPr="008D0816">
        <w:rPr>
          <w:sz w:val="24"/>
          <w:szCs w:val="24"/>
        </w:rPr>
        <w:t xml:space="preserve">and </w:t>
      </w:r>
      <w:r w:rsidR="006A5A34" w:rsidRPr="008D0816">
        <w:rPr>
          <w:sz w:val="24"/>
          <w:szCs w:val="24"/>
        </w:rPr>
        <w:t xml:space="preserve">failed to </w:t>
      </w:r>
      <w:r w:rsidRPr="008D0816">
        <w:rPr>
          <w:sz w:val="24"/>
          <w:szCs w:val="24"/>
        </w:rPr>
        <w:t>provide reasonable and adequate customer service</w:t>
      </w:r>
      <w:r w:rsidR="00F343D1" w:rsidRPr="008D0816">
        <w:rPr>
          <w:sz w:val="24"/>
          <w:szCs w:val="24"/>
        </w:rPr>
        <w:t xml:space="preserve"> i</w:t>
      </w:r>
      <w:r w:rsidR="00AF192E" w:rsidRPr="008D0816">
        <w:rPr>
          <w:sz w:val="24"/>
          <w:szCs w:val="24"/>
        </w:rPr>
        <w:t>n a manner consistent with Respondent’s approved tariff</w:t>
      </w:r>
      <w:r w:rsidR="0078373B" w:rsidRPr="008D0816">
        <w:rPr>
          <w:sz w:val="24"/>
          <w:szCs w:val="24"/>
        </w:rPr>
        <w:t xml:space="preserve"> and the regulations</w:t>
      </w:r>
      <w:r w:rsidR="00AF192E" w:rsidRPr="008D0816">
        <w:rPr>
          <w:sz w:val="24"/>
          <w:szCs w:val="24"/>
        </w:rPr>
        <w:t xml:space="preserve">. </w:t>
      </w:r>
    </w:p>
    <w:p w:rsidR="00AF192E" w:rsidRPr="008D0816" w:rsidRDefault="00AF192E" w:rsidP="00AF192E">
      <w:pPr>
        <w:pStyle w:val="FootnoteText"/>
        <w:spacing w:line="360" w:lineRule="auto"/>
        <w:rPr>
          <w:sz w:val="24"/>
          <w:szCs w:val="24"/>
        </w:rPr>
      </w:pPr>
    </w:p>
    <w:p w:rsidR="00123B47" w:rsidRPr="008D0816" w:rsidRDefault="008D0816" w:rsidP="008D0816">
      <w:pPr>
        <w:pStyle w:val="FootnoteText"/>
        <w:spacing w:line="360" w:lineRule="auto"/>
        <w:rPr>
          <w:sz w:val="24"/>
          <w:szCs w:val="24"/>
        </w:rPr>
      </w:pPr>
      <w:r w:rsidRPr="008D0816">
        <w:rPr>
          <w:sz w:val="24"/>
          <w:szCs w:val="24"/>
        </w:rPr>
        <w:tab/>
      </w:r>
      <w:r w:rsidRPr="008D0816">
        <w:rPr>
          <w:sz w:val="24"/>
          <w:szCs w:val="24"/>
        </w:rPr>
        <w:tab/>
        <w:t>5</w:t>
      </w:r>
      <w:r w:rsidR="00AF192E" w:rsidRPr="008D0816">
        <w:rPr>
          <w:sz w:val="24"/>
          <w:szCs w:val="24"/>
        </w:rPr>
        <w:t>.</w:t>
      </w:r>
      <w:r w:rsidR="00AF192E" w:rsidRPr="008D0816">
        <w:rPr>
          <w:sz w:val="24"/>
          <w:szCs w:val="24"/>
        </w:rPr>
        <w:tab/>
      </w:r>
      <w:r w:rsidR="00123B47" w:rsidRPr="008D0816">
        <w:rPr>
          <w:sz w:val="24"/>
          <w:szCs w:val="24"/>
        </w:rPr>
        <w:t>The Commission is without jurisdiction to consider negligence issues</w:t>
      </w:r>
      <w:r>
        <w:rPr>
          <w:sz w:val="24"/>
          <w:szCs w:val="24"/>
        </w:rPr>
        <w:t>, and is not empowered to award damages to Complainant</w:t>
      </w:r>
      <w:r w:rsidR="00123B47" w:rsidRPr="008D0816">
        <w:rPr>
          <w:sz w:val="24"/>
          <w:szCs w:val="24"/>
        </w:rPr>
        <w:t xml:space="preserve">.  </w:t>
      </w:r>
      <w:r w:rsidR="00123B47" w:rsidRPr="008D0816">
        <w:rPr>
          <w:sz w:val="24"/>
          <w:szCs w:val="24"/>
          <w:u w:val="single"/>
        </w:rPr>
        <w:t>Poorbaugh v. Pennsylvania Public Utility Commission</w:t>
      </w:r>
      <w:r w:rsidR="00123B47" w:rsidRPr="008D0816">
        <w:rPr>
          <w:sz w:val="24"/>
          <w:szCs w:val="24"/>
        </w:rPr>
        <w:t>, 666 A.2d 744 (Pa. Commw. 1995).</w:t>
      </w:r>
    </w:p>
    <w:p w:rsidR="00123B47" w:rsidRPr="008D0816" w:rsidRDefault="00123B47" w:rsidP="00123B47">
      <w:pPr>
        <w:spacing w:line="360" w:lineRule="auto"/>
      </w:pPr>
      <w:r w:rsidRPr="008D0816">
        <w:tab/>
      </w:r>
    </w:p>
    <w:p w:rsidR="00123B47" w:rsidRPr="008D0816" w:rsidRDefault="00123B47" w:rsidP="00123B47">
      <w:pPr>
        <w:spacing w:line="360" w:lineRule="auto"/>
      </w:pPr>
      <w:r w:rsidRPr="008D0816">
        <w:tab/>
      </w:r>
      <w:r w:rsidRPr="008D0816">
        <w:tab/>
      </w:r>
      <w:r w:rsidR="006B160D">
        <w:t>6</w:t>
      </w:r>
      <w:r w:rsidRPr="008D0816">
        <w:t>.</w:t>
      </w:r>
      <w:r w:rsidRPr="008D0816">
        <w:tab/>
        <w:t xml:space="preserve">The Commission is authorized to consider and impose civil monetary penalties against a public utility company.  </w:t>
      </w:r>
      <w:proofErr w:type="gramStart"/>
      <w:r w:rsidRPr="008D0816">
        <w:t xml:space="preserve">52 Pa. Code §1201 </w:t>
      </w:r>
      <w:r w:rsidRPr="000C06ED">
        <w:rPr>
          <w:i/>
        </w:rPr>
        <w:t>et seq</w:t>
      </w:r>
      <w:r w:rsidRPr="008D0816">
        <w:t>.</w:t>
      </w:r>
      <w:proofErr w:type="gramEnd"/>
    </w:p>
    <w:p w:rsidR="00AF192E" w:rsidRPr="008D0816" w:rsidRDefault="00AF192E" w:rsidP="00AF192E">
      <w:pPr>
        <w:spacing w:line="360" w:lineRule="auto"/>
      </w:pPr>
      <w:r w:rsidRPr="008D0816">
        <w:tab/>
      </w:r>
    </w:p>
    <w:p w:rsidR="00AF192E" w:rsidRDefault="00AF192E" w:rsidP="00AF192E">
      <w:pPr>
        <w:spacing w:line="360" w:lineRule="auto"/>
        <w:jc w:val="center"/>
        <w:outlineLvl w:val="0"/>
        <w:rPr>
          <w:u w:val="single"/>
        </w:rPr>
      </w:pPr>
      <w:r w:rsidRPr="00A72226">
        <w:rPr>
          <w:u w:val="single"/>
        </w:rPr>
        <w:t>ORDER</w:t>
      </w:r>
    </w:p>
    <w:p w:rsidR="0023324A" w:rsidRPr="00A72226" w:rsidRDefault="0023324A" w:rsidP="00AF192E">
      <w:pPr>
        <w:spacing w:line="360" w:lineRule="auto"/>
        <w:jc w:val="center"/>
        <w:outlineLvl w:val="0"/>
        <w:rPr>
          <w:u w:val="single"/>
        </w:rPr>
      </w:pPr>
    </w:p>
    <w:p w:rsidR="00AF192E" w:rsidRPr="00A72226" w:rsidRDefault="00AF192E" w:rsidP="00AF192E">
      <w:pPr>
        <w:spacing w:line="360" w:lineRule="auto"/>
        <w:jc w:val="center"/>
        <w:rPr>
          <w:u w:val="single"/>
        </w:rPr>
      </w:pPr>
    </w:p>
    <w:p w:rsidR="00AF192E" w:rsidRPr="00A72226" w:rsidRDefault="00AF192E" w:rsidP="00AF192E">
      <w:pPr>
        <w:tabs>
          <w:tab w:val="num" w:pos="2160"/>
        </w:tabs>
        <w:spacing w:line="360" w:lineRule="auto"/>
        <w:ind w:firstLine="1440"/>
      </w:pPr>
      <w:r w:rsidRPr="00A72226">
        <w:t xml:space="preserve">THEREFORE, </w:t>
      </w:r>
    </w:p>
    <w:p w:rsidR="00AF192E" w:rsidRPr="00A72226" w:rsidRDefault="00AF192E" w:rsidP="00AF192E">
      <w:pPr>
        <w:tabs>
          <w:tab w:val="num" w:pos="2160"/>
        </w:tabs>
        <w:spacing w:line="360" w:lineRule="auto"/>
      </w:pPr>
    </w:p>
    <w:p w:rsidR="00AF192E" w:rsidRPr="00A72226" w:rsidRDefault="00AF192E" w:rsidP="00AF192E">
      <w:pPr>
        <w:tabs>
          <w:tab w:val="num" w:pos="2160"/>
        </w:tabs>
        <w:spacing w:line="360" w:lineRule="auto"/>
        <w:ind w:firstLine="1440"/>
        <w:outlineLvl w:val="0"/>
      </w:pPr>
      <w:r w:rsidRPr="00A72226">
        <w:t>IT IS ORDERED:</w:t>
      </w:r>
    </w:p>
    <w:p w:rsidR="00123B47" w:rsidRPr="00EA1625" w:rsidRDefault="00123B47" w:rsidP="00123B47">
      <w:pPr>
        <w:tabs>
          <w:tab w:val="num" w:pos="2160"/>
        </w:tabs>
        <w:spacing w:line="360" w:lineRule="auto"/>
      </w:pPr>
    </w:p>
    <w:p w:rsidR="00123B47" w:rsidRDefault="00123B47" w:rsidP="00123B47">
      <w:pPr>
        <w:tabs>
          <w:tab w:val="num" w:pos="2160"/>
        </w:tabs>
        <w:spacing w:line="360" w:lineRule="auto"/>
        <w:ind w:firstLine="1440"/>
      </w:pPr>
      <w:r>
        <w:t>1.</w:t>
      </w:r>
      <w:r>
        <w:tab/>
      </w:r>
      <w:r w:rsidRPr="00EA1625">
        <w:t xml:space="preserve">That the complaint of </w:t>
      </w:r>
      <w:r w:rsidR="00F559B1">
        <w:t>Harold J. Harris</w:t>
      </w:r>
      <w:r w:rsidRPr="00EA1625">
        <w:t xml:space="preserve"> versus </w:t>
      </w:r>
      <w:r w:rsidR="00F559B1">
        <w:t>Columbia Gas of Pennsylvania, Inc.</w:t>
      </w:r>
      <w:r>
        <w:t>,</w:t>
      </w:r>
      <w:r w:rsidRPr="00EA1625">
        <w:t xml:space="preserve"> at Docket No. </w:t>
      </w:r>
      <w:r w:rsidR="00F559B1" w:rsidRPr="00A72226">
        <w:t>C-</w:t>
      </w:r>
      <w:r w:rsidR="00F559B1">
        <w:t>2011-2241198</w:t>
      </w:r>
      <w:r w:rsidR="00F559B1" w:rsidRPr="00A72226">
        <w:t xml:space="preserve"> </w:t>
      </w:r>
      <w:r w:rsidR="008D0816" w:rsidRPr="00A72226">
        <w:t xml:space="preserve">is hereby </w:t>
      </w:r>
      <w:r w:rsidR="008D0816">
        <w:t>sustained in part and denied in part</w:t>
      </w:r>
      <w:r w:rsidRPr="00EA1625">
        <w:t>.</w:t>
      </w:r>
      <w:r>
        <w:t xml:space="preserve">  </w:t>
      </w:r>
    </w:p>
    <w:p w:rsidR="00123B47" w:rsidRDefault="00123B47" w:rsidP="00123B47">
      <w:pPr>
        <w:tabs>
          <w:tab w:val="num" w:pos="2160"/>
        </w:tabs>
        <w:spacing w:line="360" w:lineRule="auto"/>
        <w:ind w:firstLine="1440"/>
      </w:pPr>
    </w:p>
    <w:p w:rsidR="00123B47" w:rsidRDefault="00123B47" w:rsidP="00123B47">
      <w:pPr>
        <w:tabs>
          <w:tab w:val="num" w:pos="2160"/>
        </w:tabs>
        <w:spacing w:line="360" w:lineRule="auto"/>
        <w:ind w:firstLine="1440"/>
      </w:pPr>
      <w:r>
        <w:t>2.</w:t>
      </w:r>
      <w:r>
        <w:tab/>
        <w:t xml:space="preserve">That the </w:t>
      </w:r>
      <w:r w:rsidRPr="00EA1625">
        <w:t xml:space="preserve">complaint of </w:t>
      </w:r>
      <w:r w:rsidR="00F559B1">
        <w:t>Harold J. Harris</w:t>
      </w:r>
      <w:r w:rsidR="00F559B1" w:rsidRPr="00EA1625">
        <w:t xml:space="preserve"> versus </w:t>
      </w:r>
      <w:r w:rsidR="00F559B1">
        <w:t>Columbia Gas of Pennsylvania, Inc.,</w:t>
      </w:r>
      <w:r w:rsidR="00F559B1" w:rsidRPr="00EA1625">
        <w:t xml:space="preserve"> at Docket No. </w:t>
      </w:r>
      <w:r w:rsidR="00F559B1" w:rsidRPr="00A72226">
        <w:t>C-</w:t>
      </w:r>
      <w:r w:rsidR="00F559B1">
        <w:t>2011-2241198</w:t>
      </w:r>
      <w:r w:rsidR="00F559B1" w:rsidRPr="00A72226">
        <w:t xml:space="preserve"> </w:t>
      </w:r>
      <w:r w:rsidRPr="00EA1625">
        <w:t xml:space="preserve">is hereby </w:t>
      </w:r>
      <w:r>
        <w:t xml:space="preserve">denied in part </w:t>
      </w:r>
      <w:r w:rsidR="008D0816">
        <w:t>in that</w:t>
      </w:r>
      <w:r>
        <w:t xml:space="preserve"> the Commission is without jurisdiction to determine negligence issues.</w:t>
      </w:r>
    </w:p>
    <w:p w:rsidR="00123B47" w:rsidRDefault="00123B47" w:rsidP="00123B47">
      <w:pPr>
        <w:tabs>
          <w:tab w:val="num" w:pos="2160"/>
        </w:tabs>
        <w:spacing w:line="360" w:lineRule="auto"/>
        <w:ind w:firstLine="1440"/>
      </w:pPr>
    </w:p>
    <w:p w:rsidR="008D0816" w:rsidRDefault="008D0816" w:rsidP="00123B47">
      <w:pPr>
        <w:tabs>
          <w:tab w:val="num" w:pos="2160"/>
        </w:tabs>
        <w:spacing w:line="360" w:lineRule="auto"/>
        <w:ind w:firstLine="1440"/>
      </w:pPr>
      <w:r>
        <w:lastRenderedPageBreak/>
        <w:t>3.</w:t>
      </w:r>
      <w:r>
        <w:tab/>
        <w:t xml:space="preserve">That the </w:t>
      </w:r>
      <w:r w:rsidRPr="00EA1625">
        <w:t xml:space="preserve">complaint of </w:t>
      </w:r>
      <w:r>
        <w:t>Harold J. Harris</w:t>
      </w:r>
      <w:r w:rsidRPr="00EA1625">
        <w:t xml:space="preserve"> versus </w:t>
      </w:r>
      <w:r>
        <w:t>Columbia Gas of Pennsylvania, Inc.,</w:t>
      </w:r>
      <w:r w:rsidRPr="00EA1625">
        <w:t xml:space="preserve"> at Docket No. </w:t>
      </w:r>
      <w:r w:rsidRPr="00A72226">
        <w:t>C-</w:t>
      </w:r>
      <w:r>
        <w:t>2011-2241198</w:t>
      </w:r>
      <w:r w:rsidRPr="00A72226">
        <w:t xml:space="preserve"> </w:t>
      </w:r>
      <w:r w:rsidRPr="00EA1625">
        <w:t xml:space="preserve">is hereby </w:t>
      </w:r>
      <w:r>
        <w:t xml:space="preserve">denied in part in that </w:t>
      </w:r>
      <w:r w:rsidR="00A37802">
        <w:t>Harold J. Harris</w:t>
      </w:r>
      <w:r>
        <w:t xml:space="preserve"> did not prove Columbia Gas of Pennsylvania, Inc., damaged his service line in November 2010.</w:t>
      </w:r>
    </w:p>
    <w:p w:rsidR="008D0816" w:rsidRDefault="008D0816" w:rsidP="00123B47">
      <w:pPr>
        <w:tabs>
          <w:tab w:val="num" w:pos="2160"/>
        </w:tabs>
        <w:spacing w:line="360" w:lineRule="auto"/>
        <w:ind w:firstLine="1440"/>
      </w:pPr>
    </w:p>
    <w:p w:rsidR="00A37802" w:rsidRDefault="00A37802" w:rsidP="00123B47">
      <w:pPr>
        <w:tabs>
          <w:tab w:val="num" w:pos="2160"/>
        </w:tabs>
        <w:spacing w:line="360" w:lineRule="auto"/>
        <w:ind w:firstLine="1440"/>
      </w:pPr>
      <w:r>
        <w:t>4.</w:t>
      </w:r>
      <w:r>
        <w:tab/>
        <w:t xml:space="preserve">That the </w:t>
      </w:r>
      <w:r w:rsidRPr="00EA1625">
        <w:t xml:space="preserve">complaint of </w:t>
      </w:r>
      <w:r>
        <w:t>Harold J. Harris</w:t>
      </w:r>
      <w:r w:rsidRPr="00EA1625">
        <w:t xml:space="preserve"> versus </w:t>
      </w:r>
      <w:r>
        <w:t>Columbia Gas of Pennsylvania, Inc.,</w:t>
      </w:r>
      <w:r w:rsidRPr="00EA1625">
        <w:t xml:space="preserve"> at Docket No. </w:t>
      </w:r>
      <w:r w:rsidRPr="00A72226">
        <w:t>C-</w:t>
      </w:r>
      <w:r>
        <w:t>2011-2241198</w:t>
      </w:r>
      <w:r w:rsidRPr="00A72226">
        <w:t xml:space="preserve"> </w:t>
      </w:r>
      <w:r w:rsidRPr="00EA1625">
        <w:t xml:space="preserve">is hereby </w:t>
      </w:r>
      <w:r>
        <w:t>sustained in part in that Harold J. Harris did prove Columbia Gas of Pennsylvania, Inc., failed to provide reasonable and adequate customer service from October 2010 through February 2011.</w:t>
      </w:r>
    </w:p>
    <w:p w:rsidR="00A37802" w:rsidRDefault="00A37802" w:rsidP="00123B47">
      <w:pPr>
        <w:tabs>
          <w:tab w:val="num" w:pos="2160"/>
        </w:tabs>
        <w:spacing w:line="360" w:lineRule="auto"/>
        <w:ind w:firstLine="1440"/>
      </w:pPr>
    </w:p>
    <w:p w:rsidR="00123B47" w:rsidRPr="00EA1625" w:rsidRDefault="00A37802" w:rsidP="00123B47">
      <w:pPr>
        <w:tabs>
          <w:tab w:val="num" w:pos="2160"/>
        </w:tabs>
        <w:spacing w:line="360" w:lineRule="auto"/>
        <w:ind w:firstLine="1440"/>
      </w:pPr>
      <w:r>
        <w:t>5</w:t>
      </w:r>
      <w:r w:rsidR="00123B47">
        <w:t>.</w:t>
      </w:r>
      <w:r w:rsidR="00123B47">
        <w:tab/>
        <w:t xml:space="preserve">That </w:t>
      </w:r>
      <w:r w:rsidR="007B2325">
        <w:t>Columbia Gas of Pennsylvania, Inc</w:t>
      </w:r>
      <w:proofErr w:type="gramStart"/>
      <w:r w:rsidR="007B2325">
        <w:t>.</w:t>
      </w:r>
      <w:r w:rsidR="00123B47">
        <w:t>,</w:t>
      </w:r>
      <w:proofErr w:type="gramEnd"/>
      <w:r w:rsidR="00123B47" w:rsidRPr="00EA1625">
        <w:t xml:space="preserve"> is hereby </w:t>
      </w:r>
      <w:r w:rsidR="00123B47">
        <w:t>assessed the penalty of Five Hundred dollars ($500.00) because</w:t>
      </w:r>
      <w:r>
        <w:t xml:space="preserve"> of its failure to </w:t>
      </w:r>
      <w:r w:rsidR="00761A05">
        <w:t xml:space="preserve">provide </w:t>
      </w:r>
      <w:r>
        <w:t>reasonable and adequate customer service in violation of the regulations and its approved tariff</w:t>
      </w:r>
      <w:r w:rsidR="00123B47" w:rsidRPr="00EA1625">
        <w:t>.</w:t>
      </w:r>
      <w:r w:rsidR="00123B47">
        <w:t xml:space="preserve">  </w:t>
      </w:r>
    </w:p>
    <w:p w:rsidR="00123B47" w:rsidRPr="00EA1625" w:rsidRDefault="00123B47" w:rsidP="00123B47">
      <w:pPr>
        <w:tabs>
          <w:tab w:val="num" w:pos="2160"/>
        </w:tabs>
        <w:spacing w:line="360" w:lineRule="auto"/>
        <w:ind w:firstLine="1440"/>
      </w:pPr>
    </w:p>
    <w:p w:rsidR="00A4095C" w:rsidRDefault="00A37802" w:rsidP="00123B47">
      <w:pPr>
        <w:tabs>
          <w:tab w:val="num" w:pos="2160"/>
        </w:tabs>
        <w:spacing w:line="360" w:lineRule="auto"/>
        <w:ind w:firstLine="1440"/>
      </w:pPr>
      <w:r>
        <w:t>6</w:t>
      </w:r>
      <w:r w:rsidR="00123B47">
        <w:t>.</w:t>
      </w:r>
      <w:r w:rsidR="00123B47">
        <w:tab/>
        <w:t xml:space="preserve">That </w:t>
      </w:r>
      <w:r w:rsidR="007B2325">
        <w:t xml:space="preserve">Columbia Gas of Pennsylvania, Inc. </w:t>
      </w:r>
      <w:proofErr w:type="gramStart"/>
      <w:r w:rsidR="00123B47">
        <w:t>shall within thirty (30) days of the Commission’s Order in this case, shall</w:t>
      </w:r>
      <w:proofErr w:type="gramEnd"/>
      <w:r w:rsidR="00123B47">
        <w:t xml:space="preserve"> pay a civil penalty in the amount of </w:t>
      </w:r>
    </w:p>
    <w:p w:rsidR="00123B47" w:rsidRDefault="00123B47" w:rsidP="00A4095C">
      <w:pPr>
        <w:tabs>
          <w:tab w:val="num" w:pos="2160"/>
        </w:tabs>
        <w:spacing w:line="360" w:lineRule="auto"/>
      </w:pPr>
      <w:r>
        <w:t>Five Hundred dollars ($500.00) by sending a certified check or money order payable to the Pennsylvania Public Utility Commission addressed to:</w:t>
      </w:r>
    </w:p>
    <w:p w:rsidR="00613082" w:rsidRDefault="00613082" w:rsidP="00123B47">
      <w:pPr>
        <w:tabs>
          <w:tab w:val="num" w:pos="2160"/>
        </w:tabs>
        <w:spacing w:line="360" w:lineRule="auto"/>
        <w:ind w:firstLine="1440"/>
      </w:pPr>
    </w:p>
    <w:p w:rsidR="00123B47" w:rsidRDefault="00123B47" w:rsidP="00123B47">
      <w:pPr>
        <w:tabs>
          <w:tab w:val="num" w:pos="2160"/>
        </w:tabs>
        <w:ind w:firstLine="1440"/>
      </w:pPr>
      <w:r>
        <w:tab/>
        <w:t>Pennsylvania Public Utility Commission</w:t>
      </w:r>
    </w:p>
    <w:p w:rsidR="00123B47" w:rsidRDefault="00123B47" w:rsidP="00123B47">
      <w:pPr>
        <w:tabs>
          <w:tab w:val="num" w:pos="2160"/>
        </w:tabs>
        <w:ind w:firstLine="1440"/>
      </w:pPr>
      <w:r>
        <w:tab/>
        <w:t>P.O. Box 3265</w:t>
      </w:r>
    </w:p>
    <w:p w:rsidR="000A5C85" w:rsidRDefault="00123B47" w:rsidP="00123B47">
      <w:pPr>
        <w:tabs>
          <w:tab w:val="num" w:pos="2160"/>
        </w:tabs>
        <w:ind w:firstLine="1440"/>
      </w:pPr>
      <w:r>
        <w:tab/>
        <w:t>Harrisburg, PA 17105-3265</w:t>
      </w:r>
      <w:r w:rsidRPr="00EA1625">
        <w:tab/>
      </w:r>
    </w:p>
    <w:p w:rsidR="00123B47" w:rsidRDefault="00123B47" w:rsidP="00123B47">
      <w:pPr>
        <w:tabs>
          <w:tab w:val="num" w:pos="2160"/>
        </w:tabs>
        <w:ind w:firstLine="1440"/>
      </w:pPr>
      <w:r w:rsidRPr="00EA1625">
        <w:t xml:space="preserve"> </w:t>
      </w:r>
    </w:p>
    <w:p w:rsidR="000A5C85" w:rsidRPr="00EA1625" w:rsidRDefault="000A5C85" w:rsidP="00123B47">
      <w:pPr>
        <w:tabs>
          <w:tab w:val="num" w:pos="2160"/>
        </w:tabs>
        <w:ind w:firstLine="1440"/>
      </w:pPr>
    </w:p>
    <w:p w:rsidR="00123B47" w:rsidRDefault="00613082" w:rsidP="00123B47">
      <w:pPr>
        <w:tabs>
          <w:tab w:val="num" w:pos="2160"/>
        </w:tabs>
        <w:spacing w:line="360" w:lineRule="auto"/>
        <w:ind w:firstLine="1440"/>
      </w:pPr>
      <w:r>
        <w:t>7</w:t>
      </w:r>
      <w:r w:rsidR="00123B47">
        <w:t>.</w:t>
      </w:r>
      <w:r w:rsidR="00123B47">
        <w:tab/>
        <w:t xml:space="preserve">That </w:t>
      </w:r>
      <w:r w:rsidR="007B2325">
        <w:t xml:space="preserve">Columbia Gas of Pennsylvania, Inc. </w:t>
      </w:r>
      <w:r w:rsidR="00123B47">
        <w:t xml:space="preserve">shall cease and desist from further violations of the Public Utility Code, 66 Pa. C.S.A. §101 </w:t>
      </w:r>
      <w:r w:rsidR="00123B47" w:rsidRPr="00047BB1">
        <w:rPr>
          <w:i/>
        </w:rPr>
        <w:t>et seq.</w:t>
      </w:r>
    </w:p>
    <w:p w:rsidR="00123B47" w:rsidRDefault="00123B47" w:rsidP="00123B47">
      <w:pPr>
        <w:tabs>
          <w:tab w:val="num" w:pos="2160"/>
        </w:tabs>
        <w:spacing w:line="360" w:lineRule="auto"/>
        <w:ind w:firstLine="1440"/>
      </w:pPr>
    </w:p>
    <w:p w:rsidR="00123B47" w:rsidRPr="00A72226" w:rsidRDefault="00123B47" w:rsidP="00AF192E">
      <w:pPr>
        <w:tabs>
          <w:tab w:val="num" w:pos="2160"/>
        </w:tabs>
        <w:spacing w:line="360" w:lineRule="auto"/>
        <w:ind w:firstLine="1440"/>
      </w:pPr>
    </w:p>
    <w:p w:rsidR="00AF192E" w:rsidRPr="00A72226" w:rsidRDefault="00AF192E" w:rsidP="00AF192E">
      <w:pPr>
        <w:tabs>
          <w:tab w:val="num" w:pos="2160"/>
        </w:tabs>
        <w:spacing w:line="360" w:lineRule="auto"/>
        <w:ind w:firstLine="1440"/>
      </w:pPr>
      <w:r w:rsidRPr="00A72226">
        <w:tab/>
        <w:t xml:space="preserve"> </w:t>
      </w:r>
    </w:p>
    <w:p w:rsidR="00AF192E" w:rsidRPr="00A72226" w:rsidRDefault="00AF192E" w:rsidP="00AF192E">
      <w:pPr>
        <w:tabs>
          <w:tab w:val="num" w:pos="2160"/>
          <w:tab w:val="left" w:pos="5048"/>
        </w:tabs>
      </w:pPr>
      <w:r w:rsidRPr="00A72226">
        <w:t xml:space="preserve">Date:  </w:t>
      </w:r>
      <w:r w:rsidR="007B2325">
        <w:rPr>
          <w:u w:val="single"/>
        </w:rPr>
        <w:t>November</w:t>
      </w:r>
      <w:r w:rsidR="00A37802">
        <w:rPr>
          <w:u w:val="single"/>
        </w:rPr>
        <w:t xml:space="preserve"> </w:t>
      </w:r>
      <w:r w:rsidR="0002063D">
        <w:rPr>
          <w:u w:val="single"/>
        </w:rPr>
        <w:t>18</w:t>
      </w:r>
      <w:r w:rsidR="00A72226">
        <w:rPr>
          <w:u w:val="single"/>
        </w:rPr>
        <w:t>, 2011</w:t>
      </w:r>
      <w:r w:rsidRPr="00A72226">
        <w:tab/>
      </w:r>
      <w:r w:rsidR="0002063D">
        <w:tab/>
      </w:r>
      <w:r w:rsidRPr="00A72226">
        <w:t>______________________________</w:t>
      </w:r>
    </w:p>
    <w:p w:rsidR="00AF192E" w:rsidRPr="00A72226" w:rsidRDefault="00AF192E" w:rsidP="00AF192E">
      <w:pPr>
        <w:tabs>
          <w:tab w:val="num" w:pos="2160"/>
        </w:tabs>
      </w:pPr>
      <w:r w:rsidRPr="00A72226">
        <w:tab/>
      </w:r>
      <w:r w:rsidRPr="00A72226">
        <w:tab/>
      </w:r>
      <w:r w:rsidRPr="00A72226">
        <w:tab/>
      </w:r>
      <w:r w:rsidRPr="00A72226">
        <w:tab/>
      </w:r>
      <w:r w:rsidRPr="00A72226">
        <w:tab/>
      </w:r>
      <w:r w:rsidR="0002063D">
        <w:tab/>
      </w:r>
      <w:r w:rsidRPr="00A72226">
        <w:t>Katrina L. Dunderdale</w:t>
      </w:r>
    </w:p>
    <w:p w:rsidR="00AF192E" w:rsidRPr="00A72226" w:rsidRDefault="00AF192E" w:rsidP="00AF192E">
      <w:pPr>
        <w:tabs>
          <w:tab w:val="num" w:pos="2160"/>
        </w:tabs>
      </w:pPr>
      <w:r w:rsidRPr="00A72226">
        <w:tab/>
      </w:r>
      <w:r w:rsidRPr="00A72226">
        <w:tab/>
      </w:r>
      <w:r w:rsidRPr="00A72226">
        <w:tab/>
      </w:r>
      <w:r w:rsidRPr="00A72226">
        <w:tab/>
      </w:r>
      <w:r w:rsidRPr="00A72226">
        <w:tab/>
      </w:r>
      <w:r w:rsidR="0002063D">
        <w:tab/>
      </w:r>
      <w:r w:rsidRPr="00A72226">
        <w:t>Administrative Law Judge</w:t>
      </w:r>
    </w:p>
    <w:p w:rsidR="000E6AC8" w:rsidRPr="00DE5EB8" w:rsidRDefault="00A37802" w:rsidP="00A37802">
      <w:r w:rsidRPr="00DE5EB8">
        <w:t xml:space="preserve"> </w:t>
      </w:r>
    </w:p>
    <w:p w:rsidR="000E6AC8" w:rsidRPr="00DE5EB8" w:rsidRDefault="000E6AC8" w:rsidP="00B46DE5">
      <w:pPr>
        <w:ind w:right="115"/>
      </w:pPr>
    </w:p>
    <w:sectPr w:rsidR="000E6AC8" w:rsidRPr="00DE5EB8" w:rsidSect="00F6612B">
      <w:footerReference w:type="even" r:id="rId9"/>
      <w:footerReference w:type="default" r:id="rId10"/>
      <w:pgSz w:w="12240" w:h="15840" w:code="1"/>
      <w:pgMar w:top="1440" w:right="1440" w:bottom="1440" w:left="1440" w:header="720" w:footer="720" w:gutter="0"/>
      <w:paperSrc w:first="5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CA0" w:rsidRDefault="007A6CA0">
      <w:r>
        <w:separator/>
      </w:r>
    </w:p>
  </w:endnote>
  <w:endnote w:type="continuationSeparator" w:id="0">
    <w:p w:rsidR="007A6CA0" w:rsidRDefault="007A6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1EE" w:rsidRDefault="00AB371B" w:rsidP="008E4FD6">
    <w:pPr>
      <w:pStyle w:val="Footer"/>
      <w:framePr w:wrap="around" w:vAnchor="text" w:hAnchor="margin" w:xAlign="center" w:y="1"/>
      <w:rPr>
        <w:rStyle w:val="PageNumber"/>
      </w:rPr>
    </w:pPr>
    <w:r>
      <w:rPr>
        <w:rStyle w:val="PageNumber"/>
      </w:rPr>
      <w:fldChar w:fldCharType="begin"/>
    </w:r>
    <w:r w:rsidR="002C71EE">
      <w:rPr>
        <w:rStyle w:val="PageNumber"/>
      </w:rPr>
      <w:instrText xml:space="preserve">PAGE  </w:instrText>
    </w:r>
    <w:r>
      <w:rPr>
        <w:rStyle w:val="PageNumber"/>
      </w:rPr>
      <w:fldChar w:fldCharType="separate"/>
    </w:r>
    <w:r w:rsidR="002562E9">
      <w:rPr>
        <w:rStyle w:val="PageNumber"/>
        <w:noProof/>
      </w:rPr>
      <w:t>7</w:t>
    </w:r>
    <w:r>
      <w:rPr>
        <w:rStyle w:val="PageNumber"/>
      </w:rPr>
      <w:fldChar w:fldCharType="end"/>
    </w:r>
  </w:p>
  <w:p w:rsidR="002C71EE" w:rsidRDefault="002C71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1EE" w:rsidRPr="00A31C3A" w:rsidRDefault="00AB371B" w:rsidP="008E4FD6">
    <w:pPr>
      <w:pStyle w:val="Footer"/>
      <w:framePr w:wrap="around" w:vAnchor="text" w:hAnchor="margin" w:xAlign="center" w:y="1"/>
      <w:rPr>
        <w:rStyle w:val="PageNumber"/>
      </w:rPr>
    </w:pPr>
    <w:r w:rsidRPr="00A31C3A">
      <w:rPr>
        <w:rStyle w:val="PageNumber"/>
      </w:rPr>
      <w:fldChar w:fldCharType="begin"/>
    </w:r>
    <w:r w:rsidR="002C71EE" w:rsidRPr="00A31C3A">
      <w:rPr>
        <w:rStyle w:val="PageNumber"/>
      </w:rPr>
      <w:instrText xml:space="preserve">PAGE  </w:instrText>
    </w:r>
    <w:r w:rsidRPr="00A31C3A">
      <w:rPr>
        <w:rStyle w:val="PageNumber"/>
      </w:rPr>
      <w:fldChar w:fldCharType="separate"/>
    </w:r>
    <w:r w:rsidR="005222FA">
      <w:rPr>
        <w:rStyle w:val="PageNumber"/>
        <w:noProof/>
      </w:rPr>
      <w:t>17</w:t>
    </w:r>
    <w:r w:rsidRPr="00A31C3A">
      <w:rPr>
        <w:rStyle w:val="PageNumber"/>
      </w:rPr>
      <w:fldChar w:fldCharType="end"/>
    </w:r>
  </w:p>
  <w:p w:rsidR="002C71EE" w:rsidRDefault="002C71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CA0" w:rsidRDefault="007A6CA0">
      <w:r>
        <w:separator/>
      </w:r>
    </w:p>
  </w:footnote>
  <w:footnote w:type="continuationSeparator" w:id="0">
    <w:p w:rsidR="007A6CA0" w:rsidRDefault="007A6CA0">
      <w:r>
        <w:continuationSeparator/>
      </w:r>
    </w:p>
  </w:footnote>
  <w:footnote w:id="1">
    <w:p w:rsidR="00E92236" w:rsidRDefault="00E92236" w:rsidP="00E92236">
      <w:pPr>
        <w:pStyle w:val="FootnoteText"/>
        <w:ind w:firstLine="720"/>
      </w:pPr>
      <w:r>
        <w:rPr>
          <w:rStyle w:val="FootnoteReference"/>
        </w:rPr>
        <w:footnoteRef/>
      </w:r>
      <w:r>
        <w:t xml:space="preserve"> </w:t>
      </w:r>
      <w:r>
        <w:tab/>
        <w:t xml:space="preserve">The parties agreed Columbia refunded </w:t>
      </w:r>
      <w:r w:rsidR="00993F09">
        <w:t xml:space="preserve">to Complainant </w:t>
      </w:r>
      <w:r>
        <w:t>the customer service charges for three</w:t>
      </w:r>
      <w:r w:rsidR="00C034DA">
        <w:t> </w:t>
      </w:r>
      <w:r>
        <w:t xml:space="preserve">months (November 2010 to February 2011) on February 28, 2011.  </w:t>
      </w:r>
    </w:p>
    <w:p w:rsidR="00E92236" w:rsidRDefault="00E92236" w:rsidP="00E92236">
      <w:pPr>
        <w:pStyle w:val="FootnoteText"/>
        <w:ind w:firstLine="720"/>
      </w:pPr>
    </w:p>
  </w:footnote>
  <w:footnote w:id="2">
    <w:p w:rsidR="003B40DA" w:rsidRDefault="003B40DA" w:rsidP="005F0F52">
      <w:pPr>
        <w:pStyle w:val="FootnoteText"/>
        <w:ind w:firstLine="720"/>
      </w:pPr>
      <w:r>
        <w:rPr>
          <w:rStyle w:val="FootnoteReference"/>
        </w:rPr>
        <w:footnoteRef/>
      </w:r>
      <w:r>
        <w:t xml:space="preserve"> </w:t>
      </w:r>
      <w:r>
        <w:tab/>
      </w:r>
      <w:r w:rsidRPr="003B40DA">
        <w:t>See 66 Pa. C.S.A. §1501.</w:t>
      </w:r>
    </w:p>
    <w:p w:rsidR="003347C3" w:rsidRPr="003B40DA" w:rsidRDefault="003347C3" w:rsidP="003347C3">
      <w:pPr>
        <w:pStyle w:val="FootnoteText"/>
      </w:pPr>
    </w:p>
  </w:footnote>
  <w:footnote w:id="3">
    <w:p w:rsidR="001A7C7E" w:rsidRDefault="001A7C7E" w:rsidP="00F102FC">
      <w:pPr>
        <w:pStyle w:val="FootnoteText"/>
        <w:ind w:firstLine="720"/>
      </w:pPr>
    </w:p>
    <w:p w:rsidR="00F102FC" w:rsidRDefault="00F102FC" w:rsidP="00F102FC">
      <w:pPr>
        <w:pStyle w:val="FootnoteText"/>
        <w:ind w:firstLine="720"/>
      </w:pPr>
      <w:r>
        <w:rPr>
          <w:rStyle w:val="FootnoteReference"/>
        </w:rPr>
        <w:footnoteRef/>
      </w:r>
      <w:r>
        <w:t xml:space="preserve"> </w:t>
      </w:r>
      <w:r>
        <w:tab/>
      </w:r>
      <w:r>
        <w:rPr>
          <w:u w:val="single"/>
        </w:rPr>
        <w:t>Com., State Board of Medical Education &amp; Licensure v. Contakos</w:t>
      </w:r>
      <w:r>
        <w:t xml:space="preserve">, 21 Pa. Commw. 422, 346 A.2d 850 (1975); </w:t>
      </w:r>
      <w:r>
        <w:rPr>
          <w:u w:val="single"/>
        </w:rPr>
        <w:t>Bledevens v. Com., State Civil Service Commission</w:t>
      </w:r>
      <w:r>
        <w:t>, 11 Pa. Comm</w:t>
      </w:r>
      <w:r w:rsidR="001A7C7E">
        <w:t>w</w:t>
      </w:r>
      <w:r>
        <w:t xml:space="preserve">. 1, 312 A.2d 109 (1973).  </w:t>
      </w:r>
    </w:p>
    <w:p w:rsidR="00F102FC" w:rsidRDefault="00F102FC" w:rsidP="00F102FC">
      <w:pPr>
        <w:pStyle w:val="FootnoteText"/>
        <w:ind w:firstLine="720"/>
      </w:pPr>
    </w:p>
  </w:footnote>
  <w:footnote w:id="4">
    <w:p w:rsidR="00F102FC" w:rsidRDefault="00F102FC" w:rsidP="00F102FC">
      <w:pPr>
        <w:pStyle w:val="FootnoteText"/>
        <w:ind w:firstLine="720"/>
      </w:pPr>
      <w:r>
        <w:rPr>
          <w:rStyle w:val="FootnoteReference"/>
        </w:rPr>
        <w:footnoteRef/>
      </w:r>
      <w:r>
        <w:t xml:space="preserve"> </w:t>
      </w:r>
      <w:r>
        <w:tab/>
      </w:r>
      <w:r>
        <w:rPr>
          <w:u w:val="single"/>
        </w:rPr>
        <w:t>Walker v. Unemployment Comp. Board of Review</w:t>
      </w:r>
      <w:r>
        <w:t xml:space="preserve">, 367 A.2d 366 (Pa. </w:t>
      </w:r>
      <w:r w:rsidR="001A7C7E">
        <w:t>Commw</w:t>
      </w:r>
      <w:r>
        <w:t xml:space="preserve">. 1967); </w:t>
      </w:r>
      <w:r>
        <w:rPr>
          <w:u w:val="single"/>
        </w:rPr>
        <w:t>Anderson</w:t>
      </w:r>
      <w:r w:rsidR="000D1227">
        <w:rPr>
          <w:u w:val="single"/>
        </w:rPr>
        <w:t> </w:t>
      </w:r>
      <w:r>
        <w:rPr>
          <w:u w:val="single"/>
        </w:rPr>
        <w:t xml:space="preserve">v. Dept. of Public </w:t>
      </w:r>
      <w:r w:rsidRPr="00C37042">
        <w:rPr>
          <w:u w:val="single"/>
        </w:rPr>
        <w:t>Welfare</w:t>
      </w:r>
      <w:r>
        <w:t xml:space="preserve">, 468 A.2d 1167 (Pa. </w:t>
      </w:r>
      <w:r w:rsidR="001A7C7E">
        <w:t>Commw</w:t>
      </w:r>
      <w:r>
        <w:t xml:space="preserve">. 1983); </w:t>
      </w:r>
      <w:r>
        <w:rPr>
          <w:u w:val="single"/>
        </w:rPr>
        <w:t>Answerphone v. Bell Atlantic, Inc.</w:t>
      </w:r>
      <w:r>
        <w:t xml:space="preserve">, Docket No. </w:t>
      </w:r>
      <w:proofErr w:type="gramStart"/>
      <w:r>
        <w:t>C</w:t>
      </w:r>
      <w:r w:rsidR="00F27E86">
        <w:noBreakHyphen/>
      </w:r>
      <w:r>
        <w:t>00892636</w:t>
      </w:r>
      <w:r w:rsidR="001A7C7E">
        <w:t xml:space="preserve"> </w:t>
      </w:r>
      <w:r>
        <w:t>(Opinion entered April 1, 1993), Slip op. at 13-15.</w:t>
      </w:r>
      <w:proofErr w:type="gramEnd"/>
    </w:p>
    <w:p w:rsidR="00F102FC" w:rsidRDefault="00F102FC" w:rsidP="00F102FC">
      <w:pPr>
        <w:pStyle w:val="FootnoteText"/>
        <w:ind w:firstLine="720"/>
      </w:pPr>
    </w:p>
  </w:footnote>
  <w:footnote w:id="5">
    <w:p w:rsidR="00DD4819" w:rsidRPr="00DD4819" w:rsidRDefault="00DD4819" w:rsidP="00F102FC">
      <w:pPr>
        <w:spacing w:line="360" w:lineRule="auto"/>
        <w:ind w:firstLine="720"/>
        <w:rPr>
          <w:sz w:val="20"/>
          <w:szCs w:val="20"/>
        </w:rPr>
      </w:pPr>
      <w:r w:rsidRPr="00DD4819">
        <w:rPr>
          <w:rStyle w:val="FootnoteReference"/>
          <w:sz w:val="20"/>
          <w:szCs w:val="20"/>
        </w:rPr>
        <w:footnoteRef/>
      </w:r>
      <w:r w:rsidRPr="00DD4819">
        <w:rPr>
          <w:sz w:val="20"/>
          <w:szCs w:val="20"/>
        </w:rPr>
        <w:t xml:space="preserve"> </w:t>
      </w:r>
      <w:r w:rsidRPr="00DD4819">
        <w:rPr>
          <w:sz w:val="20"/>
          <w:szCs w:val="20"/>
        </w:rPr>
        <w:tab/>
        <w:t xml:space="preserve">See also </w:t>
      </w:r>
      <w:r w:rsidRPr="00DD4819">
        <w:rPr>
          <w:sz w:val="20"/>
          <w:szCs w:val="20"/>
          <w:u w:val="single"/>
        </w:rPr>
        <w:t>Feinberg v. Unemployment Compensation Board of Review</w:t>
      </w:r>
      <w:r w:rsidRPr="00DD4819">
        <w:rPr>
          <w:sz w:val="20"/>
          <w:szCs w:val="20"/>
        </w:rPr>
        <w:t>, 539 Pa. 670, 652 A. 2d 840 (1994).</w:t>
      </w:r>
    </w:p>
    <w:p w:rsidR="00DD4819" w:rsidRDefault="00DD4819" w:rsidP="00DD4819">
      <w:pPr>
        <w:pStyle w:val="FootnoteText"/>
        <w:ind w:firstLine="720"/>
      </w:pPr>
    </w:p>
  </w:footnote>
  <w:footnote w:id="6">
    <w:p w:rsidR="00207D0F" w:rsidRDefault="00207D0F" w:rsidP="00207D0F">
      <w:pPr>
        <w:pStyle w:val="FootnoteText"/>
        <w:ind w:firstLine="720"/>
      </w:pPr>
      <w:r>
        <w:rPr>
          <w:rStyle w:val="FootnoteReference"/>
        </w:rPr>
        <w:footnoteRef/>
      </w:r>
      <w:r>
        <w:t xml:space="preserve"> </w:t>
      </w:r>
      <w:r>
        <w:tab/>
        <w:t xml:space="preserve">See </w:t>
      </w:r>
      <w:r w:rsidRPr="004E7308">
        <w:t>66 Pa. C.S. §332(a).</w:t>
      </w:r>
    </w:p>
    <w:p w:rsidR="00207D0F" w:rsidRDefault="00207D0F" w:rsidP="00207D0F">
      <w:pPr>
        <w:pStyle w:val="FootnoteText"/>
        <w:ind w:firstLine="720"/>
      </w:pPr>
    </w:p>
  </w:footnote>
  <w:footnote w:id="7">
    <w:p w:rsidR="00207D0F" w:rsidRDefault="00207D0F" w:rsidP="00207D0F">
      <w:pPr>
        <w:pStyle w:val="FootnoteText"/>
        <w:ind w:firstLine="720"/>
      </w:pPr>
      <w:r>
        <w:rPr>
          <w:rStyle w:val="FootnoteReference"/>
        </w:rPr>
        <w:footnoteRef/>
      </w:r>
      <w:r>
        <w:t xml:space="preserve"> </w:t>
      </w:r>
      <w:r>
        <w:tab/>
        <w:t xml:space="preserve">See </w:t>
      </w:r>
      <w:r>
        <w:rPr>
          <w:u w:val="single"/>
        </w:rPr>
        <w:t xml:space="preserve">Norfolk </w:t>
      </w:r>
      <w:r w:rsidRPr="006E5FE7">
        <w:rPr>
          <w:u w:val="single"/>
        </w:rPr>
        <w:t>&amp; Western Ry. Company v. Pennsylvania Public Utility Commission</w:t>
      </w:r>
      <w:r w:rsidRPr="006E5FE7">
        <w:t xml:space="preserve">, 489 Pa. 109, 413 A.2d 1037 (1980); </w:t>
      </w:r>
      <w:r w:rsidRPr="006E5FE7">
        <w:rPr>
          <w:u w:val="single"/>
        </w:rPr>
        <w:t>Erie Resistor Corp. v. Unemployment Board of Review</w:t>
      </w:r>
      <w:r w:rsidRPr="006E5FE7">
        <w:t xml:space="preserve">, 194 Pa. Superior Ct. 278, 166 A.2d 96 (1961); </w:t>
      </w:r>
      <w:r w:rsidRPr="006E5FE7">
        <w:rPr>
          <w:u w:val="single"/>
        </w:rPr>
        <w:t>Murphy v. Department of Public Welfare</w:t>
      </w:r>
      <w:r w:rsidRPr="006E5FE7">
        <w:t>, 480 A.2d 382 (Pa. Cmwlth. 1984).</w:t>
      </w:r>
    </w:p>
    <w:p w:rsidR="00207D0F" w:rsidRDefault="00207D0F" w:rsidP="00207D0F">
      <w:pPr>
        <w:pStyle w:val="FootnoteText"/>
        <w:ind w:firstLine="720"/>
      </w:pPr>
    </w:p>
  </w:footnote>
  <w:footnote w:id="8">
    <w:p w:rsidR="00993F09" w:rsidRDefault="00993F09" w:rsidP="00993F09">
      <w:pPr>
        <w:pStyle w:val="FootnoteText"/>
        <w:ind w:firstLine="720"/>
      </w:pPr>
      <w:r>
        <w:rPr>
          <w:rStyle w:val="FootnoteReference"/>
        </w:rPr>
        <w:footnoteRef/>
      </w:r>
      <w:r>
        <w:t xml:space="preserve"> </w:t>
      </w:r>
      <w:r>
        <w:tab/>
      </w:r>
      <w:r>
        <w:rPr>
          <w:u w:val="single"/>
        </w:rPr>
        <w:t>Behrend v. Bell Telephone Co.</w:t>
      </w:r>
      <w:r>
        <w:t xml:space="preserve">, 242 Pa Superior Ct. 47, 363 A.2d 1152 (1976).  </w:t>
      </w:r>
    </w:p>
    <w:p w:rsidR="00993F09" w:rsidRDefault="00993F09" w:rsidP="00993F09">
      <w:pPr>
        <w:pStyle w:val="FootnoteText"/>
        <w:ind w:firstLine="720"/>
      </w:pPr>
    </w:p>
  </w:footnote>
  <w:footnote w:id="9">
    <w:p w:rsidR="00777DF8" w:rsidRDefault="00777DF8" w:rsidP="00777DF8">
      <w:pPr>
        <w:pStyle w:val="FootnoteText"/>
        <w:ind w:firstLine="720"/>
      </w:pPr>
      <w:r>
        <w:rPr>
          <w:rStyle w:val="FootnoteReference"/>
        </w:rPr>
        <w:footnoteRef/>
      </w:r>
      <w:r>
        <w:t xml:space="preserve"> </w:t>
      </w:r>
      <w:r>
        <w:tab/>
      </w:r>
      <w:r w:rsidRPr="0064100D">
        <w:t>See also</w:t>
      </w:r>
      <w:r>
        <w:rPr>
          <w:u w:val="single"/>
        </w:rPr>
        <w:t>,</w:t>
      </w:r>
      <w:r>
        <w:t xml:space="preserve"> </w:t>
      </w:r>
      <w:r>
        <w:rPr>
          <w:u w:val="single"/>
        </w:rPr>
        <w:t>Elkin v. Bell Telephone Company of Pennsylvania</w:t>
      </w:r>
      <w:r>
        <w:t xml:space="preserve">, 491 Pa. 123, 420 A.2d 371 (1980); </w:t>
      </w:r>
      <w:r>
        <w:rPr>
          <w:u w:val="single"/>
        </w:rPr>
        <w:t>Poorbaugh v. PA Public Utility Comm.,</w:t>
      </w:r>
      <w:r>
        <w:t xml:space="preserve"> </w:t>
      </w:r>
      <w:r w:rsidR="006F14E4">
        <w:t xml:space="preserve">666 A.2d 744 (Pa. </w:t>
      </w:r>
      <w:proofErr w:type="spellStart"/>
      <w:r w:rsidR="006F14E4">
        <w:t>Commw</w:t>
      </w:r>
      <w:proofErr w:type="spellEnd"/>
      <w:r w:rsidR="006F14E4">
        <w:t>. 1995)</w:t>
      </w:r>
      <w:r>
        <w:t xml:space="preserve">; </w:t>
      </w:r>
      <w:proofErr w:type="spellStart"/>
      <w:r>
        <w:rPr>
          <w:u w:val="single"/>
        </w:rPr>
        <w:t>DeFrancesco</w:t>
      </w:r>
      <w:proofErr w:type="spellEnd"/>
      <w:r>
        <w:rPr>
          <w:u w:val="single"/>
        </w:rPr>
        <w:t xml:space="preserve"> v. Western Pennsylvania Water Company</w:t>
      </w:r>
      <w:r>
        <w:t>, 499 Pa. 374, 453 A.2d 595 (1982).</w:t>
      </w:r>
    </w:p>
  </w:footnote>
  <w:footnote w:id="10">
    <w:p w:rsidR="00EC394E" w:rsidRDefault="00EC394E" w:rsidP="00EC394E">
      <w:pPr>
        <w:pStyle w:val="FootnoteText"/>
        <w:ind w:firstLine="720"/>
      </w:pPr>
    </w:p>
    <w:p w:rsidR="00EC394E" w:rsidRDefault="00EC394E" w:rsidP="00EC394E">
      <w:pPr>
        <w:pStyle w:val="FootnoteText"/>
        <w:ind w:firstLine="720"/>
      </w:pPr>
      <w:r>
        <w:rPr>
          <w:rStyle w:val="FootnoteReference"/>
        </w:rPr>
        <w:footnoteRef/>
      </w:r>
      <w:r>
        <w:t xml:space="preserve"> </w:t>
      </w:r>
      <w:r>
        <w:tab/>
      </w:r>
      <w:r w:rsidRPr="00995C00">
        <w:t xml:space="preserve">See </w:t>
      </w:r>
      <w:r w:rsidRPr="00995C00">
        <w:rPr>
          <w:u w:val="single"/>
        </w:rPr>
        <w:t xml:space="preserve">Pa. </w:t>
      </w:r>
      <w:r>
        <w:rPr>
          <w:u w:val="single"/>
        </w:rPr>
        <w:t>Public Utility Commission</w:t>
      </w:r>
      <w:r w:rsidRPr="00995C00">
        <w:rPr>
          <w:u w:val="single"/>
        </w:rPr>
        <w:t xml:space="preserve"> v. NCIC Operator Services</w:t>
      </w:r>
      <w:r w:rsidRPr="00995C00">
        <w:t>, M-00001440 (Order entered December 21, 2000)</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A5348E4"/>
    <w:multiLevelType w:val="hybridMultilevel"/>
    <w:tmpl w:val="CFE079B6"/>
    <w:lvl w:ilvl="0" w:tplc="B686DB1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BA25A21"/>
    <w:multiLevelType w:val="hybridMultilevel"/>
    <w:tmpl w:val="8D1CE72E"/>
    <w:lvl w:ilvl="0" w:tplc="96C0BC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2F42133"/>
    <w:multiLevelType w:val="hybridMultilevel"/>
    <w:tmpl w:val="157CADC4"/>
    <w:lvl w:ilvl="0" w:tplc="CFFED886">
      <w:start w:val="4"/>
      <w:numFmt w:val="decimal"/>
      <w:lvlText w:val="%1."/>
      <w:lvlJc w:val="left"/>
      <w:pPr>
        <w:tabs>
          <w:tab w:val="num" w:pos="2160"/>
        </w:tabs>
        <w:ind w:left="2160" w:hanging="720"/>
      </w:pPr>
      <w:rPr>
        <w:rFonts w:hint="default"/>
        <w:sz w:val="26"/>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34B67595"/>
    <w:multiLevelType w:val="hybridMultilevel"/>
    <w:tmpl w:val="13BED32A"/>
    <w:lvl w:ilvl="0" w:tplc="293E8D4C">
      <w:start w:val="1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35AF35B8"/>
    <w:multiLevelType w:val="hybridMultilevel"/>
    <w:tmpl w:val="FCFA96B8"/>
    <w:lvl w:ilvl="0" w:tplc="0C22F736">
      <w:start w:val="2"/>
      <w:numFmt w:val="decimal"/>
      <w:lvlText w:val="(%1)"/>
      <w:lvlJc w:val="left"/>
      <w:pPr>
        <w:tabs>
          <w:tab w:val="num" w:pos="1080"/>
        </w:tabs>
        <w:ind w:left="1080" w:hanging="360"/>
      </w:pPr>
      <w:rPr>
        <w:rFonts w:hint="default"/>
      </w:rPr>
    </w:lvl>
    <w:lvl w:ilvl="1" w:tplc="A6E41AB6">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79229C0"/>
    <w:multiLevelType w:val="hybridMultilevel"/>
    <w:tmpl w:val="6F7AFBCC"/>
    <w:lvl w:ilvl="0" w:tplc="FCCCD0B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7C1B6D"/>
    <w:multiLevelType w:val="hybridMultilevel"/>
    <w:tmpl w:val="A176C770"/>
    <w:lvl w:ilvl="0" w:tplc="B1DA77B2">
      <w:start w:val="1"/>
      <w:numFmt w:val="decimal"/>
      <w:lvlText w:val="(%1)"/>
      <w:lvlJc w:val="left"/>
      <w:pPr>
        <w:tabs>
          <w:tab w:val="num" w:pos="2160"/>
        </w:tabs>
        <w:ind w:left="2160" w:hanging="1440"/>
      </w:pPr>
      <w:rPr>
        <w:rFonts w:hint="default"/>
      </w:rPr>
    </w:lvl>
    <w:lvl w:ilvl="1" w:tplc="C4A6B3A4">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4C628AD"/>
    <w:multiLevelType w:val="hybridMultilevel"/>
    <w:tmpl w:val="C0B22116"/>
    <w:lvl w:ilvl="0" w:tplc="3078D98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7C7450D3"/>
    <w:multiLevelType w:val="hybridMultilevel"/>
    <w:tmpl w:val="C4F0C2D2"/>
    <w:lvl w:ilvl="0" w:tplc="69009B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8"/>
  </w:num>
  <w:num w:numId="5">
    <w:abstractNumId w:val="1"/>
  </w:num>
  <w:num w:numId="6">
    <w:abstractNumId w:val="4"/>
  </w:num>
  <w:num w:numId="7">
    <w:abstractNumId w:val="9"/>
  </w:num>
  <w:num w:numId="8">
    <w:abstractNumId w:val="2"/>
  </w:num>
  <w:num w:numId="9">
    <w:abstractNumId w:val="10"/>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BA"/>
    <w:rsid w:val="00002933"/>
    <w:rsid w:val="00005217"/>
    <w:rsid w:val="00014CD9"/>
    <w:rsid w:val="00015E77"/>
    <w:rsid w:val="000202E4"/>
    <w:rsid w:val="0002063D"/>
    <w:rsid w:val="00020B78"/>
    <w:rsid w:val="000218E1"/>
    <w:rsid w:val="00023CF5"/>
    <w:rsid w:val="0002562B"/>
    <w:rsid w:val="00032447"/>
    <w:rsid w:val="0003254A"/>
    <w:rsid w:val="0003345F"/>
    <w:rsid w:val="00034D3C"/>
    <w:rsid w:val="0003581E"/>
    <w:rsid w:val="00036E47"/>
    <w:rsid w:val="00036E7E"/>
    <w:rsid w:val="0003750C"/>
    <w:rsid w:val="0004246D"/>
    <w:rsid w:val="00042684"/>
    <w:rsid w:val="00044EFD"/>
    <w:rsid w:val="00047BB1"/>
    <w:rsid w:val="00047CF1"/>
    <w:rsid w:val="00050D6D"/>
    <w:rsid w:val="00051FFD"/>
    <w:rsid w:val="000522FF"/>
    <w:rsid w:val="000539E5"/>
    <w:rsid w:val="000566F5"/>
    <w:rsid w:val="0006370C"/>
    <w:rsid w:val="00064E1B"/>
    <w:rsid w:val="00065B67"/>
    <w:rsid w:val="00066099"/>
    <w:rsid w:val="00067DC6"/>
    <w:rsid w:val="00073A29"/>
    <w:rsid w:val="0008157D"/>
    <w:rsid w:val="00081933"/>
    <w:rsid w:val="00086D0E"/>
    <w:rsid w:val="000876AA"/>
    <w:rsid w:val="00091392"/>
    <w:rsid w:val="00091434"/>
    <w:rsid w:val="000919E3"/>
    <w:rsid w:val="00092268"/>
    <w:rsid w:val="00094316"/>
    <w:rsid w:val="00094EC4"/>
    <w:rsid w:val="00095A48"/>
    <w:rsid w:val="000A1696"/>
    <w:rsid w:val="000A46F6"/>
    <w:rsid w:val="000A5C85"/>
    <w:rsid w:val="000A7A7E"/>
    <w:rsid w:val="000A7B01"/>
    <w:rsid w:val="000A7DE2"/>
    <w:rsid w:val="000B0443"/>
    <w:rsid w:val="000B12EC"/>
    <w:rsid w:val="000B1450"/>
    <w:rsid w:val="000B2586"/>
    <w:rsid w:val="000B4044"/>
    <w:rsid w:val="000B46CB"/>
    <w:rsid w:val="000B575F"/>
    <w:rsid w:val="000B696E"/>
    <w:rsid w:val="000B7480"/>
    <w:rsid w:val="000C06ED"/>
    <w:rsid w:val="000C0C94"/>
    <w:rsid w:val="000C22D0"/>
    <w:rsid w:val="000C4FB0"/>
    <w:rsid w:val="000C6105"/>
    <w:rsid w:val="000C639E"/>
    <w:rsid w:val="000C6633"/>
    <w:rsid w:val="000C736C"/>
    <w:rsid w:val="000D1227"/>
    <w:rsid w:val="000D20FB"/>
    <w:rsid w:val="000D332F"/>
    <w:rsid w:val="000D4E83"/>
    <w:rsid w:val="000D5F05"/>
    <w:rsid w:val="000D74CE"/>
    <w:rsid w:val="000D7D68"/>
    <w:rsid w:val="000E0DDA"/>
    <w:rsid w:val="000E33AA"/>
    <w:rsid w:val="000E4C15"/>
    <w:rsid w:val="000E4D29"/>
    <w:rsid w:val="000E52DA"/>
    <w:rsid w:val="000E6AC8"/>
    <w:rsid w:val="000F0F3C"/>
    <w:rsid w:val="000F45A3"/>
    <w:rsid w:val="000F4D6B"/>
    <w:rsid w:val="000F746C"/>
    <w:rsid w:val="0010040A"/>
    <w:rsid w:val="00101320"/>
    <w:rsid w:val="00103215"/>
    <w:rsid w:val="00103B9D"/>
    <w:rsid w:val="0010437D"/>
    <w:rsid w:val="00104453"/>
    <w:rsid w:val="00105CDD"/>
    <w:rsid w:val="00106746"/>
    <w:rsid w:val="00106CCE"/>
    <w:rsid w:val="001130C8"/>
    <w:rsid w:val="001140BC"/>
    <w:rsid w:val="001161AA"/>
    <w:rsid w:val="0011669D"/>
    <w:rsid w:val="0011788E"/>
    <w:rsid w:val="0012141F"/>
    <w:rsid w:val="00121AE5"/>
    <w:rsid w:val="00123680"/>
    <w:rsid w:val="0012397B"/>
    <w:rsid w:val="00123B47"/>
    <w:rsid w:val="0012478B"/>
    <w:rsid w:val="00125933"/>
    <w:rsid w:val="00125CCD"/>
    <w:rsid w:val="00126827"/>
    <w:rsid w:val="00130536"/>
    <w:rsid w:val="00130E27"/>
    <w:rsid w:val="0013299A"/>
    <w:rsid w:val="001339E0"/>
    <w:rsid w:val="00133A47"/>
    <w:rsid w:val="00133B41"/>
    <w:rsid w:val="001354D6"/>
    <w:rsid w:val="00137307"/>
    <w:rsid w:val="001375AA"/>
    <w:rsid w:val="00141A74"/>
    <w:rsid w:val="00142A80"/>
    <w:rsid w:val="00143FA7"/>
    <w:rsid w:val="00144748"/>
    <w:rsid w:val="001513EC"/>
    <w:rsid w:val="00152853"/>
    <w:rsid w:val="00153358"/>
    <w:rsid w:val="00153E19"/>
    <w:rsid w:val="00156938"/>
    <w:rsid w:val="00156A90"/>
    <w:rsid w:val="001579F8"/>
    <w:rsid w:val="00161DD4"/>
    <w:rsid w:val="001651EC"/>
    <w:rsid w:val="00165400"/>
    <w:rsid w:val="0016541B"/>
    <w:rsid w:val="00166791"/>
    <w:rsid w:val="00166F22"/>
    <w:rsid w:val="00167534"/>
    <w:rsid w:val="00167CDD"/>
    <w:rsid w:val="00167F64"/>
    <w:rsid w:val="001802CA"/>
    <w:rsid w:val="0018210B"/>
    <w:rsid w:val="00182E52"/>
    <w:rsid w:val="00182EDA"/>
    <w:rsid w:val="00182F15"/>
    <w:rsid w:val="0018379D"/>
    <w:rsid w:val="00183ABD"/>
    <w:rsid w:val="00183AE1"/>
    <w:rsid w:val="00185EF9"/>
    <w:rsid w:val="00186A87"/>
    <w:rsid w:val="00192495"/>
    <w:rsid w:val="00195561"/>
    <w:rsid w:val="001961FE"/>
    <w:rsid w:val="00196E40"/>
    <w:rsid w:val="001A10B8"/>
    <w:rsid w:val="001A3D01"/>
    <w:rsid w:val="001A3F6B"/>
    <w:rsid w:val="001A52AB"/>
    <w:rsid w:val="001A7B2A"/>
    <w:rsid w:val="001A7C7E"/>
    <w:rsid w:val="001A7EB6"/>
    <w:rsid w:val="001B02AE"/>
    <w:rsid w:val="001B3B0D"/>
    <w:rsid w:val="001B436F"/>
    <w:rsid w:val="001C3008"/>
    <w:rsid w:val="001C4EBC"/>
    <w:rsid w:val="001C5AD4"/>
    <w:rsid w:val="001C5F76"/>
    <w:rsid w:val="001C69B3"/>
    <w:rsid w:val="001C75AE"/>
    <w:rsid w:val="001C77BD"/>
    <w:rsid w:val="001D0CEC"/>
    <w:rsid w:val="001D1DC6"/>
    <w:rsid w:val="001D5E87"/>
    <w:rsid w:val="001D67F3"/>
    <w:rsid w:val="001D6F49"/>
    <w:rsid w:val="001D7070"/>
    <w:rsid w:val="001D79FF"/>
    <w:rsid w:val="001E0B58"/>
    <w:rsid w:val="001E2C24"/>
    <w:rsid w:val="001E4CA0"/>
    <w:rsid w:val="001E6E72"/>
    <w:rsid w:val="001F030C"/>
    <w:rsid w:val="001F08FD"/>
    <w:rsid w:val="001F2DB0"/>
    <w:rsid w:val="001F41BB"/>
    <w:rsid w:val="001F44B8"/>
    <w:rsid w:val="001F4B49"/>
    <w:rsid w:val="001F501B"/>
    <w:rsid w:val="001F769F"/>
    <w:rsid w:val="00200ED0"/>
    <w:rsid w:val="00205CC7"/>
    <w:rsid w:val="00206B04"/>
    <w:rsid w:val="002075E6"/>
    <w:rsid w:val="00207D0F"/>
    <w:rsid w:val="00210334"/>
    <w:rsid w:val="00210460"/>
    <w:rsid w:val="00212D2D"/>
    <w:rsid w:val="00214A19"/>
    <w:rsid w:val="002154B5"/>
    <w:rsid w:val="00216A05"/>
    <w:rsid w:val="0022141F"/>
    <w:rsid w:val="00223A5B"/>
    <w:rsid w:val="00230C81"/>
    <w:rsid w:val="00231256"/>
    <w:rsid w:val="0023235E"/>
    <w:rsid w:val="0023324A"/>
    <w:rsid w:val="00236778"/>
    <w:rsid w:val="002379B2"/>
    <w:rsid w:val="0024228E"/>
    <w:rsid w:val="00244AD1"/>
    <w:rsid w:val="00244F10"/>
    <w:rsid w:val="00251BBF"/>
    <w:rsid w:val="002520A5"/>
    <w:rsid w:val="00254BFC"/>
    <w:rsid w:val="00254FD1"/>
    <w:rsid w:val="0025557F"/>
    <w:rsid w:val="00255813"/>
    <w:rsid w:val="002562E9"/>
    <w:rsid w:val="0026028F"/>
    <w:rsid w:val="002622F3"/>
    <w:rsid w:val="0026257D"/>
    <w:rsid w:val="00262F8F"/>
    <w:rsid w:val="00263EFE"/>
    <w:rsid w:val="00265108"/>
    <w:rsid w:val="0026526F"/>
    <w:rsid w:val="00271E72"/>
    <w:rsid w:val="00271FF1"/>
    <w:rsid w:val="00277379"/>
    <w:rsid w:val="00280380"/>
    <w:rsid w:val="00280AF0"/>
    <w:rsid w:val="00283A3F"/>
    <w:rsid w:val="00283E8A"/>
    <w:rsid w:val="002867AD"/>
    <w:rsid w:val="0029002C"/>
    <w:rsid w:val="002904BB"/>
    <w:rsid w:val="00291636"/>
    <w:rsid w:val="00291917"/>
    <w:rsid w:val="00295403"/>
    <w:rsid w:val="00296B64"/>
    <w:rsid w:val="002A788C"/>
    <w:rsid w:val="002A78AC"/>
    <w:rsid w:val="002B433A"/>
    <w:rsid w:val="002B4996"/>
    <w:rsid w:val="002B4DFA"/>
    <w:rsid w:val="002B7CC9"/>
    <w:rsid w:val="002C0DFA"/>
    <w:rsid w:val="002C703F"/>
    <w:rsid w:val="002C71EE"/>
    <w:rsid w:val="002C7AB0"/>
    <w:rsid w:val="002D154F"/>
    <w:rsid w:val="002D29E7"/>
    <w:rsid w:val="002D5376"/>
    <w:rsid w:val="002E2B6E"/>
    <w:rsid w:val="002E49A8"/>
    <w:rsid w:val="002E597B"/>
    <w:rsid w:val="002E5A74"/>
    <w:rsid w:val="002E6B15"/>
    <w:rsid w:val="002F490A"/>
    <w:rsid w:val="002F4F6F"/>
    <w:rsid w:val="002F6CA8"/>
    <w:rsid w:val="002F6DFB"/>
    <w:rsid w:val="00300BDC"/>
    <w:rsid w:val="00302C62"/>
    <w:rsid w:val="00302D41"/>
    <w:rsid w:val="003057F2"/>
    <w:rsid w:val="00307FF8"/>
    <w:rsid w:val="00311588"/>
    <w:rsid w:val="003121E7"/>
    <w:rsid w:val="00324C80"/>
    <w:rsid w:val="00325F31"/>
    <w:rsid w:val="00325F65"/>
    <w:rsid w:val="00326C73"/>
    <w:rsid w:val="00330B01"/>
    <w:rsid w:val="0033183D"/>
    <w:rsid w:val="00331FAB"/>
    <w:rsid w:val="003347C3"/>
    <w:rsid w:val="003360F0"/>
    <w:rsid w:val="00337340"/>
    <w:rsid w:val="0034231B"/>
    <w:rsid w:val="00342B49"/>
    <w:rsid w:val="00343D42"/>
    <w:rsid w:val="0034410D"/>
    <w:rsid w:val="0034692A"/>
    <w:rsid w:val="00346BE1"/>
    <w:rsid w:val="003603C7"/>
    <w:rsid w:val="00360ACF"/>
    <w:rsid w:val="00360EB9"/>
    <w:rsid w:val="003648F3"/>
    <w:rsid w:val="003649AC"/>
    <w:rsid w:val="0036655B"/>
    <w:rsid w:val="003678A1"/>
    <w:rsid w:val="00370128"/>
    <w:rsid w:val="00370B2D"/>
    <w:rsid w:val="00371933"/>
    <w:rsid w:val="003720EA"/>
    <w:rsid w:val="0037265D"/>
    <w:rsid w:val="00373245"/>
    <w:rsid w:val="00373AC6"/>
    <w:rsid w:val="0037694C"/>
    <w:rsid w:val="003776D7"/>
    <w:rsid w:val="00380103"/>
    <w:rsid w:val="00380F4B"/>
    <w:rsid w:val="00382CE0"/>
    <w:rsid w:val="00382EDB"/>
    <w:rsid w:val="003847B4"/>
    <w:rsid w:val="00386C1C"/>
    <w:rsid w:val="00387E50"/>
    <w:rsid w:val="003908EE"/>
    <w:rsid w:val="00391096"/>
    <w:rsid w:val="00394A82"/>
    <w:rsid w:val="00394B1F"/>
    <w:rsid w:val="00396034"/>
    <w:rsid w:val="003A0D6B"/>
    <w:rsid w:val="003A3C6A"/>
    <w:rsid w:val="003A4D69"/>
    <w:rsid w:val="003A551E"/>
    <w:rsid w:val="003A55A7"/>
    <w:rsid w:val="003B40DA"/>
    <w:rsid w:val="003B7783"/>
    <w:rsid w:val="003C13E7"/>
    <w:rsid w:val="003C181D"/>
    <w:rsid w:val="003C417D"/>
    <w:rsid w:val="003C7776"/>
    <w:rsid w:val="003D374F"/>
    <w:rsid w:val="003D3E20"/>
    <w:rsid w:val="003D500A"/>
    <w:rsid w:val="003D514F"/>
    <w:rsid w:val="003D5173"/>
    <w:rsid w:val="003D54E7"/>
    <w:rsid w:val="003D67D8"/>
    <w:rsid w:val="003E20E4"/>
    <w:rsid w:val="003E2340"/>
    <w:rsid w:val="003E2BB0"/>
    <w:rsid w:val="003E2D32"/>
    <w:rsid w:val="003E4EFE"/>
    <w:rsid w:val="003E60E7"/>
    <w:rsid w:val="003E7DF8"/>
    <w:rsid w:val="003F1BBA"/>
    <w:rsid w:val="003F1BC1"/>
    <w:rsid w:val="003F36D7"/>
    <w:rsid w:val="003F3929"/>
    <w:rsid w:val="003F5065"/>
    <w:rsid w:val="003F56DB"/>
    <w:rsid w:val="003F66F1"/>
    <w:rsid w:val="003F6E27"/>
    <w:rsid w:val="003F7449"/>
    <w:rsid w:val="0040125C"/>
    <w:rsid w:val="00401325"/>
    <w:rsid w:val="00405D70"/>
    <w:rsid w:val="00412693"/>
    <w:rsid w:val="0041637D"/>
    <w:rsid w:val="00417B5E"/>
    <w:rsid w:val="004201C6"/>
    <w:rsid w:val="00421585"/>
    <w:rsid w:val="004219BD"/>
    <w:rsid w:val="00422D05"/>
    <w:rsid w:val="00424046"/>
    <w:rsid w:val="004247B1"/>
    <w:rsid w:val="00424E02"/>
    <w:rsid w:val="00424E72"/>
    <w:rsid w:val="004267EE"/>
    <w:rsid w:val="00430437"/>
    <w:rsid w:val="004306FB"/>
    <w:rsid w:val="00431FA9"/>
    <w:rsid w:val="004322BD"/>
    <w:rsid w:val="00434915"/>
    <w:rsid w:val="00434A59"/>
    <w:rsid w:val="00435E38"/>
    <w:rsid w:val="004365C8"/>
    <w:rsid w:val="00436F72"/>
    <w:rsid w:val="00440B6B"/>
    <w:rsid w:val="00445205"/>
    <w:rsid w:val="004455C4"/>
    <w:rsid w:val="00447E82"/>
    <w:rsid w:val="00450987"/>
    <w:rsid w:val="00452827"/>
    <w:rsid w:val="004536D5"/>
    <w:rsid w:val="004624EF"/>
    <w:rsid w:val="00462770"/>
    <w:rsid w:val="0046290B"/>
    <w:rsid w:val="004635FD"/>
    <w:rsid w:val="00465667"/>
    <w:rsid w:val="00465878"/>
    <w:rsid w:val="0046652F"/>
    <w:rsid w:val="0046716A"/>
    <w:rsid w:val="00467327"/>
    <w:rsid w:val="00470AFC"/>
    <w:rsid w:val="00471A85"/>
    <w:rsid w:val="0047283C"/>
    <w:rsid w:val="00474C53"/>
    <w:rsid w:val="00476080"/>
    <w:rsid w:val="00483A4C"/>
    <w:rsid w:val="004851CD"/>
    <w:rsid w:val="00487AE0"/>
    <w:rsid w:val="004970DA"/>
    <w:rsid w:val="00497A4D"/>
    <w:rsid w:val="00497F61"/>
    <w:rsid w:val="004A1C3C"/>
    <w:rsid w:val="004A26B6"/>
    <w:rsid w:val="004A3176"/>
    <w:rsid w:val="004A6673"/>
    <w:rsid w:val="004B2C3D"/>
    <w:rsid w:val="004B34C6"/>
    <w:rsid w:val="004B422F"/>
    <w:rsid w:val="004B4B53"/>
    <w:rsid w:val="004B4C8B"/>
    <w:rsid w:val="004B6FAD"/>
    <w:rsid w:val="004C0146"/>
    <w:rsid w:val="004C2B63"/>
    <w:rsid w:val="004C5FA9"/>
    <w:rsid w:val="004C6202"/>
    <w:rsid w:val="004D15A9"/>
    <w:rsid w:val="004D3A14"/>
    <w:rsid w:val="004D454A"/>
    <w:rsid w:val="004D6DDC"/>
    <w:rsid w:val="004D75D5"/>
    <w:rsid w:val="004D7E2F"/>
    <w:rsid w:val="004E01BD"/>
    <w:rsid w:val="004E0BE2"/>
    <w:rsid w:val="004E1577"/>
    <w:rsid w:val="004E286E"/>
    <w:rsid w:val="004E3B20"/>
    <w:rsid w:val="004E3E03"/>
    <w:rsid w:val="004E4252"/>
    <w:rsid w:val="004E605F"/>
    <w:rsid w:val="004F40E1"/>
    <w:rsid w:val="004F42F8"/>
    <w:rsid w:val="004F63C9"/>
    <w:rsid w:val="005006CD"/>
    <w:rsid w:val="0050181E"/>
    <w:rsid w:val="00502E11"/>
    <w:rsid w:val="0050497A"/>
    <w:rsid w:val="00504A1A"/>
    <w:rsid w:val="00507E5B"/>
    <w:rsid w:val="00507ECF"/>
    <w:rsid w:val="00510646"/>
    <w:rsid w:val="00517217"/>
    <w:rsid w:val="005222FA"/>
    <w:rsid w:val="00522985"/>
    <w:rsid w:val="00524387"/>
    <w:rsid w:val="005243F8"/>
    <w:rsid w:val="00525A2A"/>
    <w:rsid w:val="00526435"/>
    <w:rsid w:val="005267BB"/>
    <w:rsid w:val="005317C7"/>
    <w:rsid w:val="005326CD"/>
    <w:rsid w:val="00532876"/>
    <w:rsid w:val="00532900"/>
    <w:rsid w:val="0053390E"/>
    <w:rsid w:val="0053772F"/>
    <w:rsid w:val="00540E3A"/>
    <w:rsid w:val="00541F79"/>
    <w:rsid w:val="00542BC1"/>
    <w:rsid w:val="00543B7C"/>
    <w:rsid w:val="00543F98"/>
    <w:rsid w:val="005447FE"/>
    <w:rsid w:val="00544F7E"/>
    <w:rsid w:val="00545043"/>
    <w:rsid w:val="005451B0"/>
    <w:rsid w:val="00547948"/>
    <w:rsid w:val="00552C73"/>
    <w:rsid w:val="005533A5"/>
    <w:rsid w:val="00553E91"/>
    <w:rsid w:val="00555724"/>
    <w:rsid w:val="00557326"/>
    <w:rsid w:val="00563142"/>
    <w:rsid w:val="005637DF"/>
    <w:rsid w:val="00563FC3"/>
    <w:rsid w:val="005641C8"/>
    <w:rsid w:val="0057047B"/>
    <w:rsid w:val="00574344"/>
    <w:rsid w:val="005763CB"/>
    <w:rsid w:val="00577567"/>
    <w:rsid w:val="00580981"/>
    <w:rsid w:val="00580D5E"/>
    <w:rsid w:val="0058201B"/>
    <w:rsid w:val="005900D4"/>
    <w:rsid w:val="0059029B"/>
    <w:rsid w:val="00590669"/>
    <w:rsid w:val="00590E0C"/>
    <w:rsid w:val="00591B22"/>
    <w:rsid w:val="00592A87"/>
    <w:rsid w:val="00593A02"/>
    <w:rsid w:val="0059631D"/>
    <w:rsid w:val="00597B28"/>
    <w:rsid w:val="005A3E08"/>
    <w:rsid w:val="005A49D6"/>
    <w:rsid w:val="005A6C63"/>
    <w:rsid w:val="005A77D0"/>
    <w:rsid w:val="005B0283"/>
    <w:rsid w:val="005B1AF7"/>
    <w:rsid w:val="005B47D9"/>
    <w:rsid w:val="005B64BD"/>
    <w:rsid w:val="005C146E"/>
    <w:rsid w:val="005C1BB9"/>
    <w:rsid w:val="005C3225"/>
    <w:rsid w:val="005C32F7"/>
    <w:rsid w:val="005C715B"/>
    <w:rsid w:val="005D03F4"/>
    <w:rsid w:val="005D376C"/>
    <w:rsid w:val="005D4345"/>
    <w:rsid w:val="005D673D"/>
    <w:rsid w:val="005D71F9"/>
    <w:rsid w:val="005D7228"/>
    <w:rsid w:val="005E1CC5"/>
    <w:rsid w:val="005E636D"/>
    <w:rsid w:val="005E6DB5"/>
    <w:rsid w:val="005F0F52"/>
    <w:rsid w:val="005F69FE"/>
    <w:rsid w:val="00600EE9"/>
    <w:rsid w:val="00602A48"/>
    <w:rsid w:val="0060359F"/>
    <w:rsid w:val="006056E2"/>
    <w:rsid w:val="006062CB"/>
    <w:rsid w:val="00613082"/>
    <w:rsid w:val="00613AE9"/>
    <w:rsid w:val="00616E73"/>
    <w:rsid w:val="00616FE9"/>
    <w:rsid w:val="00617C29"/>
    <w:rsid w:val="006220FF"/>
    <w:rsid w:val="00624D89"/>
    <w:rsid w:val="0062694F"/>
    <w:rsid w:val="00633976"/>
    <w:rsid w:val="00633E89"/>
    <w:rsid w:val="0063487E"/>
    <w:rsid w:val="00634FE8"/>
    <w:rsid w:val="006352CA"/>
    <w:rsid w:val="00636266"/>
    <w:rsid w:val="006404F9"/>
    <w:rsid w:val="0064100D"/>
    <w:rsid w:val="00641049"/>
    <w:rsid w:val="00641052"/>
    <w:rsid w:val="00642EE9"/>
    <w:rsid w:val="00645FE8"/>
    <w:rsid w:val="006515DB"/>
    <w:rsid w:val="00651AB0"/>
    <w:rsid w:val="00653830"/>
    <w:rsid w:val="00653FDE"/>
    <w:rsid w:val="006552C8"/>
    <w:rsid w:val="00656D84"/>
    <w:rsid w:val="00664032"/>
    <w:rsid w:val="00664A51"/>
    <w:rsid w:val="006663CA"/>
    <w:rsid w:val="0066791C"/>
    <w:rsid w:val="00674B93"/>
    <w:rsid w:val="006771E3"/>
    <w:rsid w:val="006772A2"/>
    <w:rsid w:val="00682B76"/>
    <w:rsid w:val="00685256"/>
    <w:rsid w:val="006869B5"/>
    <w:rsid w:val="00691778"/>
    <w:rsid w:val="00691FDA"/>
    <w:rsid w:val="00692E3E"/>
    <w:rsid w:val="00694153"/>
    <w:rsid w:val="006954BC"/>
    <w:rsid w:val="006A0714"/>
    <w:rsid w:val="006A3061"/>
    <w:rsid w:val="006A5A34"/>
    <w:rsid w:val="006B0612"/>
    <w:rsid w:val="006B160D"/>
    <w:rsid w:val="006B25F1"/>
    <w:rsid w:val="006B2DFE"/>
    <w:rsid w:val="006B3C06"/>
    <w:rsid w:val="006B4F02"/>
    <w:rsid w:val="006B50E8"/>
    <w:rsid w:val="006B629F"/>
    <w:rsid w:val="006B7DE7"/>
    <w:rsid w:val="006C086D"/>
    <w:rsid w:val="006C13BF"/>
    <w:rsid w:val="006C24C1"/>
    <w:rsid w:val="006C7D49"/>
    <w:rsid w:val="006D2CFC"/>
    <w:rsid w:val="006D2E25"/>
    <w:rsid w:val="006D2F3E"/>
    <w:rsid w:val="006D3697"/>
    <w:rsid w:val="006D38B1"/>
    <w:rsid w:val="006D68C8"/>
    <w:rsid w:val="006E05AE"/>
    <w:rsid w:val="006E094A"/>
    <w:rsid w:val="006E0E78"/>
    <w:rsid w:val="006E12A1"/>
    <w:rsid w:val="006E175B"/>
    <w:rsid w:val="006E5341"/>
    <w:rsid w:val="006E59A8"/>
    <w:rsid w:val="006E5FE7"/>
    <w:rsid w:val="006F14E4"/>
    <w:rsid w:val="006F2B28"/>
    <w:rsid w:val="006F2B77"/>
    <w:rsid w:val="006F44D4"/>
    <w:rsid w:val="006F55AC"/>
    <w:rsid w:val="006F5FE7"/>
    <w:rsid w:val="006F60DA"/>
    <w:rsid w:val="006F6154"/>
    <w:rsid w:val="006F6520"/>
    <w:rsid w:val="006F6FB4"/>
    <w:rsid w:val="006F72EE"/>
    <w:rsid w:val="006F7393"/>
    <w:rsid w:val="00700704"/>
    <w:rsid w:val="00700DAC"/>
    <w:rsid w:val="00700E85"/>
    <w:rsid w:val="00710B17"/>
    <w:rsid w:val="00710CE3"/>
    <w:rsid w:val="0071171E"/>
    <w:rsid w:val="007121EF"/>
    <w:rsid w:val="0071351A"/>
    <w:rsid w:val="00715712"/>
    <w:rsid w:val="0071586C"/>
    <w:rsid w:val="007172D2"/>
    <w:rsid w:val="007177FF"/>
    <w:rsid w:val="00720288"/>
    <w:rsid w:val="00723E29"/>
    <w:rsid w:val="00724325"/>
    <w:rsid w:val="007272A7"/>
    <w:rsid w:val="00727C6E"/>
    <w:rsid w:val="00732CDD"/>
    <w:rsid w:val="00734AEF"/>
    <w:rsid w:val="00734BAB"/>
    <w:rsid w:val="00736DBA"/>
    <w:rsid w:val="0073725A"/>
    <w:rsid w:val="007402C5"/>
    <w:rsid w:val="00740BC6"/>
    <w:rsid w:val="00741D6F"/>
    <w:rsid w:val="00744725"/>
    <w:rsid w:val="0074730A"/>
    <w:rsid w:val="00747D0A"/>
    <w:rsid w:val="007516D0"/>
    <w:rsid w:val="00751CE0"/>
    <w:rsid w:val="00752EAE"/>
    <w:rsid w:val="00753A3F"/>
    <w:rsid w:val="00754EEB"/>
    <w:rsid w:val="00754FD3"/>
    <w:rsid w:val="00757A01"/>
    <w:rsid w:val="00761A05"/>
    <w:rsid w:val="00762EB0"/>
    <w:rsid w:val="00764246"/>
    <w:rsid w:val="007651B5"/>
    <w:rsid w:val="00766B36"/>
    <w:rsid w:val="00766D86"/>
    <w:rsid w:val="0077037F"/>
    <w:rsid w:val="00771D6E"/>
    <w:rsid w:val="00772165"/>
    <w:rsid w:val="00772949"/>
    <w:rsid w:val="00772CFC"/>
    <w:rsid w:val="007751FB"/>
    <w:rsid w:val="007767D5"/>
    <w:rsid w:val="00776CD8"/>
    <w:rsid w:val="00777957"/>
    <w:rsid w:val="00777DF8"/>
    <w:rsid w:val="0078110D"/>
    <w:rsid w:val="00783095"/>
    <w:rsid w:val="0078373B"/>
    <w:rsid w:val="00784F1D"/>
    <w:rsid w:val="00785AF3"/>
    <w:rsid w:val="00786EC3"/>
    <w:rsid w:val="007905C9"/>
    <w:rsid w:val="0079328F"/>
    <w:rsid w:val="007939B6"/>
    <w:rsid w:val="00794F1B"/>
    <w:rsid w:val="007952E7"/>
    <w:rsid w:val="007959EC"/>
    <w:rsid w:val="007A32D3"/>
    <w:rsid w:val="007A35F8"/>
    <w:rsid w:val="007A40D1"/>
    <w:rsid w:val="007A547D"/>
    <w:rsid w:val="007A5552"/>
    <w:rsid w:val="007A6CA0"/>
    <w:rsid w:val="007B2325"/>
    <w:rsid w:val="007B3113"/>
    <w:rsid w:val="007B4DE2"/>
    <w:rsid w:val="007B6775"/>
    <w:rsid w:val="007C1F39"/>
    <w:rsid w:val="007C404E"/>
    <w:rsid w:val="007D2958"/>
    <w:rsid w:val="007D2DA0"/>
    <w:rsid w:val="007D4A31"/>
    <w:rsid w:val="007D79D2"/>
    <w:rsid w:val="007D7F7F"/>
    <w:rsid w:val="007E5847"/>
    <w:rsid w:val="007E5EA0"/>
    <w:rsid w:val="007E78C1"/>
    <w:rsid w:val="007E797B"/>
    <w:rsid w:val="007E7B4E"/>
    <w:rsid w:val="007F02A4"/>
    <w:rsid w:val="007F479E"/>
    <w:rsid w:val="007F4E21"/>
    <w:rsid w:val="0080053D"/>
    <w:rsid w:val="00801B41"/>
    <w:rsid w:val="008037BB"/>
    <w:rsid w:val="00805B97"/>
    <w:rsid w:val="00806E0D"/>
    <w:rsid w:val="0081667D"/>
    <w:rsid w:val="00816D2C"/>
    <w:rsid w:val="00817DF9"/>
    <w:rsid w:val="0082129E"/>
    <w:rsid w:val="00821749"/>
    <w:rsid w:val="0082186F"/>
    <w:rsid w:val="00821BDB"/>
    <w:rsid w:val="00821F6F"/>
    <w:rsid w:val="00823FCA"/>
    <w:rsid w:val="00824890"/>
    <w:rsid w:val="00825D6C"/>
    <w:rsid w:val="00826CBC"/>
    <w:rsid w:val="00826FCA"/>
    <w:rsid w:val="00834060"/>
    <w:rsid w:val="0083502A"/>
    <w:rsid w:val="00836070"/>
    <w:rsid w:val="00840B18"/>
    <w:rsid w:val="008418FC"/>
    <w:rsid w:val="008433E3"/>
    <w:rsid w:val="0084410C"/>
    <w:rsid w:val="00846949"/>
    <w:rsid w:val="00846FA1"/>
    <w:rsid w:val="008502CE"/>
    <w:rsid w:val="0085780E"/>
    <w:rsid w:val="00861625"/>
    <w:rsid w:val="008618BE"/>
    <w:rsid w:val="00861DA4"/>
    <w:rsid w:val="00861DF9"/>
    <w:rsid w:val="00862D6B"/>
    <w:rsid w:val="00863CD4"/>
    <w:rsid w:val="00864C6E"/>
    <w:rsid w:val="00864EB7"/>
    <w:rsid w:val="0086657E"/>
    <w:rsid w:val="00867F55"/>
    <w:rsid w:val="00873D8A"/>
    <w:rsid w:val="00885088"/>
    <w:rsid w:val="008853DF"/>
    <w:rsid w:val="00891035"/>
    <w:rsid w:val="008918D9"/>
    <w:rsid w:val="008927B5"/>
    <w:rsid w:val="00892EA3"/>
    <w:rsid w:val="00897203"/>
    <w:rsid w:val="008A150E"/>
    <w:rsid w:val="008A28F8"/>
    <w:rsid w:val="008A3A67"/>
    <w:rsid w:val="008A5950"/>
    <w:rsid w:val="008A63E2"/>
    <w:rsid w:val="008A65D3"/>
    <w:rsid w:val="008B11CF"/>
    <w:rsid w:val="008B1225"/>
    <w:rsid w:val="008B2613"/>
    <w:rsid w:val="008B3142"/>
    <w:rsid w:val="008B361F"/>
    <w:rsid w:val="008B445B"/>
    <w:rsid w:val="008B58B2"/>
    <w:rsid w:val="008B6587"/>
    <w:rsid w:val="008B66A0"/>
    <w:rsid w:val="008B677C"/>
    <w:rsid w:val="008C17E6"/>
    <w:rsid w:val="008C36F2"/>
    <w:rsid w:val="008C64EB"/>
    <w:rsid w:val="008D0326"/>
    <w:rsid w:val="008D0816"/>
    <w:rsid w:val="008D0D31"/>
    <w:rsid w:val="008D6CA9"/>
    <w:rsid w:val="008D6E2C"/>
    <w:rsid w:val="008D7DC6"/>
    <w:rsid w:val="008E09C6"/>
    <w:rsid w:val="008E0E89"/>
    <w:rsid w:val="008E4FD6"/>
    <w:rsid w:val="008E5C99"/>
    <w:rsid w:val="008E6052"/>
    <w:rsid w:val="008E78BA"/>
    <w:rsid w:val="008F0933"/>
    <w:rsid w:val="008F4EF2"/>
    <w:rsid w:val="008F54D4"/>
    <w:rsid w:val="008F7C99"/>
    <w:rsid w:val="009001C9"/>
    <w:rsid w:val="00900C35"/>
    <w:rsid w:val="00906FD4"/>
    <w:rsid w:val="009101FF"/>
    <w:rsid w:val="00910A53"/>
    <w:rsid w:val="00914774"/>
    <w:rsid w:val="00917283"/>
    <w:rsid w:val="0092068A"/>
    <w:rsid w:val="00921285"/>
    <w:rsid w:val="00921CAC"/>
    <w:rsid w:val="0092359B"/>
    <w:rsid w:val="009239E5"/>
    <w:rsid w:val="009252B2"/>
    <w:rsid w:val="009268A6"/>
    <w:rsid w:val="00927240"/>
    <w:rsid w:val="009310EE"/>
    <w:rsid w:val="00933485"/>
    <w:rsid w:val="0094142D"/>
    <w:rsid w:val="00941C92"/>
    <w:rsid w:val="00943CC8"/>
    <w:rsid w:val="00943E53"/>
    <w:rsid w:val="009445CA"/>
    <w:rsid w:val="00962B8B"/>
    <w:rsid w:val="00962EE7"/>
    <w:rsid w:val="00966C36"/>
    <w:rsid w:val="00970027"/>
    <w:rsid w:val="00970B33"/>
    <w:rsid w:val="009726F3"/>
    <w:rsid w:val="009737DF"/>
    <w:rsid w:val="00974D2B"/>
    <w:rsid w:val="00975F45"/>
    <w:rsid w:val="009760CB"/>
    <w:rsid w:val="00976251"/>
    <w:rsid w:val="00976702"/>
    <w:rsid w:val="00977A76"/>
    <w:rsid w:val="009848F7"/>
    <w:rsid w:val="009863CF"/>
    <w:rsid w:val="009865BC"/>
    <w:rsid w:val="00993F09"/>
    <w:rsid w:val="0099770A"/>
    <w:rsid w:val="00997723"/>
    <w:rsid w:val="009A2999"/>
    <w:rsid w:val="009A5AF8"/>
    <w:rsid w:val="009A5F12"/>
    <w:rsid w:val="009B446B"/>
    <w:rsid w:val="009B4685"/>
    <w:rsid w:val="009B7062"/>
    <w:rsid w:val="009C01A4"/>
    <w:rsid w:val="009C05E9"/>
    <w:rsid w:val="009C27D2"/>
    <w:rsid w:val="009C2CAB"/>
    <w:rsid w:val="009C3132"/>
    <w:rsid w:val="009C4526"/>
    <w:rsid w:val="009D11CA"/>
    <w:rsid w:val="009D227B"/>
    <w:rsid w:val="009D2B65"/>
    <w:rsid w:val="009D2B67"/>
    <w:rsid w:val="009D47A5"/>
    <w:rsid w:val="009D6117"/>
    <w:rsid w:val="009D69B6"/>
    <w:rsid w:val="009D76EB"/>
    <w:rsid w:val="009E1F99"/>
    <w:rsid w:val="009E6876"/>
    <w:rsid w:val="009F0D6C"/>
    <w:rsid w:val="009F19AE"/>
    <w:rsid w:val="009F38D7"/>
    <w:rsid w:val="009F4B84"/>
    <w:rsid w:val="009F6130"/>
    <w:rsid w:val="00A00793"/>
    <w:rsid w:val="00A03847"/>
    <w:rsid w:val="00A04076"/>
    <w:rsid w:val="00A10010"/>
    <w:rsid w:val="00A10E1F"/>
    <w:rsid w:val="00A112F1"/>
    <w:rsid w:val="00A15866"/>
    <w:rsid w:val="00A16D50"/>
    <w:rsid w:val="00A23CCA"/>
    <w:rsid w:val="00A24849"/>
    <w:rsid w:val="00A248FB"/>
    <w:rsid w:val="00A25147"/>
    <w:rsid w:val="00A26764"/>
    <w:rsid w:val="00A31C3A"/>
    <w:rsid w:val="00A334E4"/>
    <w:rsid w:val="00A33DF5"/>
    <w:rsid w:val="00A3579E"/>
    <w:rsid w:val="00A36132"/>
    <w:rsid w:val="00A37802"/>
    <w:rsid w:val="00A40462"/>
    <w:rsid w:val="00A4095C"/>
    <w:rsid w:val="00A4355E"/>
    <w:rsid w:val="00A469B4"/>
    <w:rsid w:val="00A46AA1"/>
    <w:rsid w:val="00A511AD"/>
    <w:rsid w:val="00A52673"/>
    <w:rsid w:val="00A53CE2"/>
    <w:rsid w:val="00A55B86"/>
    <w:rsid w:val="00A55F7C"/>
    <w:rsid w:val="00A56C4D"/>
    <w:rsid w:val="00A64429"/>
    <w:rsid w:val="00A656AE"/>
    <w:rsid w:val="00A66253"/>
    <w:rsid w:val="00A70B89"/>
    <w:rsid w:val="00A70C75"/>
    <w:rsid w:val="00A72226"/>
    <w:rsid w:val="00A733A2"/>
    <w:rsid w:val="00A73F72"/>
    <w:rsid w:val="00A75D98"/>
    <w:rsid w:val="00A773D7"/>
    <w:rsid w:val="00A779F8"/>
    <w:rsid w:val="00A801E7"/>
    <w:rsid w:val="00A80D6E"/>
    <w:rsid w:val="00A80E4E"/>
    <w:rsid w:val="00A831C5"/>
    <w:rsid w:val="00A83CBE"/>
    <w:rsid w:val="00A848BA"/>
    <w:rsid w:val="00A85958"/>
    <w:rsid w:val="00A8629A"/>
    <w:rsid w:val="00A86E3D"/>
    <w:rsid w:val="00A90945"/>
    <w:rsid w:val="00A914E9"/>
    <w:rsid w:val="00A93EC0"/>
    <w:rsid w:val="00A94A48"/>
    <w:rsid w:val="00A96702"/>
    <w:rsid w:val="00AA140D"/>
    <w:rsid w:val="00AA1929"/>
    <w:rsid w:val="00AA26D2"/>
    <w:rsid w:val="00AA30C4"/>
    <w:rsid w:val="00AA4167"/>
    <w:rsid w:val="00AA484C"/>
    <w:rsid w:val="00AA6F36"/>
    <w:rsid w:val="00AA70E2"/>
    <w:rsid w:val="00AB0EB4"/>
    <w:rsid w:val="00AB30CF"/>
    <w:rsid w:val="00AB371B"/>
    <w:rsid w:val="00AB40A9"/>
    <w:rsid w:val="00AC1113"/>
    <w:rsid w:val="00AC1F4C"/>
    <w:rsid w:val="00AC2F0F"/>
    <w:rsid w:val="00AC40E3"/>
    <w:rsid w:val="00AC51A1"/>
    <w:rsid w:val="00AC6067"/>
    <w:rsid w:val="00AC6745"/>
    <w:rsid w:val="00AD08FD"/>
    <w:rsid w:val="00AD253F"/>
    <w:rsid w:val="00AD4AB8"/>
    <w:rsid w:val="00AD75C9"/>
    <w:rsid w:val="00AD7DF2"/>
    <w:rsid w:val="00AE242E"/>
    <w:rsid w:val="00AE290D"/>
    <w:rsid w:val="00AE3923"/>
    <w:rsid w:val="00AF192E"/>
    <w:rsid w:val="00AF4238"/>
    <w:rsid w:val="00AF5FC0"/>
    <w:rsid w:val="00AF63EA"/>
    <w:rsid w:val="00AF6A7C"/>
    <w:rsid w:val="00AF767F"/>
    <w:rsid w:val="00B00C4E"/>
    <w:rsid w:val="00B03D80"/>
    <w:rsid w:val="00B069D7"/>
    <w:rsid w:val="00B06D86"/>
    <w:rsid w:val="00B16875"/>
    <w:rsid w:val="00B20A2B"/>
    <w:rsid w:val="00B219F2"/>
    <w:rsid w:val="00B21CB5"/>
    <w:rsid w:val="00B23445"/>
    <w:rsid w:val="00B268CD"/>
    <w:rsid w:val="00B27242"/>
    <w:rsid w:val="00B27B20"/>
    <w:rsid w:val="00B317B3"/>
    <w:rsid w:val="00B31A0D"/>
    <w:rsid w:val="00B36351"/>
    <w:rsid w:val="00B36B16"/>
    <w:rsid w:val="00B37F62"/>
    <w:rsid w:val="00B406E2"/>
    <w:rsid w:val="00B41D82"/>
    <w:rsid w:val="00B4205A"/>
    <w:rsid w:val="00B428F4"/>
    <w:rsid w:val="00B43D2D"/>
    <w:rsid w:val="00B43D51"/>
    <w:rsid w:val="00B45022"/>
    <w:rsid w:val="00B46636"/>
    <w:rsid w:val="00B46DE5"/>
    <w:rsid w:val="00B50814"/>
    <w:rsid w:val="00B5162C"/>
    <w:rsid w:val="00B51C0E"/>
    <w:rsid w:val="00B54BD2"/>
    <w:rsid w:val="00B55C84"/>
    <w:rsid w:val="00B57081"/>
    <w:rsid w:val="00B57B60"/>
    <w:rsid w:val="00B609E7"/>
    <w:rsid w:val="00B60EB4"/>
    <w:rsid w:val="00B613EB"/>
    <w:rsid w:val="00B61643"/>
    <w:rsid w:val="00B62A84"/>
    <w:rsid w:val="00B65D37"/>
    <w:rsid w:val="00B66DDD"/>
    <w:rsid w:val="00B67B97"/>
    <w:rsid w:val="00B7377B"/>
    <w:rsid w:val="00B81FED"/>
    <w:rsid w:val="00B845F6"/>
    <w:rsid w:val="00B90DA8"/>
    <w:rsid w:val="00B93A4F"/>
    <w:rsid w:val="00B94A3E"/>
    <w:rsid w:val="00B94FFF"/>
    <w:rsid w:val="00B97985"/>
    <w:rsid w:val="00BA3DE1"/>
    <w:rsid w:val="00BA45E7"/>
    <w:rsid w:val="00BA4C2A"/>
    <w:rsid w:val="00BA5695"/>
    <w:rsid w:val="00BB036D"/>
    <w:rsid w:val="00BB13B5"/>
    <w:rsid w:val="00BB1FC4"/>
    <w:rsid w:val="00BB70B3"/>
    <w:rsid w:val="00BB7D46"/>
    <w:rsid w:val="00BC12AB"/>
    <w:rsid w:val="00BC1B4F"/>
    <w:rsid w:val="00BC360E"/>
    <w:rsid w:val="00BC4327"/>
    <w:rsid w:val="00BC45EB"/>
    <w:rsid w:val="00BC48A8"/>
    <w:rsid w:val="00BC497A"/>
    <w:rsid w:val="00BC6CA5"/>
    <w:rsid w:val="00BD24C2"/>
    <w:rsid w:val="00BD3085"/>
    <w:rsid w:val="00BD6511"/>
    <w:rsid w:val="00BD76C8"/>
    <w:rsid w:val="00BE437F"/>
    <w:rsid w:val="00BE4F3A"/>
    <w:rsid w:val="00BE5039"/>
    <w:rsid w:val="00BE55BE"/>
    <w:rsid w:val="00BE5FCB"/>
    <w:rsid w:val="00BE6E3A"/>
    <w:rsid w:val="00BE723C"/>
    <w:rsid w:val="00BF00AE"/>
    <w:rsid w:val="00BF13F5"/>
    <w:rsid w:val="00BF2526"/>
    <w:rsid w:val="00BF28AB"/>
    <w:rsid w:val="00BF3F2C"/>
    <w:rsid w:val="00C026BD"/>
    <w:rsid w:val="00C034DA"/>
    <w:rsid w:val="00C03541"/>
    <w:rsid w:val="00C03561"/>
    <w:rsid w:val="00C0376D"/>
    <w:rsid w:val="00C03919"/>
    <w:rsid w:val="00C04FBB"/>
    <w:rsid w:val="00C0572F"/>
    <w:rsid w:val="00C06259"/>
    <w:rsid w:val="00C065C3"/>
    <w:rsid w:val="00C126CB"/>
    <w:rsid w:val="00C12C25"/>
    <w:rsid w:val="00C13DF0"/>
    <w:rsid w:val="00C14193"/>
    <w:rsid w:val="00C15A48"/>
    <w:rsid w:val="00C16FA3"/>
    <w:rsid w:val="00C17325"/>
    <w:rsid w:val="00C17738"/>
    <w:rsid w:val="00C17843"/>
    <w:rsid w:val="00C2330B"/>
    <w:rsid w:val="00C235A9"/>
    <w:rsid w:val="00C23A79"/>
    <w:rsid w:val="00C23DE7"/>
    <w:rsid w:val="00C26323"/>
    <w:rsid w:val="00C30962"/>
    <w:rsid w:val="00C3192D"/>
    <w:rsid w:val="00C31A29"/>
    <w:rsid w:val="00C330CB"/>
    <w:rsid w:val="00C3358D"/>
    <w:rsid w:val="00C33F0E"/>
    <w:rsid w:val="00C35C99"/>
    <w:rsid w:val="00C3659B"/>
    <w:rsid w:val="00C36D97"/>
    <w:rsid w:val="00C37042"/>
    <w:rsid w:val="00C378D0"/>
    <w:rsid w:val="00C37FDB"/>
    <w:rsid w:val="00C40364"/>
    <w:rsid w:val="00C42477"/>
    <w:rsid w:val="00C450EE"/>
    <w:rsid w:val="00C45F56"/>
    <w:rsid w:val="00C4785F"/>
    <w:rsid w:val="00C478BA"/>
    <w:rsid w:val="00C534C6"/>
    <w:rsid w:val="00C61317"/>
    <w:rsid w:val="00C655E8"/>
    <w:rsid w:val="00C67834"/>
    <w:rsid w:val="00C7117A"/>
    <w:rsid w:val="00C74183"/>
    <w:rsid w:val="00C76E44"/>
    <w:rsid w:val="00C77A59"/>
    <w:rsid w:val="00C800CB"/>
    <w:rsid w:val="00C803A5"/>
    <w:rsid w:val="00C80DF6"/>
    <w:rsid w:val="00C82C14"/>
    <w:rsid w:val="00C83FB9"/>
    <w:rsid w:val="00C85078"/>
    <w:rsid w:val="00C862F8"/>
    <w:rsid w:val="00C908DB"/>
    <w:rsid w:val="00C931B6"/>
    <w:rsid w:val="00C93B23"/>
    <w:rsid w:val="00C9774B"/>
    <w:rsid w:val="00CA0FA9"/>
    <w:rsid w:val="00CA13E9"/>
    <w:rsid w:val="00CA37B5"/>
    <w:rsid w:val="00CA3FCD"/>
    <w:rsid w:val="00CA4819"/>
    <w:rsid w:val="00CA57BA"/>
    <w:rsid w:val="00CA5AD8"/>
    <w:rsid w:val="00CB54CC"/>
    <w:rsid w:val="00CB6D43"/>
    <w:rsid w:val="00CB7EF0"/>
    <w:rsid w:val="00CC069F"/>
    <w:rsid w:val="00CC7CB0"/>
    <w:rsid w:val="00CD1EBF"/>
    <w:rsid w:val="00CD43F3"/>
    <w:rsid w:val="00CD4ED5"/>
    <w:rsid w:val="00CD53CA"/>
    <w:rsid w:val="00CD6092"/>
    <w:rsid w:val="00CE0915"/>
    <w:rsid w:val="00CE1628"/>
    <w:rsid w:val="00CE4399"/>
    <w:rsid w:val="00CE5865"/>
    <w:rsid w:val="00CE640C"/>
    <w:rsid w:val="00CE78B1"/>
    <w:rsid w:val="00CE7C12"/>
    <w:rsid w:val="00CF54D1"/>
    <w:rsid w:val="00CF7DA0"/>
    <w:rsid w:val="00CF7FD0"/>
    <w:rsid w:val="00D010F1"/>
    <w:rsid w:val="00D01109"/>
    <w:rsid w:val="00D06971"/>
    <w:rsid w:val="00D06B34"/>
    <w:rsid w:val="00D06EC8"/>
    <w:rsid w:val="00D07B5C"/>
    <w:rsid w:val="00D07E03"/>
    <w:rsid w:val="00D11E0E"/>
    <w:rsid w:val="00D13BDB"/>
    <w:rsid w:val="00D16CD8"/>
    <w:rsid w:val="00D216BA"/>
    <w:rsid w:val="00D22A37"/>
    <w:rsid w:val="00D2354E"/>
    <w:rsid w:val="00D23617"/>
    <w:rsid w:val="00D25145"/>
    <w:rsid w:val="00D27A8A"/>
    <w:rsid w:val="00D3288D"/>
    <w:rsid w:val="00D354FD"/>
    <w:rsid w:val="00D3570E"/>
    <w:rsid w:val="00D37974"/>
    <w:rsid w:val="00D40D19"/>
    <w:rsid w:val="00D41A38"/>
    <w:rsid w:val="00D422B1"/>
    <w:rsid w:val="00D42A29"/>
    <w:rsid w:val="00D45250"/>
    <w:rsid w:val="00D45488"/>
    <w:rsid w:val="00D467C6"/>
    <w:rsid w:val="00D54567"/>
    <w:rsid w:val="00D65464"/>
    <w:rsid w:val="00D654B3"/>
    <w:rsid w:val="00D65923"/>
    <w:rsid w:val="00D65D16"/>
    <w:rsid w:val="00D66AFA"/>
    <w:rsid w:val="00D761B6"/>
    <w:rsid w:val="00D76D1C"/>
    <w:rsid w:val="00D838A7"/>
    <w:rsid w:val="00D84FF1"/>
    <w:rsid w:val="00D85A3F"/>
    <w:rsid w:val="00D85FCD"/>
    <w:rsid w:val="00D868FB"/>
    <w:rsid w:val="00D86C43"/>
    <w:rsid w:val="00D86FEA"/>
    <w:rsid w:val="00D93CB5"/>
    <w:rsid w:val="00D94038"/>
    <w:rsid w:val="00D9453B"/>
    <w:rsid w:val="00DA430D"/>
    <w:rsid w:val="00DA5163"/>
    <w:rsid w:val="00DA66D7"/>
    <w:rsid w:val="00DB192A"/>
    <w:rsid w:val="00DB1985"/>
    <w:rsid w:val="00DB40BF"/>
    <w:rsid w:val="00DB66FD"/>
    <w:rsid w:val="00DB7463"/>
    <w:rsid w:val="00DC297D"/>
    <w:rsid w:val="00DC30DD"/>
    <w:rsid w:val="00DC3243"/>
    <w:rsid w:val="00DC6EA0"/>
    <w:rsid w:val="00DD020B"/>
    <w:rsid w:val="00DD1CF3"/>
    <w:rsid w:val="00DD2547"/>
    <w:rsid w:val="00DD4819"/>
    <w:rsid w:val="00DD511F"/>
    <w:rsid w:val="00DD6739"/>
    <w:rsid w:val="00DD6D12"/>
    <w:rsid w:val="00DD7859"/>
    <w:rsid w:val="00DE5EB8"/>
    <w:rsid w:val="00DE608E"/>
    <w:rsid w:val="00DE6467"/>
    <w:rsid w:val="00DF087F"/>
    <w:rsid w:val="00DF08BA"/>
    <w:rsid w:val="00DF0974"/>
    <w:rsid w:val="00DF2688"/>
    <w:rsid w:val="00DF26E1"/>
    <w:rsid w:val="00DF37F3"/>
    <w:rsid w:val="00DF3972"/>
    <w:rsid w:val="00DF4B76"/>
    <w:rsid w:val="00E004AC"/>
    <w:rsid w:val="00E027A0"/>
    <w:rsid w:val="00E04E15"/>
    <w:rsid w:val="00E05C0F"/>
    <w:rsid w:val="00E05C97"/>
    <w:rsid w:val="00E109B6"/>
    <w:rsid w:val="00E11F39"/>
    <w:rsid w:val="00E13580"/>
    <w:rsid w:val="00E13FEC"/>
    <w:rsid w:val="00E14394"/>
    <w:rsid w:val="00E14AE5"/>
    <w:rsid w:val="00E16E1F"/>
    <w:rsid w:val="00E16E9D"/>
    <w:rsid w:val="00E237EC"/>
    <w:rsid w:val="00E31B73"/>
    <w:rsid w:val="00E34A6F"/>
    <w:rsid w:val="00E35514"/>
    <w:rsid w:val="00E36F96"/>
    <w:rsid w:val="00E37F28"/>
    <w:rsid w:val="00E41DD8"/>
    <w:rsid w:val="00E421BB"/>
    <w:rsid w:val="00E463D6"/>
    <w:rsid w:val="00E47DCC"/>
    <w:rsid w:val="00E52B61"/>
    <w:rsid w:val="00E52BA8"/>
    <w:rsid w:val="00E55C1D"/>
    <w:rsid w:val="00E56F54"/>
    <w:rsid w:val="00E57675"/>
    <w:rsid w:val="00E645B5"/>
    <w:rsid w:val="00E6700A"/>
    <w:rsid w:val="00E729E2"/>
    <w:rsid w:val="00E73967"/>
    <w:rsid w:val="00E75181"/>
    <w:rsid w:val="00E7573A"/>
    <w:rsid w:val="00E76C1B"/>
    <w:rsid w:val="00E7797A"/>
    <w:rsid w:val="00E80C8D"/>
    <w:rsid w:val="00E86BB6"/>
    <w:rsid w:val="00E87654"/>
    <w:rsid w:val="00E9039A"/>
    <w:rsid w:val="00E90BC9"/>
    <w:rsid w:val="00E91C57"/>
    <w:rsid w:val="00E92236"/>
    <w:rsid w:val="00E94FDB"/>
    <w:rsid w:val="00E95158"/>
    <w:rsid w:val="00E97661"/>
    <w:rsid w:val="00EA075C"/>
    <w:rsid w:val="00EA12C1"/>
    <w:rsid w:val="00EA1625"/>
    <w:rsid w:val="00EA1752"/>
    <w:rsid w:val="00EA1EDF"/>
    <w:rsid w:val="00EA7329"/>
    <w:rsid w:val="00EB2F3A"/>
    <w:rsid w:val="00EB4C89"/>
    <w:rsid w:val="00EB6518"/>
    <w:rsid w:val="00EB78AA"/>
    <w:rsid w:val="00EC05E5"/>
    <w:rsid w:val="00EC1213"/>
    <w:rsid w:val="00EC121B"/>
    <w:rsid w:val="00EC1C81"/>
    <w:rsid w:val="00EC394E"/>
    <w:rsid w:val="00EC3B67"/>
    <w:rsid w:val="00EC6DA3"/>
    <w:rsid w:val="00ED0A26"/>
    <w:rsid w:val="00ED13BB"/>
    <w:rsid w:val="00ED5A1C"/>
    <w:rsid w:val="00ED6AF6"/>
    <w:rsid w:val="00ED7A75"/>
    <w:rsid w:val="00EE0E9D"/>
    <w:rsid w:val="00EE74BC"/>
    <w:rsid w:val="00EF08B1"/>
    <w:rsid w:val="00EF0B42"/>
    <w:rsid w:val="00EF2B87"/>
    <w:rsid w:val="00EF49DF"/>
    <w:rsid w:val="00EF4E44"/>
    <w:rsid w:val="00EF5386"/>
    <w:rsid w:val="00EF6B54"/>
    <w:rsid w:val="00EF6D7D"/>
    <w:rsid w:val="00EF7458"/>
    <w:rsid w:val="00EF7BB1"/>
    <w:rsid w:val="00F0055D"/>
    <w:rsid w:val="00F06B97"/>
    <w:rsid w:val="00F102FC"/>
    <w:rsid w:val="00F10967"/>
    <w:rsid w:val="00F10EF2"/>
    <w:rsid w:val="00F12CBF"/>
    <w:rsid w:val="00F143B0"/>
    <w:rsid w:val="00F1611B"/>
    <w:rsid w:val="00F17004"/>
    <w:rsid w:val="00F17080"/>
    <w:rsid w:val="00F205AD"/>
    <w:rsid w:val="00F23AFD"/>
    <w:rsid w:val="00F26079"/>
    <w:rsid w:val="00F2639D"/>
    <w:rsid w:val="00F2792A"/>
    <w:rsid w:val="00F27D7F"/>
    <w:rsid w:val="00F27E5E"/>
    <w:rsid w:val="00F27E86"/>
    <w:rsid w:val="00F308D4"/>
    <w:rsid w:val="00F31BDE"/>
    <w:rsid w:val="00F336B4"/>
    <w:rsid w:val="00F3411A"/>
    <w:rsid w:val="00F343D1"/>
    <w:rsid w:val="00F35726"/>
    <w:rsid w:val="00F35B71"/>
    <w:rsid w:val="00F42A12"/>
    <w:rsid w:val="00F4413D"/>
    <w:rsid w:val="00F559B1"/>
    <w:rsid w:val="00F606DA"/>
    <w:rsid w:val="00F60905"/>
    <w:rsid w:val="00F62C44"/>
    <w:rsid w:val="00F650AC"/>
    <w:rsid w:val="00F6612B"/>
    <w:rsid w:val="00F67901"/>
    <w:rsid w:val="00F74820"/>
    <w:rsid w:val="00F7580A"/>
    <w:rsid w:val="00F768B3"/>
    <w:rsid w:val="00F83DDB"/>
    <w:rsid w:val="00F866E9"/>
    <w:rsid w:val="00F86C65"/>
    <w:rsid w:val="00F872F3"/>
    <w:rsid w:val="00F93CE6"/>
    <w:rsid w:val="00F9451C"/>
    <w:rsid w:val="00F9542E"/>
    <w:rsid w:val="00F95F05"/>
    <w:rsid w:val="00F9732A"/>
    <w:rsid w:val="00F97469"/>
    <w:rsid w:val="00FA2D82"/>
    <w:rsid w:val="00FA4208"/>
    <w:rsid w:val="00FA766D"/>
    <w:rsid w:val="00FA7693"/>
    <w:rsid w:val="00FB039A"/>
    <w:rsid w:val="00FB12D4"/>
    <w:rsid w:val="00FB13F3"/>
    <w:rsid w:val="00FB1D0F"/>
    <w:rsid w:val="00FB579D"/>
    <w:rsid w:val="00FC058B"/>
    <w:rsid w:val="00FC0796"/>
    <w:rsid w:val="00FC23D6"/>
    <w:rsid w:val="00FC4468"/>
    <w:rsid w:val="00FD2BCC"/>
    <w:rsid w:val="00FD4410"/>
    <w:rsid w:val="00FD73AA"/>
    <w:rsid w:val="00FE052E"/>
    <w:rsid w:val="00FE49BA"/>
    <w:rsid w:val="00FF021A"/>
    <w:rsid w:val="00FF0E78"/>
    <w:rsid w:val="00FF31A7"/>
    <w:rsid w:val="00FF467D"/>
    <w:rsid w:val="00FF584D"/>
    <w:rsid w:val="00FF6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basedOn w:val="Normal"/>
    <w:link w:val="FootnoteTextChar"/>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uiPriority w:val="99"/>
    <w:rsid w:val="00A733A2"/>
    <w:pPr>
      <w:spacing w:before="100" w:beforeAutospacing="1" w:after="100" w:afterAutospacing="1"/>
    </w:pPr>
  </w:style>
  <w:style w:type="character" w:customStyle="1" w:styleId="FootnoteTextChar">
    <w:name w:val="Footnote Text Char"/>
    <w:basedOn w:val="DefaultParagraphFont"/>
    <w:link w:val="FootnoteText"/>
    <w:semiHidden/>
    <w:rsid w:val="007E5847"/>
  </w:style>
  <w:style w:type="paragraph" w:styleId="Header">
    <w:name w:val="header"/>
    <w:basedOn w:val="Normal"/>
    <w:link w:val="HeaderChar"/>
    <w:rsid w:val="00A31C3A"/>
    <w:pPr>
      <w:tabs>
        <w:tab w:val="center" w:pos="4680"/>
        <w:tab w:val="right" w:pos="9360"/>
      </w:tabs>
    </w:pPr>
  </w:style>
  <w:style w:type="character" w:customStyle="1" w:styleId="HeaderChar">
    <w:name w:val="Header Char"/>
    <w:basedOn w:val="DefaultParagraphFont"/>
    <w:link w:val="Header"/>
    <w:rsid w:val="00A31C3A"/>
    <w:rPr>
      <w:sz w:val="24"/>
      <w:szCs w:val="24"/>
    </w:rPr>
  </w:style>
  <w:style w:type="paragraph" w:styleId="ListParagraph">
    <w:name w:val="List Paragraph"/>
    <w:basedOn w:val="Normal"/>
    <w:uiPriority w:val="34"/>
    <w:qFormat/>
    <w:rsid w:val="00593A02"/>
    <w:pPr>
      <w:ind w:left="720"/>
      <w:contextualSpacing/>
    </w:pPr>
  </w:style>
  <w:style w:type="paragraph" w:styleId="BalloonText">
    <w:name w:val="Balloon Text"/>
    <w:basedOn w:val="Normal"/>
    <w:link w:val="BalloonTextChar"/>
    <w:rsid w:val="000D5F05"/>
    <w:rPr>
      <w:rFonts w:ascii="Tahoma" w:hAnsi="Tahoma" w:cs="Tahoma"/>
      <w:sz w:val="16"/>
      <w:szCs w:val="16"/>
    </w:rPr>
  </w:style>
  <w:style w:type="character" w:customStyle="1" w:styleId="BalloonTextChar">
    <w:name w:val="Balloon Text Char"/>
    <w:basedOn w:val="DefaultParagraphFont"/>
    <w:link w:val="BalloonText"/>
    <w:rsid w:val="000D5F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basedOn w:val="Normal"/>
    <w:link w:val="FootnoteTextChar"/>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uiPriority w:val="99"/>
    <w:rsid w:val="00A733A2"/>
    <w:pPr>
      <w:spacing w:before="100" w:beforeAutospacing="1" w:after="100" w:afterAutospacing="1"/>
    </w:pPr>
  </w:style>
  <w:style w:type="character" w:customStyle="1" w:styleId="FootnoteTextChar">
    <w:name w:val="Footnote Text Char"/>
    <w:basedOn w:val="DefaultParagraphFont"/>
    <w:link w:val="FootnoteText"/>
    <w:semiHidden/>
    <w:rsid w:val="007E5847"/>
  </w:style>
  <w:style w:type="paragraph" w:styleId="Header">
    <w:name w:val="header"/>
    <w:basedOn w:val="Normal"/>
    <w:link w:val="HeaderChar"/>
    <w:rsid w:val="00A31C3A"/>
    <w:pPr>
      <w:tabs>
        <w:tab w:val="center" w:pos="4680"/>
        <w:tab w:val="right" w:pos="9360"/>
      </w:tabs>
    </w:pPr>
  </w:style>
  <w:style w:type="character" w:customStyle="1" w:styleId="HeaderChar">
    <w:name w:val="Header Char"/>
    <w:basedOn w:val="DefaultParagraphFont"/>
    <w:link w:val="Header"/>
    <w:rsid w:val="00A31C3A"/>
    <w:rPr>
      <w:sz w:val="24"/>
      <w:szCs w:val="24"/>
    </w:rPr>
  </w:style>
  <w:style w:type="paragraph" w:styleId="ListParagraph">
    <w:name w:val="List Paragraph"/>
    <w:basedOn w:val="Normal"/>
    <w:uiPriority w:val="34"/>
    <w:qFormat/>
    <w:rsid w:val="00593A02"/>
    <w:pPr>
      <w:ind w:left="720"/>
      <w:contextualSpacing/>
    </w:pPr>
  </w:style>
  <w:style w:type="paragraph" w:styleId="BalloonText">
    <w:name w:val="Balloon Text"/>
    <w:basedOn w:val="Normal"/>
    <w:link w:val="BalloonTextChar"/>
    <w:rsid w:val="000D5F05"/>
    <w:rPr>
      <w:rFonts w:ascii="Tahoma" w:hAnsi="Tahoma" w:cs="Tahoma"/>
      <w:sz w:val="16"/>
      <w:szCs w:val="16"/>
    </w:rPr>
  </w:style>
  <w:style w:type="character" w:customStyle="1" w:styleId="BalloonTextChar">
    <w:name w:val="Balloon Text Char"/>
    <w:basedOn w:val="DefaultParagraphFont"/>
    <w:link w:val="BalloonText"/>
    <w:rsid w:val="000D5F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418548">
      <w:bodyDiv w:val="1"/>
      <w:marLeft w:val="0"/>
      <w:marRight w:val="0"/>
      <w:marTop w:val="0"/>
      <w:marBottom w:val="0"/>
      <w:divBdr>
        <w:top w:val="none" w:sz="0" w:space="0" w:color="auto"/>
        <w:left w:val="none" w:sz="0" w:space="0" w:color="auto"/>
        <w:bottom w:val="none" w:sz="0" w:space="0" w:color="auto"/>
        <w:right w:val="none" w:sz="0" w:space="0" w:color="auto"/>
      </w:divBdr>
      <w:divsChild>
        <w:div w:id="1559592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316084">
      <w:bodyDiv w:val="1"/>
      <w:marLeft w:val="0"/>
      <w:marRight w:val="0"/>
      <w:marTop w:val="0"/>
      <w:marBottom w:val="0"/>
      <w:divBdr>
        <w:top w:val="none" w:sz="0" w:space="0" w:color="auto"/>
        <w:left w:val="none" w:sz="0" w:space="0" w:color="auto"/>
        <w:bottom w:val="none" w:sz="0" w:space="0" w:color="auto"/>
        <w:right w:val="none" w:sz="0" w:space="0" w:color="auto"/>
      </w:divBdr>
    </w:div>
    <w:div w:id="1937403089">
      <w:bodyDiv w:val="1"/>
      <w:marLeft w:val="0"/>
      <w:marRight w:val="0"/>
      <w:marTop w:val="0"/>
      <w:marBottom w:val="0"/>
      <w:divBdr>
        <w:top w:val="none" w:sz="0" w:space="0" w:color="auto"/>
        <w:left w:val="none" w:sz="0" w:space="0" w:color="auto"/>
        <w:bottom w:val="none" w:sz="0" w:space="0" w:color="auto"/>
        <w:right w:val="none" w:sz="0" w:space="0" w:color="auto"/>
      </w:divBdr>
      <w:divsChild>
        <w:div w:id="1314026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A08B8-8C7B-4B44-93A5-09BEFB74A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4341</Words>
  <Characters>24746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29029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HOYER</dc:creator>
  <cp:lastModifiedBy>sandra elizabeth oldynski</cp:lastModifiedBy>
  <cp:revision>18</cp:revision>
  <cp:lastPrinted>2011-12-14T20:55:00Z</cp:lastPrinted>
  <dcterms:created xsi:type="dcterms:W3CDTF">2011-12-14T20:53:00Z</dcterms:created>
  <dcterms:modified xsi:type="dcterms:W3CDTF">2011-12-14T21:06:00Z</dcterms:modified>
</cp:coreProperties>
</file>