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6A" w:rsidRDefault="00BD5E6A" w:rsidP="00BD5E6A">
      <w:pPr>
        <w:contextualSpacing/>
        <w:jc w:val="center"/>
        <w:rPr>
          <w:b/>
        </w:rPr>
      </w:pPr>
      <w:r>
        <w:rPr>
          <w:b/>
        </w:rPr>
        <w:t>BEFORE THE</w:t>
      </w:r>
    </w:p>
    <w:p w:rsidR="00BD5E6A" w:rsidRDefault="007004EE" w:rsidP="00BD5E6A">
      <w:pPr>
        <w:contextualSpacing/>
        <w:jc w:val="center"/>
        <w:rPr>
          <w:b/>
        </w:rPr>
      </w:pPr>
      <w:r>
        <w:rPr>
          <w:b/>
        </w:rPr>
        <w:t>PENNSYLVANIA PUBLIC UTILITY COMMISSION</w:t>
      </w:r>
    </w:p>
    <w:p w:rsidR="007004EE" w:rsidRDefault="007004EE" w:rsidP="00BD5E6A">
      <w:pPr>
        <w:contextualSpacing/>
        <w:jc w:val="center"/>
        <w:rPr>
          <w:b/>
        </w:rPr>
      </w:pPr>
    </w:p>
    <w:p w:rsidR="007004EE" w:rsidRDefault="007004EE" w:rsidP="007004EE">
      <w:pPr>
        <w:contextualSpacing/>
      </w:pPr>
      <w:r>
        <w:t xml:space="preserve">Lorrie </w:t>
      </w:r>
      <w:proofErr w:type="spellStart"/>
      <w:r>
        <w:t>Koons</w:t>
      </w:r>
      <w:proofErr w:type="spellEnd"/>
      <w:r>
        <w:tab/>
      </w:r>
      <w:r>
        <w:tab/>
      </w:r>
      <w:r>
        <w:tab/>
      </w:r>
      <w:r>
        <w:tab/>
      </w:r>
      <w:r>
        <w:tab/>
        <w:t>:</w:t>
      </w:r>
    </w:p>
    <w:p w:rsidR="007004EE" w:rsidRDefault="007004EE" w:rsidP="007004EE">
      <w:pPr>
        <w:contextualSpacing/>
      </w:pPr>
      <w:r>
        <w:tab/>
      </w:r>
      <w:r>
        <w:tab/>
      </w:r>
      <w:r>
        <w:tab/>
      </w:r>
      <w:r>
        <w:tab/>
      </w:r>
      <w:r>
        <w:tab/>
      </w:r>
      <w:r>
        <w:tab/>
        <w:t>:</w:t>
      </w:r>
    </w:p>
    <w:p w:rsidR="007004EE" w:rsidRDefault="007004EE" w:rsidP="007004EE">
      <w:pPr>
        <w:contextualSpacing/>
      </w:pPr>
      <w:r>
        <w:tab/>
        <w:t>v.</w:t>
      </w:r>
      <w:r>
        <w:tab/>
      </w:r>
      <w:r>
        <w:tab/>
      </w:r>
      <w:r>
        <w:tab/>
      </w:r>
      <w:r>
        <w:tab/>
      </w:r>
      <w:r>
        <w:tab/>
        <w:t>:</w:t>
      </w:r>
      <w:r>
        <w:tab/>
      </w:r>
      <w:r>
        <w:tab/>
        <w:t>M-2010-2179796</w:t>
      </w:r>
    </w:p>
    <w:p w:rsidR="007004EE" w:rsidRDefault="007004EE" w:rsidP="007004EE">
      <w:pPr>
        <w:contextualSpacing/>
      </w:pPr>
      <w:r>
        <w:tab/>
      </w:r>
      <w:r>
        <w:tab/>
      </w:r>
      <w:r>
        <w:tab/>
      </w:r>
      <w:r>
        <w:tab/>
      </w:r>
      <w:r>
        <w:tab/>
      </w:r>
      <w:r>
        <w:tab/>
        <w:t>:</w:t>
      </w:r>
    </w:p>
    <w:p w:rsidR="007004EE" w:rsidRDefault="007004EE" w:rsidP="007004EE">
      <w:pPr>
        <w:contextualSpacing/>
      </w:pPr>
      <w:r>
        <w:t>PPL Electric Utilities Corporation</w:t>
      </w:r>
      <w:r>
        <w:tab/>
      </w:r>
      <w:r>
        <w:tab/>
        <w:t>:</w:t>
      </w:r>
    </w:p>
    <w:p w:rsidR="007004EE" w:rsidRDefault="007004EE" w:rsidP="007004EE">
      <w:pPr>
        <w:contextualSpacing/>
      </w:pPr>
      <w:r>
        <w:t>Universal Service and Energy</w:t>
      </w:r>
      <w:r>
        <w:tab/>
      </w:r>
      <w:r>
        <w:tab/>
      </w:r>
      <w:r>
        <w:tab/>
        <w:t>:</w:t>
      </w:r>
    </w:p>
    <w:p w:rsidR="007004EE" w:rsidRDefault="007004EE" w:rsidP="007004EE">
      <w:pPr>
        <w:contextualSpacing/>
      </w:pPr>
      <w:r>
        <w:t>Conservation Plan for 2011 through 2013</w:t>
      </w:r>
      <w:r>
        <w:tab/>
        <w:t>:</w:t>
      </w:r>
    </w:p>
    <w:p w:rsidR="007004EE" w:rsidRDefault="007004EE" w:rsidP="007004EE">
      <w:pPr>
        <w:contextualSpacing/>
      </w:pPr>
    </w:p>
    <w:p w:rsidR="007004EE" w:rsidRDefault="007004EE" w:rsidP="007004EE">
      <w:pPr>
        <w:contextualSpacing/>
      </w:pPr>
    </w:p>
    <w:p w:rsidR="007004EE" w:rsidRDefault="007004EE" w:rsidP="007004EE">
      <w:pPr>
        <w:contextualSpacing/>
        <w:jc w:val="center"/>
        <w:rPr>
          <w:b/>
        </w:rPr>
      </w:pPr>
      <w:r>
        <w:rPr>
          <w:b/>
        </w:rPr>
        <w:t>SCHEDULING ORDER</w:t>
      </w:r>
    </w:p>
    <w:p w:rsidR="007004EE" w:rsidRDefault="007004EE" w:rsidP="007004EE">
      <w:pPr>
        <w:contextualSpacing/>
        <w:jc w:val="center"/>
        <w:rPr>
          <w:b/>
        </w:rPr>
      </w:pPr>
    </w:p>
    <w:p w:rsidR="007004EE" w:rsidRDefault="007004EE" w:rsidP="007004EE">
      <w:pPr>
        <w:contextualSpacing/>
      </w:pPr>
    </w:p>
    <w:p w:rsidR="007004EE" w:rsidRDefault="007004EE" w:rsidP="007004EE">
      <w:pPr>
        <w:spacing w:line="360" w:lineRule="auto"/>
        <w:contextualSpacing/>
      </w:pPr>
      <w:r>
        <w:tab/>
      </w:r>
      <w:r>
        <w:tab/>
      </w:r>
      <w:r w:rsidR="001A1C30">
        <w:t xml:space="preserve">On December 21, 2010, the Commission entered its Opinion and Order approving a Joint Petition for Partial Settlement filed in the base rate case filed by PPL Electric Utilities Corporation (PPL Electric or Company or Respondent) at R-2010-2161694, which include a provision for the implementation of a CAP Plus program as part of the Company's Universal Service Program.  </w:t>
      </w:r>
    </w:p>
    <w:p w:rsidR="0079539E" w:rsidRDefault="0079539E" w:rsidP="007004EE">
      <w:pPr>
        <w:spacing w:line="360" w:lineRule="auto"/>
        <w:contextualSpacing/>
      </w:pPr>
    </w:p>
    <w:p w:rsidR="0079539E" w:rsidRDefault="0079539E" w:rsidP="007004EE">
      <w:pPr>
        <w:spacing w:line="360" w:lineRule="auto"/>
        <w:contextualSpacing/>
      </w:pPr>
      <w:r>
        <w:tab/>
      </w:r>
      <w:r>
        <w:tab/>
        <w:t>When the Joint Petition for Settlement was approved in the R-2010-2161694 Docket, PPL Electric's Universal Service and Energy Conservation Plan for the period of 2011 through 2013 was being litigated at this Docket.  The Company did not include the CAP Plus program in the compliance filing made pursuant to the December 21, 2010 Order.  On May 5, 2011, the Commission entered its Order in this proceeding which approved the Joint Petition for Settlement of all issues.  The Company's compliance filing following the May 5, 201</w:t>
      </w:r>
      <w:r w:rsidR="00EC7B7F">
        <w:t>1 Order did not include the CAP Plus program, and on November 3, 2011, PPL Electric filed a revision to its tariff for inclusion of the CAP Plus program.  The tariff was set to become effective December 1, 2011.</w:t>
      </w:r>
    </w:p>
    <w:p w:rsidR="00EC7B7F" w:rsidRDefault="00EC7B7F" w:rsidP="007004EE">
      <w:pPr>
        <w:spacing w:line="360" w:lineRule="auto"/>
        <w:contextualSpacing/>
      </w:pPr>
    </w:p>
    <w:p w:rsidR="00EC7B7F" w:rsidRDefault="00EC7B7F" w:rsidP="007004EE">
      <w:pPr>
        <w:spacing w:line="360" w:lineRule="auto"/>
        <w:contextualSpacing/>
      </w:pPr>
      <w:r>
        <w:tab/>
      </w:r>
      <w:r>
        <w:tab/>
        <w:t xml:space="preserve">On November 22, 2011, a Complaint was filed by Lorrie </w:t>
      </w:r>
      <w:proofErr w:type="spellStart"/>
      <w:r>
        <w:t>Koons</w:t>
      </w:r>
      <w:proofErr w:type="spellEnd"/>
      <w:r>
        <w:t xml:space="preserve">, who was a party to the underlying case, seeking a stay of the tariff provision for the CAP Plus program and formal hearings on the issue.  On November 29, 2011, the Company filed an answer denying the material allegations.  On December 1, 2011, the Commission entered an Opinion and Order </w:t>
      </w:r>
      <w:r>
        <w:lastRenderedPageBreak/>
        <w:t>which denied the request for stay and referred the remaining issues to the Office of Administrative Law Judge for proceedings as appropriate.</w:t>
      </w:r>
    </w:p>
    <w:p w:rsidR="00EC7B7F" w:rsidRDefault="00EC7B7F" w:rsidP="007004EE">
      <w:pPr>
        <w:spacing w:line="360" w:lineRule="auto"/>
        <w:contextualSpacing/>
      </w:pPr>
    </w:p>
    <w:p w:rsidR="000957AD" w:rsidRDefault="00EC7B7F" w:rsidP="007004EE">
      <w:pPr>
        <w:spacing w:line="360" w:lineRule="auto"/>
        <w:contextualSpacing/>
      </w:pPr>
      <w:r>
        <w:tab/>
      </w:r>
      <w:r>
        <w:tab/>
      </w:r>
      <w:r w:rsidR="000957AD">
        <w:t>The matter was assigned to administrative law judges Joel Cheskis and Susan D. Colwell.  In an email exchange, the parties indicated that there was no need for a prehearing conference and that they had agreed upon a litigation schedule.  The schedule is adopted here.</w:t>
      </w:r>
    </w:p>
    <w:p w:rsidR="000957AD" w:rsidRDefault="000957AD" w:rsidP="007004EE">
      <w:pPr>
        <w:spacing w:line="360" w:lineRule="auto"/>
        <w:contextualSpacing/>
      </w:pPr>
    </w:p>
    <w:p w:rsidR="000957AD" w:rsidRDefault="000957AD" w:rsidP="007004EE">
      <w:pPr>
        <w:spacing w:line="360" w:lineRule="auto"/>
        <w:contextualSpacing/>
      </w:pPr>
      <w:r>
        <w:tab/>
      </w:r>
      <w:r>
        <w:tab/>
        <w:t>THEREFORE,</w:t>
      </w:r>
    </w:p>
    <w:p w:rsidR="000957AD" w:rsidRDefault="000957AD" w:rsidP="007004EE">
      <w:pPr>
        <w:spacing w:line="360" w:lineRule="auto"/>
        <w:contextualSpacing/>
      </w:pPr>
    </w:p>
    <w:p w:rsidR="000957AD" w:rsidRDefault="000957AD" w:rsidP="007004EE">
      <w:pPr>
        <w:spacing w:line="360" w:lineRule="auto"/>
        <w:contextualSpacing/>
      </w:pPr>
      <w:r>
        <w:tab/>
      </w:r>
      <w:r>
        <w:tab/>
        <w:t>IT IS ORDERED:</w:t>
      </w:r>
    </w:p>
    <w:p w:rsidR="000957AD" w:rsidRDefault="000957AD" w:rsidP="007004EE">
      <w:pPr>
        <w:spacing w:line="360" w:lineRule="auto"/>
        <w:contextualSpacing/>
      </w:pPr>
    </w:p>
    <w:p w:rsidR="000957AD" w:rsidRDefault="000957AD" w:rsidP="007004EE">
      <w:pPr>
        <w:spacing w:line="360" w:lineRule="auto"/>
        <w:contextualSpacing/>
      </w:pPr>
      <w:r>
        <w:tab/>
      </w:r>
      <w:r>
        <w:tab/>
        <w:t>1.</w:t>
      </w:r>
      <w:r>
        <w:tab/>
        <w:t>The following schedule is adopted:</w:t>
      </w:r>
    </w:p>
    <w:p w:rsidR="000957AD" w:rsidRDefault="000957AD" w:rsidP="007004EE">
      <w:pPr>
        <w:spacing w:line="360" w:lineRule="auto"/>
        <w:contextualSpacing/>
      </w:pPr>
    </w:p>
    <w:p w:rsidR="000957AD" w:rsidRPr="000957AD" w:rsidRDefault="000957AD" w:rsidP="000957AD">
      <w:r>
        <w:tab/>
      </w:r>
      <w:proofErr w:type="gramStart"/>
      <w:r w:rsidRPr="000957AD">
        <w:t>Complainant's</w:t>
      </w:r>
      <w:proofErr w:type="gramEnd"/>
      <w:r w:rsidRPr="000957AD">
        <w:t xml:space="preserve"> direct testimony         January 31, 2012</w:t>
      </w:r>
    </w:p>
    <w:p w:rsidR="000957AD" w:rsidRPr="000957AD" w:rsidRDefault="000957AD" w:rsidP="000957AD">
      <w:r w:rsidRPr="000957AD">
        <w:t> </w:t>
      </w:r>
    </w:p>
    <w:p w:rsidR="000957AD" w:rsidRPr="000957AD" w:rsidRDefault="000957AD" w:rsidP="000957AD">
      <w:r>
        <w:tab/>
      </w:r>
      <w:r w:rsidRPr="000957AD">
        <w:t xml:space="preserve">Other parties' rebuttal testimony       March 1, 2012 </w:t>
      </w:r>
    </w:p>
    <w:p w:rsidR="000957AD" w:rsidRPr="000957AD" w:rsidRDefault="000957AD" w:rsidP="000957AD">
      <w:r w:rsidRPr="000957AD">
        <w:t> </w:t>
      </w:r>
    </w:p>
    <w:p w:rsidR="000957AD" w:rsidRPr="000957AD" w:rsidRDefault="000957AD" w:rsidP="000957AD">
      <w:r>
        <w:tab/>
      </w:r>
      <w:r w:rsidRPr="000957AD">
        <w:t>Surrebuttal testimony                        March 15, 2012</w:t>
      </w:r>
    </w:p>
    <w:p w:rsidR="000957AD" w:rsidRPr="000957AD" w:rsidRDefault="000957AD" w:rsidP="000957AD">
      <w:r w:rsidRPr="000957AD">
        <w:t> </w:t>
      </w:r>
    </w:p>
    <w:p w:rsidR="000957AD" w:rsidRPr="000957AD" w:rsidRDefault="000957AD" w:rsidP="000957AD">
      <w:r>
        <w:tab/>
      </w:r>
      <w:r w:rsidRPr="000957AD">
        <w:t xml:space="preserve">Hearing </w:t>
      </w:r>
      <w:r>
        <w:t xml:space="preserve"> </w:t>
      </w:r>
      <w:r w:rsidRPr="000957AD">
        <w:t>                                           March 19, 2012</w:t>
      </w:r>
    </w:p>
    <w:p w:rsidR="000957AD" w:rsidRPr="000957AD" w:rsidRDefault="000957AD" w:rsidP="000957AD">
      <w:r w:rsidRPr="000957AD">
        <w:t> </w:t>
      </w:r>
    </w:p>
    <w:p w:rsidR="000957AD" w:rsidRPr="000957AD" w:rsidRDefault="000957AD" w:rsidP="000957AD">
      <w:r>
        <w:tab/>
      </w:r>
      <w:r w:rsidRPr="000957AD">
        <w:t>Main Briefs                                       April 9, 2012</w:t>
      </w:r>
    </w:p>
    <w:p w:rsidR="000957AD" w:rsidRPr="000957AD" w:rsidRDefault="000957AD" w:rsidP="000957AD">
      <w:r w:rsidRPr="000957AD">
        <w:t> </w:t>
      </w:r>
    </w:p>
    <w:p w:rsidR="000957AD" w:rsidRPr="000957AD" w:rsidRDefault="000957AD" w:rsidP="000957AD">
      <w:r>
        <w:tab/>
      </w:r>
      <w:r w:rsidRPr="000957AD">
        <w:t>Reply Briefs                                      April 23, 2012</w:t>
      </w:r>
    </w:p>
    <w:p w:rsidR="00EC7B7F" w:rsidRDefault="00EC7B7F" w:rsidP="007004EE">
      <w:pPr>
        <w:spacing w:line="360" w:lineRule="auto"/>
        <w:contextualSpacing/>
      </w:pPr>
      <w:r>
        <w:t xml:space="preserve"> </w:t>
      </w:r>
    </w:p>
    <w:p w:rsidR="00BD5E6A" w:rsidRDefault="000957AD" w:rsidP="00BD5E6A">
      <w:pPr>
        <w:spacing w:line="360" w:lineRule="auto"/>
        <w:contextualSpacing/>
      </w:pPr>
      <w:r>
        <w:tab/>
      </w:r>
      <w:r>
        <w:tab/>
        <w:t>2.</w:t>
      </w:r>
      <w:r>
        <w:tab/>
      </w:r>
      <w:r w:rsidR="00BD5E6A">
        <w:t xml:space="preserve">That the Commission’s regulations regarding discovery at 52 Pa. Code </w:t>
      </w:r>
    </w:p>
    <w:p w:rsidR="00BD5E6A" w:rsidRDefault="00BD5E6A" w:rsidP="00BD5E6A">
      <w:pPr>
        <w:spacing w:line="360" w:lineRule="auto"/>
        <w:contextualSpacing/>
      </w:pPr>
      <w:r>
        <w:t xml:space="preserve">§ 5.342(d) are modified for the purposes of this proceeding to provide that objections to discovery are </w:t>
      </w:r>
      <w:r w:rsidRPr="007B1CA0">
        <w:rPr>
          <w:u w:val="single"/>
        </w:rPr>
        <w:t>in lieu of</w:t>
      </w:r>
      <w:r>
        <w:t xml:space="preserve"> answers, and not in addition to answers.  </w:t>
      </w:r>
    </w:p>
    <w:p w:rsidR="00BD5E6A" w:rsidRDefault="00BD5E6A" w:rsidP="00BD5E6A">
      <w:pPr>
        <w:spacing w:line="360" w:lineRule="auto"/>
        <w:contextualSpacing/>
      </w:pPr>
    </w:p>
    <w:p w:rsidR="00BD5E6A" w:rsidRDefault="00BD5E6A" w:rsidP="00BD5E6A">
      <w:pPr>
        <w:spacing w:line="360" w:lineRule="auto"/>
        <w:contextualSpacing/>
      </w:pPr>
      <w:r>
        <w:tab/>
      </w:r>
      <w:r>
        <w:tab/>
      </w:r>
      <w:r w:rsidR="000957AD">
        <w:t>3</w:t>
      </w:r>
      <w:r>
        <w:t>.</w:t>
      </w:r>
      <w:r>
        <w:tab/>
        <w:t xml:space="preserve">That due dates are in-hand; service of discovery requests, testimony, exhibits and briefs may be by electronic means on the due date if transmission occurs before 4:00 pm and hard copies follow.  Oversize exhibits or photos or attachments may be served by hard copy only but must be sent by overnight mail if the submission is sent electronically on the due date.  Discovery served after 4:00 pm shall be deemed to be served the following business day.  </w:t>
      </w:r>
    </w:p>
    <w:p w:rsidR="00BD5E6A" w:rsidRDefault="00BD5E6A" w:rsidP="00BD5E6A">
      <w:pPr>
        <w:spacing w:line="360" w:lineRule="auto"/>
        <w:contextualSpacing/>
      </w:pPr>
    </w:p>
    <w:p w:rsidR="00BD5E6A" w:rsidRDefault="00BD5E6A" w:rsidP="00BD5E6A">
      <w:pPr>
        <w:spacing w:line="360" w:lineRule="auto"/>
        <w:contextualSpacing/>
      </w:pPr>
      <w:r>
        <w:lastRenderedPageBreak/>
        <w:tab/>
      </w:r>
      <w:r>
        <w:tab/>
      </w:r>
      <w:r w:rsidR="000957AD">
        <w:t>4</w:t>
      </w:r>
      <w:r>
        <w:t>.</w:t>
      </w:r>
      <w:r>
        <w:tab/>
        <w:t>That discovery disputes may be resolved via telephone conference with the presiding officer</w:t>
      </w:r>
      <w:r w:rsidR="000957AD">
        <w:t>s</w:t>
      </w:r>
      <w:r>
        <w:t xml:space="preserve"> without need of a motion to compel, although the propounding party may choose to file a formal motion to compel.</w:t>
      </w:r>
    </w:p>
    <w:p w:rsidR="00BD5E6A" w:rsidRDefault="00BD5E6A" w:rsidP="00BD5E6A">
      <w:pPr>
        <w:spacing w:line="360" w:lineRule="auto"/>
        <w:contextualSpacing/>
      </w:pPr>
    </w:p>
    <w:p w:rsidR="00BD5E6A" w:rsidRDefault="00BD5E6A" w:rsidP="00BD5E6A">
      <w:pPr>
        <w:spacing w:line="360" w:lineRule="auto"/>
        <w:contextualSpacing/>
      </w:pPr>
      <w:r>
        <w:tab/>
      </w:r>
      <w:r>
        <w:tab/>
      </w:r>
      <w:r w:rsidR="000957AD">
        <w:t>5</w:t>
      </w:r>
      <w:r>
        <w:t>.</w:t>
      </w:r>
      <w:r>
        <w:tab/>
        <w:t xml:space="preserve">Testimony shall be served </w:t>
      </w:r>
      <w:r w:rsidRPr="006C7DCF">
        <w:rPr>
          <w:u w:val="single"/>
        </w:rPr>
        <w:t>but not filed</w:t>
      </w:r>
      <w:r>
        <w:t xml:space="preserve">.  </w:t>
      </w:r>
    </w:p>
    <w:p w:rsidR="00BD5E6A" w:rsidRDefault="00BD5E6A" w:rsidP="00BD5E6A">
      <w:pPr>
        <w:spacing w:line="360" w:lineRule="auto"/>
        <w:contextualSpacing/>
      </w:pPr>
    </w:p>
    <w:p w:rsidR="00BD5E6A" w:rsidRDefault="00BD5E6A" w:rsidP="00BD5E6A">
      <w:pPr>
        <w:spacing w:line="360" w:lineRule="auto"/>
        <w:contextualSpacing/>
      </w:pPr>
      <w:r>
        <w:tab/>
      </w:r>
      <w:r>
        <w:tab/>
      </w:r>
      <w:r w:rsidR="000957AD">
        <w:t>6</w:t>
      </w:r>
      <w:r>
        <w:t>.</w:t>
      </w:r>
      <w:r>
        <w:tab/>
        <w:t>One week prior to the start of the evidentiary hearings, PPL Electric Utilities Corporation shall provide a completed witness listing and cross-examination grid to the presiding officer</w:t>
      </w:r>
      <w:r w:rsidR="000957AD">
        <w:t>s</w:t>
      </w:r>
      <w:r>
        <w:t xml:space="preserve">.  Parties shall complete the witness listing and cross-examination grid as developed by the Company.  </w:t>
      </w:r>
    </w:p>
    <w:p w:rsidR="00BD5E6A" w:rsidRDefault="00BD5E6A" w:rsidP="00BD5E6A">
      <w:pPr>
        <w:spacing w:line="360" w:lineRule="auto"/>
        <w:contextualSpacing/>
      </w:pPr>
    </w:p>
    <w:p w:rsidR="00BD5E6A" w:rsidRDefault="00BD5E6A" w:rsidP="00BD5E6A">
      <w:pPr>
        <w:spacing w:line="360" w:lineRule="auto"/>
        <w:contextualSpacing/>
      </w:pPr>
      <w:r>
        <w:tab/>
      </w:r>
      <w:r>
        <w:tab/>
      </w:r>
      <w:r w:rsidR="000957AD">
        <w:t>7</w:t>
      </w:r>
      <w:r>
        <w:t>.</w:t>
      </w:r>
      <w:r>
        <w:tab/>
        <w:t>All parties are directed to comply with the provisions of 52 Pa. Code</w:t>
      </w:r>
    </w:p>
    <w:p w:rsidR="00BD5E6A" w:rsidRDefault="00BD5E6A" w:rsidP="00BD5E6A">
      <w:pPr>
        <w:spacing w:line="360" w:lineRule="auto"/>
        <w:contextualSpacing/>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BD5E6A" w:rsidRDefault="00BD5E6A" w:rsidP="00BD5E6A">
      <w:pPr>
        <w:spacing w:line="360" w:lineRule="auto"/>
        <w:contextualSpacing/>
      </w:pPr>
    </w:p>
    <w:p w:rsidR="00BD5E6A" w:rsidRDefault="00BD5E6A" w:rsidP="00BD5E6A">
      <w:pPr>
        <w:spacing w:line="360" w:lineRule="auto"/>
        <w:contextualSpacing/>
      </w:pPr>
      <w:r>
        <w:tab/>
      </w:r>
      <w:r>
        <w:tab/>
      </w:r>
      <w:r w:rsidR="000957AD">
        <w:t>8</w:t>
      </w:r>
      <w:r>
        <w:t>.</w:t>
      </w:r>
      <w:r>
        <w:tab/>
        <w:t xml:space="preserve">Briefs must comply with 52 Pa. Code §§ 5.501 and 5.502.  </w:t>
      </w:r>
    </w:p>
    <w:p w:rsidR="00BD5E6A" w:rsidRDefault="00BD5E6A" w:rsidP="00BD5E6A">
      <w:pPr>
        <w:spacing w:line="360" w:lineRule="auto"/>
        <w:contextualSpacing/>
      </w:pPr>
    </w:p>
    <w:p w:rsidR="00BD5E6A" w:rsidRDefault="00BD5E6A" w:rsidP="00BD5E6A">
      <w:pPr>
        <w:spacing w:line="360" w:lineRule="auto"/>
        <w:contextualSpacing/>
      </w:pPr>
      <w:r>
        <w:tab/>
      </w:r>
      <w:r>
        <w:tab/>
      </w:r>
    </w:p>
    <w:p w:rsidR="00BD5E6A" w:rsidRDefault="00BD5E6A" w:rsidP="00BD5E6A">
      <w:pPr>
        <w:spacing w:line="360" w:lineRule="auto"/>
        <w:contextualSpacing/>
      </w:pPr>
    </w:p>
    <w:p w:rsidR="00BD5E6A" w:rsidRDefault="00BD5E6A" w:rsidP="00BD5E6A">
      <w:pPr>
        <w:contextualSpacing/>
      </w:pPr>
      <w:r>
        <w:t xml:space="preserve">Dated: </w:t>
      </w:r>
      <w:r>
        <w:tab/>
      </w:r>
      <w:r w:rsidR="000957AD">
        <w:rPr>
          <w:u w:val="single"/>
        </w:rPr>
        <w:t>December 20, 2011</w:t>
      </w:r>
      <w:r>
        <w:tab/>
      </w:r>
      <w:r>
        <w:tab/>
      </w:r>
      <w:r>
        <w:tab/>
        <w:t>__________________________________</w:t>
      </w:r>
    </w:p>
    <w:p w:rsidR="00BD5E6A" w:rsidRDefault="00BD5E6A" w:rsidP="00BD5E6A">
      <w:pPr>
        <w:contextualSpacing/>
      </w:pPr>
      <w:r>
        <w:tab/>
      </w:r>
      <w:r>
        <w:tab/>
      </w:r>
      <w:r>
        <w:tab/>
      </w:r>
      <w:r>
        <w:tab/>
      </w:r>
      <w:r>
        <w:tab/>
      </w:r>
      <w:r>
        <w:tab/>
        <w:t>Susan D. Colwell</w:t>
      </w:r>
    </w:p>
    <w:p w:rsidR="00BD5E6A" w:rsidRDefault="00BD5E6A" w:rsidP="00BD5E6A">
      <w:pPr>
        <w:ind w:left="720"/>
        <w:contextualSpacing/>
      </w:pPr>
      <w:r>
        <w:tab/>
      </w:r>
      <w:r>
        <w:tab/>
      </w:r>
      <w:r>
        <w:tab/>
      </w:r>
      <w:r>
        <w:tab/>
      </w:r>
      <w:r>
        <w:tab/>
        <w:t>Administrative Law Judge</w:t>
      </w:r>
    </w:p>
    <w:p w:rsidR="00C04960" w:rsidRDefault="00C04960" w:rsidP="00BD5E6A"/>
    <w:p w:rsidR="00E403ED" w:rsidRDefault="00E403ED" w:rsidP="00BD5E6A"/>
    <w:p w:rsidR="00E403ED" w:rsidRDefault="00E403ED" w:rsidP="00BD5E6A">
      <w:r>
        <w:tab/>
      </w:r>
      <w:r>
        <w:tab/>
      </w:r>
      <w:r>
        <w:tab/>
      </w:r>
      <w:r>
        <w:tab/>
      </w:r>
      <w:r>
        <w:tab/>
      </w:r>
      <w:r>
        <w:tab/>
        <w:t>___________________________________</w:t>
      </w:r>
    </w:p>
    <w:p w:rsidR="00E403ED" w:rsidRDefault="00E403ED" w:rsidP="00BD5E6A">
      <w:r>
        <w:tab/>
      </w:r>
      <w:r>
        <w:tab/>
      </w:r>
      <w:r>
        <w:tab/>
      </w:r>
      <w:r>
        <w:tab/>
      </w:r>
      <w:r>
        <w:tab/>
      </w:r>
      <w:r>
        <w:tab/>
        <w:t>Joel Cheskis</w:t>
      </w:r>
    </w:p>
    <w:p w:rsidR="00A963D2" w:rsidRDefault="00E403ED" w:rsidP="00BD5E6A">
      <w:pPr>
        <w:sectPr w:rsidR="00A963D2" w:rsidSect="00E403ED">
          <w:footerReference w:type="default" r:id="rId7"/>
          <w:pgSz w:w="12240" w:h="15840"/>
          <w:pgMar w:top="1440" w:right="1440" w:bottom="1440" w:left="1440" w:header="720" w:footer="720" w:gutter="0"/>
          <w:cols w:space="720"/>
          <w:titlePg/>
          <w:docGrid w:linePitch="360"/>
        </w:sectPr>
      </w:pPr>
      <w:r>
        <w:tab/>
      </w:r>
      <w:r>
        <w:tab/>
      </w:r>
      <w:r>
        <w:tab/>
      </w:r>
      <w:r>
        <w:tab/>
      </w:r>
      <w:r>
        <w:tab/>
      </w:r>
      <w:r>
        <w:tab/>
        <w:t>Administrative Law Judge</w:t>
      </w:r>
    </w:p>
    <w:p w:rsidR="00A963D2" w:rsidRPr="00A963D2" w:rsidRDefault="00A963D2" w:rsidP="00A963D2">
      <w:pPr>
        <w:rPr>
          <w:rFonts w:ascii="Microsoft Sans Serif" w:hAnsi="Microsoft Sans Serif" w:cs="Microsoft Sans Serif"/>
          <w:b/>
          <w:caps/>
          <w:u w:val="single"/>
        </w:rPr>
      </w:pPr>
      <w:r w:rsidRPr="00A963D2">
        <w:rPr>
          <w:rFonts w:ascii="Microsoft Sans Serif" w:hAnsi="Microsoft Sans Serif" w:cs="Microsoft Sans Serif"/>
          <w:b/>
          <w:caps/>
          <w:noProof/>
          <w:u w:val="single"/>
        </w:rPr>
        <w:lastRenderedPageBreak/>
        <w:t>M-2010-2179796</w:t>
      </w:r>
      <w:r w:rsidRPr="00A963D2">
        <w:rPr>
          <w:rFonts w:ascii="Microsoft Sans Serif" w:hAnsi="Microsoft Sans Serif" w:cs="Microsoft Sans Serif"/>
          <w:b/>
          <w:caps/>
          <w:u w:val="single"/>
        </w:rPr>
        <w:t xml:space="preserve"> - </w:t>
      </w:r>
      <w:r w:rsidRPr="00A963D2">
        <w:rPr>
          <w:rFonts w:ascii="Microsoft Sans Serif" w:hAnsi="Microsoft Sans Serif" w:cs="Microsoft Sans Serif"/>
          <w:b/>
          <w:caps/>
          <w:noProof/>
          <w:u w:val="single"/>
        </w:rPr>
        <w:t>PPL Electric Utilities Corporation</w:t>
      </w:r>
      <w:r w:rsidRPr="00A963D2">
        <w:rPr>
          <w:rFonts w:ascii="Microsoft Sans Serif" w:hAnsi="Microsoft Sans Serif" w:cs="Microsoft Sans Serif"/>
          <w:b/>
          <w:caps/>
          <w:u w:val="single"/>
        </w:rPr>
        <w:t xml:space="preserve"> </w:t>
      </w:r>
      <w:r w:rsidRPr="00A963D2">
        <w:rPr>
          <w:rFonts w:ascii="Microsoft Sans Serif" w:hAnsi="Microsoft Sans Serif" w:cs="Microsoft Sans Serif"/>
          <w:b/>
          <w:smallCaps/>
          <w:u w:val="single"/>
        </w:rPr>
        <w:t>v</w:t>
      </w:r>
      <w:r w:rsidRPr="00A963D2">
        <w:rPr>
          <w:rFonts w:ascii="Microsoft Sans Serif" w:hAnsi="Microsoft Sans Serif" w:cs="Microsoft Sans Serif"/>
          <w:b/>
          <w:caps/>
          <w:u w:val="single"/>
        </w:rPr>
        <w:t xml:space="preserve">. </w:t>
      </w:r>
      <w:r w:rsidRPr="00A963D2">
        <w:rPr>
          <w:rFonts w:ascii="Microsoft Sans Serif" w:hAnsi="Microsoft Sans Serif" w:cs="Microsoft Sans Serif"/>
          <w:b/>
          <w:caps/>
          <w:noProof/>
          <w:u w:val="single"/>
        </w:rPr>
        <w:t>Universal Service and Energy Conservation Plan for 2011 through 2013</w:t>
      </w: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Paul E</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Russell</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Esquire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PPL</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Two North Ninth Street</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Allentown</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PA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18101-1179</w:t>
      </w:r>
    </w:p>
    <w:p w:rsidR="00A963D2" w:rsidRPr="00A963D2" w:rsidRDefault="00A963D2" w:rsidP="00A963D2">
      <w:pPr>
        <w:rPr>
          <w:rFonts w:ascii="Microsoft Sans Serif" w:hAnsi="Microsoft Sans Serif" w:cs="Microsoft Sans Serif"/>
          <w:b/>
          <w:caps/>
        </w:rPr>
      </w:pPr>
      <w:r w:rsidRPr="00A963D2">
        <w:rPr>
          <w:rFonts w:ascii="Microsoft Sans Serif" w:hAnsi="Microsoft Sans Serif" w:cs="Microsoft Sans Serif"/>
          <w:b/>
          <w:caps/>
          <w:noProof/>
        </w:rPr>
        <w:t>610.774.4254</w:t>
      </w: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Darryl</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Lawrence</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Esquire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Office of Consumer Advocate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5th Floor Forum Place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555 Walnut Street</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Harrisburg</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PA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17101-1923</w:t>
      </w: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William R</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Lloyd Jr</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Esquire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Office of Small Business Advocate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 xml:space="preserve">1102 </w:t>
      </w:r>
      <w:smartTag w:uri="urn:schemas-microsoft-com:office:smarttags" w:element="PostalCode">
        <w:r w:rsidRPr="00A963D2">
          <w:rPr>
            <w:rFonts w:ascii="Microsoft Sans Serif" w:hAnsi="Microsoft Sans Serif" w:cs="Microsoft Sans Serif"/>
            <w:caps/>
            <w:noProof/>
          </w:rPr>
          <w:t>Commerce</w:t>
        </w:r>
      </w:smartTag>
      <w:r w:rsidRPr="00A963D2">
        <w:rPr>
          <w:rFonts w:ascii="Microsoft Sans Serif" w:hAnsi="Microsoft Sans Serif" w:cs="Microsoft Sans Serif"/>
          <w:caps/>
          <w:noProof/>
        </w:rPr>
        <w:t xml:space="preserve"> Building</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300 North Second Street</w:t>
      </w:r>
    </w:p>
    <w:p w:rsidR="00A963D2" w:rsidRPr="00A963D2" w:rsidRDefault="00A963D2" w:rsidP="00A963D2">
      <w:pPr>
        <w:rPr>
          <w:rFonts w:ascii="Microsoft Sans Serif" w:hAnsi="Microsoft Sans Serif" w:cs="Microsoft Sans Serif"/>
          <w:caps/>
          <w:noProof/>
        </w:rPr>
      </w:pPr>
      <w:r w:rsidRPr="00A963D2">
        <w:rPr>
          <w:rFonts w:ascii="Microsoft Sans Serif" w:hAnsi="Microsoft Sans Serif" w:cs="Microsoft Sans Serif"/>
          <w:caps/>
          <w:noProof/>
        </w:rPr>
        <w:t>Harrisburg</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PA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17101</w:t>
      </w: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Richard 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Kanaskie</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Esquire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PA PUC Office of Trial Staff</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PO Box 3265</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Harrisburg</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PA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17105-3265</w:t>
      </w: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Craig R</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Burgraff</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Esquire</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Hawke McKeon &amp; Sniscak LLP</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100 North Tenth Street</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PO Box 1778</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Harrisburg</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PA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17105</w:t>
      </w:r>
    </w:p>
    <w:p w:rsidR="00A963D2" w:rsidRPr="00A963D2" w:rsidRDefault="00A963D2" w:rsidP="00A963D2">
      <w:pPr>
        <w:rPr>
          <w:rFonts w:ascii="Microsoft Sans Serif" w:hAnsi="Microsoft Sans Serif" w:cs="Microsoft Sans Serif"/>
          <w:b/>
          <w:caps/>
        </w:rPr>
      </w:pPr>
      <w:r w:rsidRPr="00A963D2">
        <w:rPr>
          <w:rFonts w:ascii="Microsoft Sans Serif" w:hAnsi="Microsoft Sans Serif" w:cs="Microsoft Sans Serif"/>
          <w:b/>
          <w:caps/>
          <w:noProof/>
        </w:rPr>
        <w:t>717.236.1300</w:t>
      </w:r>
    </w:p>
    <w:p w:rsidR="00A963D2" w:rsidRPr="00A963D2" w:rsidRDefault="00A963D2" w:rsidP="00A963D2">
      <w:pPr>
        <w:rPr>
          <w:rFonts w:ascii="Microsoft Sans Serif" w:hAnsi="Microsoft Sans Serif" w:cs="Microsoft Sans Serif"/>
          <w:caps/>
        </w:rPr>
      </w:pP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Eric Joseph</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Epstein</w:t>
      </w:r>
      <w:r w:rsidRPr="00A963D2">
        <w:rPr>
          <w:rFonts w:ascii="Microsoft Sans Serif" w:hAnsi="Microsoft Sans Serif" w:cs="Microsoft Sans Serif"/>
          <w:caps/>
        </w:rPr>
        <w:t xml:space="preserve"> </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4100 Hillsdale Road</w:t>
      </w:r>
    </w:p>
    <w:p w:rsidR="00A963D2" w:rsidRPr="00A963D2" w:rsidRDefault="00A963D2" w:rsidP="00A963D2">
      <w:pPr>
        <w:rPr>
          <w:rFonts w:ascii="Microsoft Sans Serif" w:hAnsi="Microsoft Sans Serif" w:cs="Microsoft Sans Serif"/>
          <w:caps/>
        </w:rPr>
      </w:pPr>
      <w:r w:rsidRPr="00A963D2">
        <w:rPr>
          <w:rFonts w:ascii="Microsoft Sans Serif" w:hAnsi="Microsoft Sans Serif" w:cs="Microsoft Sans Serif"/>
          <w:caps/>
          <w:noProof/>
        </w:rPr>
        <w:t>Harrisburg</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PA</w:t>
      </w:r>
      <w:r w:rsidRPr="00A963D2">
        <w:rPr>
          <w:rFonts w:ascii="Microsoft Sans Serif" w:hAnsi="Microsoft Sans Serif" w:cs="Microsoft Sans Serif"/>
          <w:caps/>
        </w:rPr>
        <w:t xml:space="preserve">  </w:t>
      </w:r>
      <w:r w:rsidRPr="00A963D2">
        <w:rPr>
          <w:rFonts w:ascii="Microsoft Sans Serif" w:hAnsi="Microsoft Sans Serif" w:cs="Microsoft Sans Serif"/>
          <w:caps/>
          <w:noProof/>
        </w:rPr>
        <w:t>17112</w:t>
      </w:r>
    </w:p>
    <w:p w:rsidR="00A963D2" w:rsidRPr="00A963D2" w:rsidRDefault="00A963D2" w:rsidP="00A963D2">
      <w:pPr>
        <w:rPr>
          <w:rFonts w:ascii="Microsoft Sans Serif" w:hAnsi="Microsoft Sans Serif" w:cs="Microsoft Sans Serif"/>
          <w:b/>
          <w:caps/>
        </w:rPr>
      </w:pPr>
      <w:r w:rsidRPr="00A963D2">
        <w:rPr>
          <w:rFonts w:ascii="Microsoft Sans Serif" w:hAnsi="Microsoft Sans Serif" w:cs="Microsoft Sans Serif"/>
          <w:b/>
          <w:caps/>
          <w:noProof/>
        </w:rPr>
        <w:t>717.541.1101</w:t>
      </w:r>
    </w:p>
    <w:p w:rsidR="00E403ED" w:rsidRDefault="00E403ED" w:rsidP="00BD5E6A">
      <w:bookmarkStart w:id="0" w:name="_GoBack"/>
      <w:bookmarkEnd w:id="0"/>
    </w:p>
    <w:sectPr w:rsidR="00E403ED" w:rsidSect="00D67F00">
      <w:pgSz w:w="12240" w:h="15840" w:code="1"/>
      <w:pgMar w:top="1440" w:right="720" w:bottom="1440" w:left="72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93" w:rsidRDefault="00244193" w:rsidP="00E403ED">
      <w:r>
        <w:separator/>
      </w:r>
    </w:p>
  </w:endnote>
  <w:endnote w:type="continuationSeparator" w:id="0">
    <w:p w:rsidR="00244193" w:rsidRDefault="00244193" w:rsidP="00E4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61066"/>
      <w:docPartObj>
        <w:docPartGallery w:val="Page Numbers (Bottom of Page)"/>
        <w:docPartUnique/>
      </w:docPartObj>
    </w:sdtPr>
    <w:sdtEndPr>
      <w:rPr>
        <w:noProof/>
      </w:rPr>
    </w:sdtEndPr>
    <w:sdtContent>
      <w:p w:rsidR="00E403ED" w:rsidRDefault="00E403ED">
        <w:pPr>
          <w:pStyle w:val="Footer"/>
          <w:jc w:val="center"/>
        </w:pPr>
        <w:r>
          <w:fldChar w:fldCharType="begin"/>
        </w:r>
        <w:r>
          <w:instrText xml:space="preserve"> PAGE   \* MERGEFORMAT </w:instrText>
        </w:r>
        <w:r>
          <w:fldChar w:fldCharType="separate"/>
        </w:r>
        <w:r w:rsidR="00A963D2">
          <w:rPr>
            <w:noProof/>
          </w:rPr>
          <w:t>3</w:t>
        </w:r>
        <w:r>
          <w:rPr>
            <w:noProof/>
          </w:rPr>
          <w:fldChar w:fldCharType="end"/>
        </w:r>
      </w:p>
    </w:sdtContent>
  </w:sdt>
  <w:p w:rsidR="00E403ED" w:rsidRDefault="00E40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93" w:rsidRDefault="00244193" w:rsidP="00E403ED">
      <w:r>
        <w:separator/>
      </w:r>
    </w:p>
  </w:footnote>
  <w:footnote w:type="continuationSeparator" w:id="0">
    <w:p w:rsidR="00244193" w:rsidRDefault="00244193" w:rsidP="00E40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6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163F"/>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7AD"/>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1C30"/>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4193"/>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04EE"/>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29C"/>
    <w:rsid w:val="0079132B"/>
    <w:rsid w:val="0079360E"/>
    <w:rsid w:val="00795245"/>
    <w:rsid w:val="0079539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3D2"/>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5E6A"/>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03ED"/>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C7B7F"/>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6A"/>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3ED"/>
    <w:pPr>
      <w:tabs>
        <w:tab w:val="center" w:pos="4680"/>
        <w:tab w:val="right" w:pos="9360"/>
      </w:tabs>
    </w:pPr>
  </w:style>
  <w:style w:type="character" w:customStyle="1" w:styleId="HeaderChar">
    <w:name w:val="Header Char"/>
    <w:basedOn w:val="DefaultParagraphFont"/>
    <w:link w:val="Header"/>
    <w:uiPriority w:val="99"/>
    <w:rsid w:val="00E403ED"/>
    <w:rPr>
      <w:rFonts w:eastAsia="Times New Roman"/>
    </w:rPr>
  </w:style>
  <w:style w:type="paragraph" w:styleId="Footer">
    <w:name w:val="footer"/>
    <w:basedOn w:val="Normal"/>
    <w:link w:val="FooterChar"/>
    <w:uiPriority w:val="99"/>
    <w:unhideWhenUsed/>
    <w:rsid w:val="00E403ED"/>
    <w:pPr>
      <w:tabs>
        <w:tab w:val="center" w:pos="4680"/>
        <w:tab w:val="right" w:pos="9360"/>
      </w:tabs>
    </w:pPr>
  </w:style>
  <w:style w:type="character" w:customStyle="1" w:styleId="FooterChar">
    <w:name w:val="Footer Char"/>
    <w:basedOn w:val="DefaultParagraphFont"/>
    <w:link w:val="Footer"/>
    <w:uiPriority w:val="99"/>
    <w:rsid w:val="00E403E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6A"/>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3ED"/>
    <w:pPr>
      <w:tabs>
        <w:tab w:val="center" w:pos="4680"/>
        <w:tab w:val="right" w:pos="9360"/>
      </w:tabs>
    </w:pPr>
  </w:style>
  <w:style w:type="character" w:customStyle="1" w:styleId="HeaderChar">
    <w:name w:val="Header Char"/>
    <w:basedOn w:val="DefaultParagraphFont"/>
    <w:link w:val="Header"/>
    <w:uiPriority w:val="99"/>
    <w:rsid w:val="00E403ED"/>
    <w:rPr>
      <w:rFonts w:eastAsia="Times New Roman"/>
    </w:rPr>
  </w:style>
  <w:style w:type="paragraph" w:styleId="Footer">
    <w:name w:val="footer"/>
    <w:basedOn w:val="Normal"/>
    <w:link w:val="FooterChar"/>
    <w:uiPriority w:val="99"/>
    <w:unhideWhenUsed/>
    <w:rsid w:val="00E403ED"/>
    <w:pPr>
      <w:tabs>
        <w:tab w:val="center" w:pos="4680"/>
        <w:tab w:val="right" w:pos="9360"/>
      </w:tabs>
    </w:pPr>
  </w:style>
  <w:style w:type="character" w:customStyle="1" w:styleId="FooterChar">
    <w:name w:val="Footer Char"/>
    <w:basedOn w:val="DefaultParagraphFont"/>
    <w:link w:val="Footer"/>
    <w:uiPriority w:val="99"/>
    <w:rsid w:val="00E403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dcterms:created xsi:type="dcterms:W3CDTF">2011-12-21T15:24:00Z</dcterms:created>
  <dcterms:modified xsi:type="dcterms:W3CDTF">2011-12-21T15:26:00Z</dcterms:modified>
</cp:coreProperties>
</file>