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F7766">
        <w:rPr>
          <w:rFonts w:ascii="Arial" w:hAnsi="Arial" w:cs="Arial"/>
          <w:b/>
          <w:spacing w:val="-3"/>
          <w:szCs w:val="24"/>
        </w:rPr>
        <w:t>DECEMBER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F7766">
        <w:rPr>
          <w:rFonts w:ascii="Arial" w:hAnsi="Arial" w:cs="Arial"/>
          <w:spacing w:val="-3"/>
          <w:szCs w:val="24"/>
        </w:rPr>
        <w:t>C-2011-2279570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F7766">
        <w:rPr>
          <w:rFonts w:ascii="Arial" w:hAnsi="Arial" w:cs="Arial"/>
          <w:spacing w:val="-3"/>
          <w:szCs w:val="24"/>
        </w:rPr>
        <w:t>JAMES MARTIN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F7766">
        <w:rPr>
          <w:rFonts w:ascii="Arial" w:hAnsi="Arial" w:cs="Arial"/>
          <w:spacing w:val="-3"/>
          <w:szCs w:val="24"/>
        </w:rPr>
        <w:t>DECEMBER 23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F7766">
        <w:rPr>
          <w:rFonts w:ascii="Arial" w:hAnsi="Arial" w:cs="Arial"/>
          <w:b/>
          <w:spacing w:val="-3"/>
          <w:szCs w:val="24"/>
        </w:rPr>
        <w:t>DECEMBER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F7766" w:rsidP="00904E0D">
            <w:pPr>
              <w:tabs>
                <w:tab w:val="left" w:pos="-720"/>
              </w:tabs>
              <w:suppressAutoHyphens/>
              <w:spacing w:before="90"/>
              <w:rPr>
                <w:rFonts w:ascii="Arial" w:hAnsi="Arial" w:cs="Arial"/>
                <w:spacing w:val="-3"/>
                <w:szCs w:val="24"/>
              </w:rPr>
            </w:pPr>
            <w:r>
              <w:rPr>
                <w:rFonts w:ascii="Arial" w:hAnsi="Arial" w:cs="Arial"/>
                <w:b/>
                <w:spacing w:val="-3"/>
                <w:szCs w:val="24"/>
              </w:rPr>
              <w:t>JAMES MARTIN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6F7766">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F776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F7766">
              <w:rPr>
                <w:rFonts w:ascii="Arial" w:hAnsi="Arial" w:cs="Arial"/>
                <w:b/>
                <w:spacing w:val="-3"/>
                <w:szCs w:val="24"/>
              </w:rPr>
              <w:t>C-2011-2279570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6F7766">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D3E" w:rsidRDefault="00156D3E">
      <w:pPr>
        <w:spacing w:line="20" w:lineRule="exact"/>
      </w:pPr>
    </w:p>
  </w:endnote>
  <w:endnote w:type="continuationSeparator" w:id="0">
    <w:p w:rsidR="00156D3E" w:rsidRDefault="00156D3E">
      <w:r>
        <w:t xml:space="preserve"> </w:t>
      </w:r>
    </w:p>
  </w:endnote>
  <w:endnote w:type="continuationNotice" w:id="1">
    <w:p w:rsidR="00156D3E" w:rsidRDefault="00156D3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D3E" w:rsidRDefault="00156D3E">
      <w:r>
        <w:separator/>
      </w:r>
    </w:p>
  </w:footnote>
  <w:footnote w:type="continuationSeparator" w:id="0">
    <w:p w:rsidR="00156D3E" w:rsidRDefault="00156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56D3E"/>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6F7766"/>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2011-12-22T21:08:00Z</cp:lastPrinted>
  <dcterms:created xsi:type="dcterms:W3CDTF">2011-12-22T21:08:00Z</dcterms:created>
  <dcterms:modified xsi:type="dcterms:W3CDTF">2011-12-22T21:08:00Z</dcterms:modified>
</cp:coreProperties>
</file>