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08D" w:rsidRPr="005441F7" w:rsidRDefault="0082408D" w:rsidP="005441F7">
      <w:pPr>
        <w:pStyle w:val="Title"/>
        <w:rPr>
          <w:rFonts w:ascii="Times New Roman" w:hAnsi="Times New Roman"/>
          <w:szCs w:val="24"/>
        </w:rPr>
      </w:pPr>
      <w:r w:rsidRPr="005441F7">
        <w:rPr>
          <w:rFonts w:ascii="Times New Roman" w:hAnsi="Times New Roman"/>
          <w:szCs w:val="24"/>
        </w:rPr>
        <w:t>BEFORE THE</w:t>
      </w:r>
    </w:p>
    <w:p w:rsidR="0082408D" w:rsidRPr="005441F7" w:rsidRDefault="0082408D" w:rsidP="005441F7">
      <w:pPr>
        <w:pStyle w:val="Subtitle"/>
        <w:rPr>
          <w:rFonts w:ascii="Times New Roman" w:hAnsi="Times New Roman"/>
          <w:szCs w:val="24"/>
        </w:rPr>
      </w:pPr>
      <w:r w:rsidRPr="005441F7">
        <w:rPr>
          <w:rFonts w:ascii="Times New Roman" w:hAnsi="Times New Roman"/>
          <w:szCs w:val="24"/>
        </w:rPr>
        <w:t>PENNSYLVANIA PUBLIC UTILITY COMMISSION</w:t>
      </w:r>
    </w:p>
    <w:p w:rsidR="0082408D" w:rsidRPr="005441F7" w:rsidRDefault="0082408D" w:rsidP="005441F7">
      <w:pPr>
        <w:jc w:val="both"/>
        <w:rPr>
          <w:sz w:val="24"/>
          <w:szCs w:val="24"/>
        </w:rPr>
      </w:pPr>
    </w:p>
    <w:p w:rsidR="0082408D" w:rsidRDefault="0082408D" w:rsidP="005441F7">
      <w:pPr>
        <w:jc w:val="both"/>
        <w:rPr>
          <w:sz w:val="24"/>
          <w:szCs w:val="24"/>
        </w:rPr>
      </w:pPr>
    </w:p>
    <w:p w:rsidR="005441F7" w:rsidRPr="005441F7" w:rsidRDefault="005441F7" w:rsidP="005441F7">
      <w:pPr>
        <w:jc w:val="both"/>
        <w:rPr>
          <w:sz w:val="24"/>
          <w:szCs w:val="24"/>
        </w:rPr>
      </w:pPr>
    </w:p>
    <w:p w:rsidR="006555D7" w:rsidRPr="005441F7" w:rsidRDefault="001048D8" w:rsidP="005441F7">
      <w:pPr>
        <w:jc w:val="both"/>
        <w:rPr>
          <w:sz w:val="24"/>
          <w:szCs w:val="24"/>
        </w:rPr>
      </w:pPr>
      <w:r w:rsidRPr="005441F7">
        <w:rPr>
          <w:sz w:val="24"/>
          <w:szCs w:val="24"/>
        </w:rPr>
        <w:t>Heather L. Schmidt</w:t>
      </w:r>
      <w:r w:rsidR="007042D6" w:rsidRPr="005441F7">
        <w:rPr>
          <w:sz w:val="24"/>
          <w:szCs w:val="24"/>
        </w:rPr>
        <w:tab/>
      </w:r>
      <w:r w:rsidR="007042D6" w:rsidRPr="005441F7">
        <w:rPr>
          <w:sz w:val="24"/>
          <w:szCs w:val="24"/>
        </w:rPr>
        <w:tab/>
      </w:r>
      <w:r w:rsidR="007042D6" w:rsidRPr="005441F7">
        <w:rPr>
          <w:sz w:val="24"/>
          <w:szCs w:val="24"/>
        </w:rPr>
        <w:tab/>
      </w:r>
      <w:r w:rsidR="007042D6" w:rsidRPr="005441F7">
        <w:rPr>
          <w:sz w:val="24"/>
          <w:szCs w:val="24"/>
        </w:rPr>
        <w:tab/>
      </w:r>
      <w:r w:rsidR="007042D6" w:rsidRPr="005441F7">
        <w:rPr>
          <w:sz w:val="24"/>
          <w:szCs w:val="24"/>
        </w:rPr>
        <w:tab/>
        <w:t>:</w:t>
      </w:r>
    </w:p>
    <w:p w:rsidR="0082408D" w:rsidRPr="005441F7" w:rsidRDefault="006555D7" w:rsidP="005441F7">
      <w:pPr>
        <w:jc w:val="both"/>
        <w:rPr>
          <w:sz w:val="24"/>
          <w:szCs w:val="24"/>
        </w:rPr>
      </w:pP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t>:</w:t>
      </w:r>
    </w:p>
    <w:p w:rsidR="0082408D" w:rsidRPr="005441F7" w:rsidRDefault="0082408D" w:rsidP="005441F7">
      <w:pPr>
        <w:jc w:val="both"/>
        <w:rPr>
          <w:sz w:val="24"/>
          <w:szCs w:val="24"/>
        </w:rPr>
      </w:pPr>
      <w:r w:rsidRPr="005441F7">
        <w:rPr>
          <w:sz w:val="24"/>
          <w:szCs w:val="24"/>
        </w:rPr>
        <w:tab/>
        <w:t>v.</w:t>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t>:</w:t>
      </w:r>
      <w:r w:rsidR="006555D7" w:rsidRPr="005441F7">
        <w:rPr>
          <w:sz w:val="24"/>
          <w:szCs w:val="24"/>
        </w:rPr>
        <w:tab/>
      </w:r>
      <w:r w:rsidR="006555D7" w:rsidRPr="005441F7">
        <w:rPr>
          <w:sz w:val="24"/>
          <w:szCs w:val="24"/>
        </w:rPr>
        <w:tab/>
      </w:r>
      <w:r w:rsidR="009C54F8">
        <w:rPr>
          <w:sz w:val="24"/>
          <w:szCs w:val="24"/>
        </w:rPr>
        <w:tab/>
      </w:r>
      <w:r w:rsidR="001048D8" w:rsidRPr="005441F7">
        <w:rPr>
          <w:sz w:val="24"/>
          <w:szCs w:val="24"/>
        </w:rPr>
        <w:t>F-2011-2222509</w:t>
      </w:r>
    </w:p>
    <w:p w:rsidR="0082408D" w:rsidRPr="005441F7" w:rsidRDefault="0082408D" w:rsidP="005441F7">
      <w:pPr>
        <w:ind w:firstLine="720"/>
        <w:jc w:val="both"/>
        <w:rPr>
          <w:sz w:val="24"/>
          <w:szCs w:val="24"/>
        </w:rPr>
      </w:pP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t>:</w:t>
      </w:r>
    </w:p>
    <w:p w:rsidR="0082408D" w:rsidRPr="005441F7" w:rsidRDefault="0082408D" w:rsidP="005441F7">
      <w:pPr>
        <w:jc w:val="both"/>
        <w:rPr>
          <w:sz w:val="24"/>
          <w:szCs w:val="24"/>
        </w:rPr>
      </w:pPr>
      <w:r w:rsidRPr="005441F7">
        <w:rPr>
          <w:sz w:val="24"/>
          <w:szCs w:val="24"/>
        </w:rPr>
        <w:t>P</w:t>
      </w:r>
      <w:r w:rsidR="001048D8" w:rsidRPr="005441F7">
        <w:rPr>
          <w:sz w:val="24"/>
          <w:szCs w:val="24"/>
        </w:rPr>
        <w:t>PL Electric Utilities Corporation</w:t>
      </w:r>
      <w:r w:rsidRPr="005441F7">
        <w:rPr>
          <w:sz w:val="24"/>
          <w:szCs w:val="24"/>
        </w:rPr>
        <w:tab/>
      </w:r>
      <w:r w:rsidRPr="005441F7">
        <w:rPr>
          <w:sz w:val="24"/>
          <w:szCs w:val="24"/>
        </w:rPr>
        <w:tab/>
      </w:r>
      <w:r w:rsidRPr="005441F7">
        <w:rPr>
          <w:sz w:val="24"/>
          <w:szCs w:val="24"/>
        </w:rPr>
        <w:tab/>
        <w:t>:</w:t>
      </w:r>
    </w:p>
    <w:p w:rsidR="0082408D" w:rsidRPr="005441F7" w:rsidRDefault="0082408D" w:rsidP="005441F7">
      <w:pPr>
        <w:jc w:val="both"/>
        <w:rPr>
          <w:sz w:val="24"/>
          <w:szCs w:val="24"/>
        </w:rPr>
      </w:pPr>
    </w:p>
    <w:p w:rsidR="0082408D" w:rsidRPr="005441F7" w:rsidRDefault="0082408D" w:rsidP="005441F7">
      <w:pPr>
        <w:jc w:val="both"/>
        <w:rPr>
          <w:sz w:val="24"/>
          <w:szCs w:val="24"/>
        </w:rPr>
      </w:pPr>
    </w:p>
    <w:p w:rsidR="006555D7" w:rsidRPr="005441F7" w:rsidRDefault="006555D7" w:rsidP="005441F7">
      <w:pPr>
        <w:jc w:val="both"/>
        <w:rPr>
          <w:sz w:val="24"/>
          <w:szCs w:val="24"/>
        </w:rPr>
      </w:pPr>
    </w:p>
    <w:p w:rsidR="0082408D" w:rsidRPr="005441F7" w:rsidRDefault="0082408D" w:rsidP="005441F7">
      <w:pPr>
        <w:pStyle w:val="Heading1"/>
        <w:rPr>
          <w:rFonts w:ascii="Times New Roman" w:hAnsi="Times New Roman"/>
          <w:szCs w:val="24"/>
        </w:rPr>
      </w:pPr>
      <w:r w:rsidRPr="005441F7">
        <w:rPr>
          <w:rFonts w:ascii="Times New Roman" w:hAnsi="Times New Roman"/>
          <w:szCs w:val="24"/>
        </w:rPr>
        <w:t>INITIAL DECISION</w:t>
      </w:r>
    </w:p>
    <w:p w:rsidR="0082408D" w:rsidRPr="009C54F8" w:rsidRDefault="0082408D" w:rsidP="005441F7">
      <w:pPr>
        <w:jc w:val="center"/>
        <w:rPr>
          <w:sz w:val="24"/>
          <w:szCs w:val="24"/>
        </w:rPr>
      </w:pPr>
    </w:p>
    <w:p w:rsidR="0082408D" w:rsidRPr="009C54F8" w:rsidRDefault="0082408D" w:rsidP="005441F7">
      <w:pPr>
        <w:jc w:val="center"/>
        <w:rPr>
          <w:sz w:val="24"/>
          <w:szCs w:val="24"/>
        </w:rPr>
      </w:pPr>
    </w:p>
    <w:p w:rsidR="0082408D" w:rsidRPr="009C54F8" w:rsidRDefault="0082408D" w:rsidP="005441F7">
      <w:pPr>
        <w:pStyle w:val="Heading2"/>
        <w:rPr>
          <w:rFonts w:ascii="Times New Roman" w:hAnsi="Times New Roman"/>
          <w:b w:val="0"/>
          <w:szCs w:val="24"/>
        </w:rPr>
      </w:pPr>
      <w:r w:rsidRPr="009C54F8">
        <w:rPr>
          <w:rFonts w:ascii="Times New Roman" w:hAnsi="Times New Roman"/>
          <w:b w:val="0"/>
          <w:szCs w:val="24"/>
        </w:rPr>
        <w:t>Before</w:t>
      </w:r>
    </w:p>
    <w:p w:rsidR="0082408D" w:rsidRPr="009C54F8" w:rsidRDefault="0079457E" w:rsidP="005441F7">
      <w:pPr>
        <w:jc w:val="center"/>
        <w:rPr>
          <w:sz w:val="24"/>
          <w:szCs w:val="24"/>
        </w:rPr>
      </w:pPr>
      <w:r w:rsidRPr="009C54F8">
        <w:rPr>
          <w:sz w:val="24"/>
          <w:szCs w:val="24"/>
        </w:rPr>
        <w:t>Dennis J. Buckley</w:t>
      </w:r>
    </w:p>
    <w:p w:rsidR="0082408D" w:rsidRPr="009C54F8" w:rsidRDefault="0082408D" w:rsidP="005441F7">
      <w:pPr>
        <w:jc w:val="center"/>
        <w:rPr>
          <w:sz w:val="24"/>
          <w:szCs w:val="24"/>
        </w:rPr>
      </w:pPr>
      <w:r w:rsidRPr="009C54F8">
        <w:rPr>
          <w:sz w:val="24"/>
          <w:szCs w:val="24"/>
        </w:rPr>
        <w:t>Administrative Law Judge</w:t>
      </w:r>
    </w:p>
    <w:p w:rsidR="0082408D" w:rsidRPr="009C54F8" w:rsidRDefault="0082408D" w:rsidP="005441F7">
      <w:pPr>
        <w:jc w:val="center"/>
        <w:rPr>
          <w:sz w:val="24"/>
          <w:szCs w:val="24"/>
        </w:rPr>
      </w:pPr>
    </w:p>
    <w:p w:rsidR="0082408D" w:rsidRPr="009C54F8" w:rsidRDefault="0082408D" w:rsidP="005441F7">
      <w:pPr>
        <w:jc w:val="center"/>
        <w:rPr>
          <w:sz w:val="24"/>
          <w:szCs w:val="24"/>
        </w:rPr>
      </w:pPr>
    </w:p>
    <w:p w:rsidR="0082408D" w:rsidRPr="009C54F8" w:rsidRDefault="0082408D" w:rsidP="005441F7">
      <w:pPr>
        <w:pStyle w:val="Heading1"/>
        <w:tabs>
          <w:tab w:val="left" w:pos="1980"/>
        </w:tabs>
        <w:rPr>
          <w:rFonts w:ascii="Times New Roman" w:hAnsi="Times New Roman"/>
          <w:b w:val="0"/>
          <w:szCs w:val="24"/>
        </w:rPr>
      </w:pPr>
      <w:r w:rsidRPr="009C54F8">
        <w:rPr>
          <w:rFonts w:ascii="Times New Roman" w:hAnsi="Times New Roman"/>
          <w:b w:val="0"/>
          <w:szCs w:val="24"/>
        </w:rPr>
        <w:t>HISTORY OF THE PROCEEDING</w:t>
      </w:r>
    </w:p>
    <w:p w:rsidR="0082408D" w:rsidRPr="009C54F8" w:rsidRDefault="0082408D" w:rsidP="005441F7">
      <w:pPr>
        <w:rPr>
          <w:sz w:val="24"/>
          <w:szCs w:val="24"/>
        </w:rPr>
      </w:pPr>
    </w:p>
    <w:p w:rsidR="005441F7" w:rsidRPr="009C54F8" w:rsidRDefault="005441F7" w:rsidP="005441F7">
      <w:pPr>
        <w:rPr>
          <w:sz w:val="24"/>
          <w:szCs w:val="24"/>
        </w:rPr>
      </w:pPr>
    </w:p>
    <w:p w:rsidR="00361A4C" w:rsidRPr="005441F7" w:rsidRDefault="00D332C3" w:rsidP="005441F7">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 xml:space="preserve">On </w:t>
      </w:r>
      <w:r w:rsidR="00361A4C" w:rsidRPr="005441F7">
        <w:rPr>
          <w:rFonts w:ascii="Times New Roman" w:hAnsi="Times New Roman"/>
          <w:szCs w:val="24"/>
        </w:rPr>
        <w:t>January 25, 2011, Heather L. Schmidt (</w:t>
      </w:r>
      <w:r w:rsidRPr="005441F7">
        <w:rPr>
          <w:rFonts w:ascii="Times New Roman" w:hAnsi="Times New Roman"/>
          <w:szCs w:val="24"/>
        </w:rPr>
        <w:t xml:space="preserve">Complainant) filed a </w:t>
      </w:r>
      <w:r w:rsidR="000750BE" w:rsidRPr="005441F7">
        <w:rPr>
          <w:rFonts w:ascii="Times New Roman" w:hAnsi="Times New Roman"/>
          <w:szCs w:val="24"/>
        </w:rPr>
        <w:t>formal C</w:t>
      </w:r>
      <w:r w:rsidRPr="005441F7">
        <w:rPr>
          <w:rFonts w:ascii="Times New Roman" w:hAnsi="Times New Roman"/>
          <w:szCs w:val="24"/>
        </w:rPr>
        <w:t xml:space="preserve">omplaint with the Pennsylvania Public Utility Commission (Commission) against </w:t>
      </w:r>
      <w:r w:rsidR="00361A4C" w:rsidRPr="005441F7">
        <w:rPr>
          <w:rFonts w:ascii="Times New Roman" w:hAnsi="Times New Roman"/>
          <w:szCs w:val="24"/>
        </w:rPr>
        <w:t xml:space="preserve">PPL Electric Utilities Corporation (PPL or Respondent) </w:t>
      </w:r>
      <w:r w:rsidRPr="005441F7">
        <w:rPr>
          <w:rFonts w:ascii="Times New Roman" w:hAnsi="Times New Roman"/>
          <w:szCs w:val="24"/>
        </w:rPr>
        <w:t>alleging</w:t>
      </w:r>
      <w:r w:rsidR="00361A4C" w:rsidRPr="005441F7">
        <w:rPr>
          <w:rFonts w:ascii="Times New Roman" w:hAnsi="Times New Roman"/>
          <w:szCs w:val="24"/>
        </w:rPr>
        <w:t xml:space="preserve"> that the Complainant </w:t>
      </w:r>
      <w:r w:rsidR="005441F7">
        <w:rPr>
          <w:rFonts w:ascii="Times New Roman" w:hAnsi="Times New Roman"/>
          <w:szCs w:val="24"/>
        </w:rPr>
        <w:t>had been incarcerated on August </w:t>
      </w:r>
      <w:r w:rsidR="00361A4C" w:rsidRPr="005441F7">
        <w:rPr>
          <w:rFonts w:ascii="Times New Roman" w:hAnsi="Times New Roman"/>
          <w:szCs w:val="24"/>
        </w:rPr>
        <w:t>11, 2010, and declining responsibility for payment for electric service at her prior address from the date of her incarceration, forward, because Complainant claimed not to have access to a telephone so as to request disconnection of the electric service.</w:t>
      </w:r>
      <w:r w:rsidR="00361A4C" w:rsidRPr="005441F7">
        <w:rPr>
          <w:rStyle w:val="FootnoteReference"/>
          <w:rFonts w:ascii="Times New Roman" w:hAnsi="Times New Roman"/>
          <w:szCs w:val="24"/>
        </w:rPr>
        <w:footnoteReference w:id="1"/>
      </w:r>
      <w:r w:rsidR="00361A4C" w:rsidRPr="005441F7">
        <w:rPr>
          <w:rFonts w:ascii="Times New Roman" w:hAnsi="Times New Roman"/>
          <w:szCs w:val="24"/>
        </w:rPr>
        <w:t xml:space="preserve">  The Complainant </w:t>
      </w:r>
      <w:r w:rsidR="00F766E3" w:rsidRPr="005441F7">
        <w:rPr>
          <w:rFonts w:ascii="Times New Roman" w:hAnsi="Times New Roman"/>
          <w:szCs w:val="24"/>
        </w:rPr>
        <w:t>also stated</w:t>
      </w:r>
      <w:r w:rsidR="00361A4C" w:rsidRPr="005441F7">
        <w:rPr>
          <w:rFonts w:ascii="Times New Roman" w:hAnsi="Times New Roman"/>
          <w:szCs w:val="24"/>
        </w:rPr>
        <w:t xml:space="preserve"> that </w:t>
      </w:r>
      <w:r w:rsidR="00F766E3" w:rsidRPr="005441F7">
        <w:rPr>
          <w:rFonts w:ascii="Times New Roman" w:hAnsi="Times New Roman"/>
          <w:szCs w:val="24"/>
        </w:rPr>
        <w:t>while she was incarcerated, her boyfriend continued to live at the service address.</w:t>
      </w:r>
    </w:p>
    <w:p w:rsidR="00361A4C" w:rsidRPr="005441F7" w:rsidRDefault="00361A4C" w:rsidP="005441F7">
      <w:pPr>
        <w:pStyle w:val="BodyText"/>
        <w:tabs>
          <w:tab w:val="clear" w:pos="1980"/>
          <w:tab w:val="left" w:pos="0"/>
        </w:tabs>
        <w:spacing w:line="360" w:lineRule="auto"/>
        <w:jc w:val="left"/>
        <w:rPr>
          <w:rFonts w:ascii="Times New Roman" w:hAnsi="Times New Roman"/>
          <w:szCs w:val="24"/>
        </w:rPr>
      </w:pPr>
    </w:p>
    <w:p w:rsidR="00361A4C" w:rsidRPr="005441F7" w:rsidRDefault="00D332C3" w:rsidP="005441F7">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 xml:space="preserve">On </w:t>
      </w:r>
      <w:r w:rsidR="00361A4C" w:rsidRPr="005441F7">
        <w:rPr>
          <w:rFonts w:ascii="Times New Roman" w:hAnsi="Times New Roman"/>
          <w:szCs w:val="24"/>
        </w:rPr>
        <w:t>January 27, 2011, the Secretary of the Commission served a copy of the Complaint on PPL.</w:t>
      </w:r>
    </w:p>
    <w:p w:rsidR="006F0BBB" w:rsidRDefault="006F0BBB" w:rsidP="005441F7">
      <w:pPr>
        <w:pStyle w:val="BodyText"/>
        <w:tabs>
          <w:tab w:val="clear" w:pos="1980"/>
          <w:tab w:val="left" w:pos="0"/>
        </w:tabs>
        <w:spacing w:line="360" w:lineRule="auto"/>
        <w:jc w:val="left"/>
        <w:rPr>
          <w:rFonts w:ascii="Times New Roman" w:hAnsi="Times New Roman"/>
          <w:szCs w:val="24"/>
        </w:rPr>
      </w:pPr>
    </w:p>
    <w:p w:rsidR="00D332C3" w:rsidRPr="005441F7" w:rsidRDefault="006F0BBB" w:rsidP="005441F7">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lastRenderedPageBreak/>
        <w:tab/>
      </w:r>
      <w:r w:rsidR="00361A4C" w:rsidRPr="005441F7">
        <w:rPr>
          <w:rFonts w:ascii="Times New Roman" w:hAnsi="Times New Roman"/>
          <w:szCs w:val="24"/>
        </w:rPr>
        <w:tab/>
        <w:t xml:space="preserve">On February 16, 2011, PPL filed </w:t>
      </w:r>
      <w:r w:rsidR="00D332C3" w:rsidRPr="005441F7">
        <w:rPr>
          <w:rFonts w:ascii="Times New Roman" w:hAnsi="Times New Roman"/>
          <w:szCs w:val="24"/>
        </w:rPr>
        <w:t>an Answer</w:t>
      </w:r>
      <w:r w:rsidR="00A05536" w:rsidRPr="005441F7">
        <w:rPr>
          <w:rFonts w:ascii="Times New Roman" w:hAnsi="Times New Roman"/>
          <w:szCs w:val="24"/>
        </w:rPr>
        <w:t xml:space="preserve"> </w:t>
      </w:r>
      <w:r w:rsidR="00F766E3" w:rsidRPr="005441F7">
        <w:rPr>
          <w:rFonts w:ascii="Times New Roman" w:hAnsi="Times New Roman"/>
          <w:szCs w:val="24"/>
        </w:rPr>
        <w:t xml:space="preserve">in which PPL denied any knowledge of the Complainant’s personal circumstances but argued that Complainant, as the customer named on the account, remained financially responsible for paying for the electric service. </w:t>
      </w:r>
    </w:p>
    <w:p w:rsidR="00C30822" w:rsidRPr="005441F7" w:rsidRDefault="00C30822" w:rsidP="005441F7">
      <w:pPr>
        <w:pStyle w:val="BodyText"/>
        <w:tabs>
          <w:tab w:val="clear" w:pos="1980"/>
          <w:tab w:val="left" w:pos="0"/>
        </w:tabs>
        <w:spacing w:line="360" w:lineRule="auto"/>
        <w:jc w:val="left"/>
        <w:rPr>
          <w:rFonts w:ascii="Times New Roman" w:hAnsi="Times New Roman"/>
          <w:szCs w:val="24"/>
        </w:rPr>
      </w:pPr>
    </w:p>
    <w:p w:rsidR="0007029C" w:rsidRPr="005441F7" w:rsidRDefault="00C30822" w:rsidP="005441F7">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r>
      <w:r w:rsidR="0007029C" w:rsidRPr="005441F7">
        <w:rPr>
          <w:rFonts w:ascii="Times New Roman" w:hAnsi="Times New Roman"/>
          <w:szCs w:val="24"/>
        </w:rPr>
        <w:t xml:space="preserve">On </w:t>
      </w:r>
      <w:r w:rsidR="00F766E3" w:rsidRPr="005441F7">
        <w:rPr>
          <w:rFonts w:ascii="Times New Roman" w:hAnsi="Times New Roman"/>
          <w:szCs w:val="24"/>
        </w:rPr>
        <w:t>October 20, 2011</w:t>
      </w:r>
      <w:r w:rsidR="0007029C" w:rsidRPr="005441F7">
        <w:rPr>
          <w:rFonts w:ascii="Times New Roman" w:hAnsi="Times New Roman"/>
          <w:szCs w:val="24"/>
        </w:rPr>
        <w:t xml:space="preserve">, the parties were advised </w:t>
      </w:r>
      <w:r w:rsidR="00450055" w:rsidRPr="005441F7">
        <w:rPr>
          <w:rFonts w:ascii="Times New Roman" w:hAnsi="Times New Roman"/>
          <w:szCs w:val="24"/>
        </w:rPr>
        <w:t xml:space="preserve">by the Office of Administrative Law Judge (OALJ) </w:t>
      </w:r>
      <w:r w:rsidR="0007029C" w:rsidRPr="005441F7">
        <w:rPr>
          <w:rFonts w:ascii="Times New Roman" w:hAnsi="Times New Roman"/>
          <w:szCs w:val="24"/>
        </w:rPr>
        <w:t xml:space="preserve">that a hearing had been scheduled for </w:t>
      </w:r>
      <w:r w:rsidR="00F766E3" w:rsidRPr="005441F7">
        <w:rPr>
          <w:rFonts w:ascii="Times New Roman" w:hAnsi="Times New Roman"/>
          <w:szCs w:val="24"/>
        </w:rPr>
        <w:t>November 14, 2011,</w:t>
      </w:r>
      <w:r w:rsidR="0007029C" w:rsidRPr="005441F7">
        <w:rPr>
          <w:rFonts w:ascii="Times New Roman" w:hAnsi="Times New Roman"/>
          <w:szCs w:val="24"/>
        </w:rPr>
        <w:t xml:space="preserve"> in </w:t>
      </w:r>
      <w:r w:rsidR="00F766E3" w:rsidRPr="005441F7">
        <w:rPr>
          <w:rFonts w:ascii="Times New Roman" w:hAnsi="Times New Roman"/>
          <w:szCs w:val="24"/>
        </w:rPr>
        <w:t>Harrisburg</w:t>
      </w:r>
      <w:r w:rsidR="0007029C" w:rsidRPr="005441F7">
        <w:rPr>
          <w:rFonts w:ascii="Times New Roman" w:hAnsi="Times New Roman"/>
          <w:szCs w:val="24"/>
        </w:rPr>
        <w:t xml:space="preserve">, Pennsylvania.  </w:t>
      </w:r>
    </w:p>
    <w:p w:rsidR="00F4455B" w:rsidRPr="005441F7" w:rsidRDefault="00F4455B" w:rsidP="005441F7">
      <w:pPr>
        <w:pStyle w:val="BodyText"/>
        <w:tabs>
          <w:tab w:val="clear" w:pos="1980"/>
          <w:tab w:val="left" w:pos="0"/>
        </w:tabs>
        <w:spacing w:line="360" w:lineRule="auto"/>
        <w:jc w:val="left"/>
        <w:rPr>
          <w:rFonts w:ascii="Times New Roman" w:hAnsi="Times New Roman"/>
          <w:szCs w:val="24"/>
        </w:rPr>
      </w:pPr>
    </w:p>
    <w:p w:rsidR="00F766E3" w:rsidRPr="005441F7" w:rsidRDefault="00F4455B" w:rsidP="005441F7">
      <w:pPr>
        <w:spacing w:line="360" w:lineRule="auto"/>
        <w:rPr>
          <w:sz w:val="24"/>
          <w:szCs w:val="24"/>
        </w:rPr>
      </w:pPr>
      <w:r w:rsidRPr="005441F7">
        <w:rPr>
          <w:sz w:val="24"/>
          <w:szCs w:val="24"/>
        </w:rPr>
        <w:tab/>
      </w:r>
      <w:r w:rsidRPr="005441F7">
        <w:rPr>
          <w:sz w:val="24"/>
          <w:szCs w:val="24"/>
        </w:rPr>
        <w:tab/>
        <w:t xml:space="preserve">On </w:t>
      </w:r>
      <w:r w:rsidR="00F766E3" w:rsidRPr="005441F7">
        <w:rPr>
          <w:sz w:val="24"/>
          <w:szCs w:val="24"/>
        </w:rPr>
        <w:t>October 21, 2011, I</w:t>
      </w:r>
      <w:r w:rsidRPr="005441F7">
        <w:rPr>
          <w:sz w:val="24"/>
          <w:szCs w:val="24"/>
        </w:rPr>
        <w:t xml:space="preserve"> issued a prehearing Order in this case setting forth the usual instructions to the parties including the requirements of attendance at hearings</w:t>
      </w:r>
      <w:r w:rsidR="00822DAC" w:rsidRPr="005441F7">
        <w:rPr>
          <w:sz w:val="24"/>
          <w:szCs w:val="24"/>
        </w:rPr>
        <w:t>, the fact that the burden of proof is on the Complainant, and the procedure for requesting continuances.</w:t>
      </w:r>
    </w:p>
    <w:p w:rsidR="00F766E3" w:rsidRPr="005441F7" w:rsidRDefault="00F766E3" w:rsidP="005441F7">
      <w:pPr>
        <w:spacing w:line="360" w:lineRule="auto"/>
        <w:rPr>
          <w:sz w:val="24"/>
          <w:szCs w:val="24"/>
        </w:rPr>
      </w:pPr>
    </w:p>
    <w:p w:rsidR="00F766E3" w:rsidRPr="005441F7" w:rsidRDefault="00F766E3" w:rsidP="005441F7">
      <w:pPr>
        <w:spacing w:line="360" w:lineRule="auto"/>
        <w:rPr>
          <w:sz w:val="24"/>
          <w:szCs w:val="24"/>
        </w:rPr>
      </w:pPr>
      <w:r w:rsidRPr="005441F7">
        <w:rPr>
          <w:sz w:val="24"/>
          <w:szCs w:val="24"/>
        </w:rPr>
        <w:tab/>
      </w:r>
      <w:r w:rsidRPr="005441F7">
        <w:rPr>
          <w:sz w:val="24"/>
          <w:szCs w:val="24"/>
        </w:rPr>
        <w:tab/>
        <w:t>On October 26, 2011, the Notice of Hearing to the Complainant was returned to the Office of Administrative Law Judge (OALJ) with the hand-written notation, “Released 7/18/11” on the front of the envelope.  The hearing Notice was then re-mailed by OALJ staff to the service address listed on the Complaint, but that Notice was returned marked, “Addressee unknown.”</w:t>
      </w:r>
      <w:r w:rsidR="00FC1256" w:rsidRPr="005441F7">
        <w:rPr>
          <w:sz w:val="24"/>
          <w:szCs w:val="24"/>
        </w:rPr>
        <w:t xml:space="preserve">  Anticipating that locating the Complainant would be difficult, I called the telephone number listed on the BCS case summary for the Complainant and received no answer.</w:t>
      </w:r>
    </w:p>
    <w:p w:rsidR="00FC1256" w:rsidRPr="005441F7" w:rsidRDefault="00FC1256" w:rsidP="005441F7">
      <w:pPr>
        <w:spacing w:line="360" w:lineRule="auto"/>
        <w:rPr>
          <w:sz w:val="24"/>
          <w:szCs w:val="24"/>
        </w:rPr>
      </w:pPr>
    </w:p>
    <w:p w:rsidR="00FC1256" w:rsidRPr="005441F7" w:rsidRDefault="00FC1256" w:rsidP="005441F7">
      <w:pPr>
        <w:spacing w:line="360" w:lineRule="auto"/>
        <w:rPr>
          <w:sz w:val="24"/>
          <w:szCs w:val="24"/>
        </w:rPr>
      </w:pPr>
      <w:r w:rsidRPr="005441F7">
        <w:rPr>
          <w:sz w:val="24"/>
          <w:szCs w:val="24"/>
        </w:rPr>
        <w:tab/>
      </w:r>
      <w:r w:rsidRPr="005441F7">
        <w:rPr>
          <w:sz w:val="24"/>
          <w:szCs w:val="24"/>
        </w:rPr>
        <w:tab/>
        <w:t>On November 7, 2011, I issued an amended prehearing Order clarifying that the hearing in this case would be “in person,” so as to afford the Complainant an opportunity to present her case in the event that she</w:t>
      </w:r>
      <w:r w:rsidR="001D748B" w:rsidRPr="005441F7">
        <w:rPr>
          <w:sz w:val="24"/>
          <w:szCs w:val="24"/>
        </w:rPr>
        <w:t xml:space="preserve"> still</w:t>
      </w:r>
      <w:r w:rsidRPr="005441F7">
        <w:rPr>
          <w:sz w:val="24"/>
          <w:szCs w:val="24"/>
        </w:rPr>
        <w:t xml:space="preserve"> had no telephone service.  That amended prehearing Order was sent to the Complainant’s service address and was not returned to OALJ.</w:t>
      </w:r>
    </w:p>
    <w:p w:rsidR="00FC1256" w:rsidRPr="005441F7" w:rsidRDefault="00FC1256" w:rsidP="005441F7">
      <w:pPr>
        <w:spacing w:line="360" w:lineRule="auto"/>
        <w:rPr>
          <w:sz w:val="24"/>
          <w:szCs w:val="24"/>
        </w:rPr>
      </w:pPr>
    </w:p>
    <w:p w:rsidR="0018248B" w:rsidRPr="005441F7" w:rsidRDefault="00FC1256" w:rsidP="005441F7">
      <w:pPr>
        <w:spacing w:line="360" w:lineRule="auto"/>
        <w:rPr>
          <w:sz w:val="24"/>
          <w:szCs w:val="24"/>
        </w:rPr>
      </w:pPr>
      <w:r w:rsidRPr="005441F7">
        <w:rPr>
          <w:sz w:val="24"/>
          <w:szCs w:val="24"/>
        </w:rPr>
        <w:tab/>
      </w:r>
      <w:r w:rsidRPr="005441F7">
        <w:rPr>
          <w:sz w:val="24"/>
          <w:szCs w:val="24"/>
        </w:rPr>
        <w:tab/>
        <w:t>On November 8, 2011, I received PPL’s proposed hearing exhibits which included the telephone number PPL had for the Complainant</w:t>
      </w:r>
      <w:r w:rsidR="0018248B" w:rsidRPr="005441F7">
        <w:rPr>
          <w:sz w:val="24"/>
          <w:szCs w:val="24"/>
        </w:rPr>
        <w:t xml:space="preserve"> which was the same as that on the BCS case summary</w:t>
      </w:r>
      <w:r w:rsidRPr="005441F7">
        <w:rPr>
          <w:sz w:val="24"/>
          <w:szCs w:val="24"/>
        </w:rPr>
        <w:t>.</w:t>
      </w:r>
    </w:p>
    <w:p w:rsidR="0018248B" w:rsidRPr="005441F7" w:rsidRDefault="0018248B" w:rsidP="005441F7">
      <w:pPr>
        <w:spacing w:line="360" w:lineRule="auto"/>
        <w:rPr>
          <w:sz w:val="24"/>
          <w:szCs w:val="24"/>
        </w:rPr>
      </w:pPr>
    </w:p>
    <w:p w:rsidR="0082408D" w:rsidRPr="005441F7" w:rsidRDefault="0018248B" w:rsidP="005441F7">
      <w:pPr>
        <w:spacing w:line="360" w:lineRule="auto"/>
        <w:rPr>
          <w:sz w:val="24"/>
          <w:szCs w:val="24"/>
        </w:rPr>
      </w:pPr>
      <w:r w:rsidRPr="005441F7">
        <w:rPr>
          <w:sz w:val="24"/>
          <w:szCs w:val="24"/>
        </w:rPr>
        <w:tab/>
      </w:r>
      <w:r w:rsidRPr="005441F7">
        <w:rPr>
          <w:sz w:val="24"/>
          <w:szCs w:val="24"/>
        </w:rPr>
        <w:tab/>
        <w:t>On November 14, 2011, the hearing in this case convened in Hearing Room 2 of the Commission’s Harrisburg Office.</w:t>
      </w:r>
      <w:r w:rsidR="00FC1256" w:rsidRPr="005441F7">
        <w:rPr>
          <w:sz w:val="24"/>
          <w:szCs w:val="24"/>
        </w:rPr>
        <w:t xml:space="preserve">  </w:t>
      </w:r>
      <w:r w:rsidR="00927CEE" w:rsidRPr="005441F7">
        <w:rPr>
          <w:sz w:val="24"/>
          <w:szCs w:val="24"/>
        </w:rPr>
        <w:t xml:space="preserve">The Complainant did not appear, and despite efforts at the time of the hearing to contact the Complainant by telephone at the last number available for her, </w:t>
      </w:r>
      <w:r w:rsidR="00927CEE" w:rsidRPr="005441F7">
        <w:rPr>
          <w:sz w:val="24"/>
          <w:szCs w:val="24"/>
        </w:rPr>
        <w:lastRenderedPageBreak/>
        <w:t xml:space="preserve">the Complainant did not answer.  </w:t>
      </w:r>
      <w:r w:rsidRPr="005441F7">
        <w:rPr>
          <w:sz w:val="24"/>
          <w:szCs w:val="24"/>
        </w:rPr>
        <w:t xml:space="preserve">PPL was represented by counsel, Kimberly G. Krupka, Esquire.  PPL presented the testimony of one witness, Tanya </w:t>
      </w:r>
      <w:proofErr w:type="spellStart"/>
      <w:r w:rsidRPr="005441F7">
        <w:rPr>
          <w:sz w:val="24"/>
          <w:szCs w:val="24"/>
        </w:rPr>
        <w:t>Zaccagmino</w:t>
      </w:r>
      <w:proofErr w:type="spellEnd"/>
      <w:r w:rsidRPr="005441F7">
        <w:rPr>
          <w:sz w:val="24"/>
          <w:szCs w:val="24"/>
        </w:rPr>
        <w:t>, a Customer Contact Supervisor employed by PPL.</w:t>
      </w:r>
      <w:r w:rsidR="00B61821" w:rsidRPr="005441F7">
        <w:rPr>
          <w:sz w:val="24"/>
          <w:szCs w:val="24"/>
        </w:rPr>
        <w:t xml:space="preserve">  PPL presented four exhibits: PPL Exhibit 1A, an Account Activity Statement for the Complainant; PPL Exhibit 1-B, an Account Activity Statement for the Complainant; PPL Exhibit 2-A a List of Account Contacts; and, PPL Exhibit 2-B, a List of Account Contacts.  The exhibits were received into evidence.  </w:t>
      </w:r>
      <w:r w:rsidR="0082408D" w:rsidRPr="005441F7">
        <w:rPr>
          <w:sz w:val="24"/>
          <w:szCs w:val="24"/>
        </w:rPr>
        <w:t>The record in this case consists of a</w:t>
      </w:r>
      <w:r w:rsidR="00B61821" w:rsidRPr="005441F7">
        <w:rPr>
          <w:sz w:val="24"/>
          <w:szCs w:val="24"/>
        </w:rPr>
        <w:t>n eleven</w:t>
      </w:r>
      <w:r w:rsidR="00E30BFE" w:rsidRPr="005441F7">
        <w:rPr>
          <w:sz w:val="24"/>
          <w:szCs w:val="24"/>
        </w:rPr>
        <w:t xml:space="preserve"> page transcript of the hearing of </w:t>
      </w:r>
      <w:r w:rsidR="00B61821" w:rsidRPr="005441F7">
        <w:rPr>
          <w:sz w:val="24"/>
          <w:szCs w:val="24"/>
        </w:rPr>
        <w:t>November 14, 2011 and PPL Exhibits 1-A, 1-B, 2-A, and 2-B</w:t>
      </w:r>
      <w:r w:rsidR="0082408D" w:rsidRPr="005441F7">
        <w:rPr>
          <w:sz w:val="24"/>
          <w:szCs w:val="24"/>
        </w:rPr>
        <w:t xml:space="preserve">.  The record closed </w:t>
      </w:r>
      <w:r w:rsidR="00C613A8" w:rsidRPr="005441F7">
        <w:rPr>
          <w:sz w:val="24"/>
          <w:szCs w:val="24"/>
        </w:rPr>
        <w:t>on</w:t>
      </w:r>
      <w:r w:rsidR="0082408D" w:rsidRPr="005441F7">
        <w:rPr>
          <w:sz w:val="24"/>
          <w:szCs w:val="24"/>
        </w:rPr>
        <w:t xml:space="preserve"> </w:t>
      </w:r>
      <w:r w:rsidR="00927CEE" w:rsidRPr="005441F7">
        <w:rPr>
          <w:sz w:val="24"/>
          <w:szCs w:val="24"/>
        </w:rPr>
        <w:t>November 14, 2011</w:t>
      </w:r>
      <w:r w:rsidR="0082408D" w:rsidRPr="005441F7">
        <w:rPr>
          <w:sz w:val="24"/>
          <w:szCs w:val="24"/>
        </w:rPr>
        <w:t>.</w:t>
      </w:r>
      <w:r w:rsidR="00207D13" w:rsidRPr="005441F7">
        <w:rPr>
          <w:sz w:val="24"/>
          <w:szCs w:val="24"/>
        </w:rPr>
        <w:t xml:space="preserve">  According to the records of the Commission, no further filings have been made by either of the parties in this case.  </w:t>
      </w:r>
    </w:p>
    <w:p w:rsidR="0082408D" w:rsidRPr="005441F7" w:rsidRDefault="0082408D" w:rsidP="009C54F8">
      <w:pPr>
        <w:spacing w:line="360" w:lineRule="auto"/>
        <w:rPr>
          <w:sz w:val="24"/>
          <w:szCs w:val="24"/>
        </w:rPr>
      </w:pPr>
    </w:p>
    <w:p w:rsidR="0082408D" w:rsidRPr="005441F7" w:rsidRDefault="0082408D" w:rsidP="009C54F8">
      <w:pPr>
        <w:pStyle w:val="Heading1"/>
        <w:tabs>
          <w:tab w:val="left" w:pos="1980"/>
        </w:tabs>
        <w:spacing w:line="360" w:lineRule="auto"/>
        <w:rPr>
          <w:rFonts w:ascii="Times New Roman" w:hAnsi="Times New Roman"/>
          <w:b w:val="0"/>
          <w:szCs w:val="24"/>
        </w:rPr>
      </w:pPr>
      <w:r w:rsidRPr="005441F7">
        <w:rPr>
          <w:rFonts w:ascii="Times New Roman" w:hAnsi="Times New Roman"/>
          <w:b w:val="0"/>
          <w:szCs w:val="24"/>
        </w:rPr>
        <w:t>FINDINGS OF FACT</w:t>
      </w:r>
    </w:p>
    <w:p w:rsidR="0082408D" w:rsidRPr="005441F7" w:rsidRDefault="0082408D" w:rsidP="009C54F8">
      <w:pPr>
        <w:spacing w:line="360" w:lineRule="auto"/>
        <w:rPr>
          <w:sz w:val="24"/>
          <w:szCs w:val="24"/>
        </w:rPr>
      </w:pPr>
    </w:p>
    <w:p w:rsidR="00EF16DD" w:rsidRPr="005441F7" w:rsidRDefault="0082408D" w:rsidP="005441F7">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1.</w:t>
      </w:r>
      <w:r w:rsidRPr="005441F7">
        <w:rPr>
          <w:rFonts w:ascii="Times New Roman" w:hAnsi="Times New Roman"/>
          <w:szCs w:val="24"/>
        </w:rPr>
        <w:tab/>
        <w:t xml:space="preserve">The Complainant is </w:t>
      </w:r>
      <w:r w:rsidR="00927CEE" w:rsidRPr="005441F7">
        <w:rPr>
          <w:rFonts w:ascii="Times New Roman" w:hAnsi="Times New Roman"/>
          <w:szCs w:val="24"/>
        </w:rPr>
        <w:t>Heather L. Schmidt</w:t>
      </w:r>
      <w:r w:rsidRPr="005441F7">
        <w:rPr>
          <w:rFonts w:ascii="Times New Roman" w:hAnsi="Times New Roman"/>
          <w:szCs w:val="24"/>
        </w:rPr>
        <w:t xml:space="preserve">, </w:t>
      </w:r>
      <w:r w:rsidR="00927CEE" w:rsidRPr="005441F7">
        <w:rPr>
          <w:rFonts w:ascii="Times New Roman" w:hAnsi="Times New Roman"/>
          <w:szCs w:val="24"/>
        </w:rPr>
        <w:t xml:space="preserve">103 East North Street, Apartment B, </w:t>
      </w:r>
      <w:proofErr w:type="gramStart"/>
      <w:r w:rsidR="00927CEE" w:rsidRPr="005441F7">
        <w:rPr>
          <w:rFonts w:ascii="Times New Roman" w:hAnsi="Times New Roman"/>
          <w:szCs w:val="24"/>
        </w:rPr>
        <w:t>Carlisle</w:t>
      </w:r>
      <w:proofErr w:type="gramEnd"/>
      <w:r w:rsidR="00927CEE" w:rsidRPr="005441F7">
        <w:rPr>
          <w:rFonts w:ascii="Times New Roman" w:hAnsi="Times New Roman"/>
          <w:szCs w:val="24"/>
        </w:rPr>
        <w:t>, Pennsylvania</w:t>
      </w:r>
      <w:r w:rsidR="0093282B" w:rsidRPr="005441F7">
        <w:rPr>
          <w:rFonts w:ascii="Times New Roman" w:hAnsi="Times New Roman"/>
          <w:szCs w:val="24"/>
        </w:rPr>
        <w:t>.</w:t>
      </w:r>
      <w:r w:rsidR="004C1709" w:rsidRPr="005441F7">
        <w:rPr>
          <w:rFonts w:ascii="Times New Roman" w:hAnsi="Times New Roman"/>
          <w:szCs w:val="24"/>
        </w:rPr>
        <w:t xml:space="preserve">  </w:t>
      </w:r>
      <w:proofErr w:type="gramStart"/>
      <w:r w:rsidR="004C1709" w:rsidRPr="005441F7">
        <w:rPr>
          <w:rFonts w:ascii="Times New Roman" w:hAnsi="Times New Roman"/>
          <w:szCs w:val="24"/>
        </w:rPr>
        <w:t>Complaint at ¶ 1</w:t>
      </w:r>
      <w:r w:rsidR="00927CEE" w:rsidRPr="005441F7">
        <w:rPr>
          <w:rFonts w:ascii="Times New Roman" w:hAnsi="Times New Roman"/>
          <w:szCs w:val="24"/>
        </w:rPr>
        <w:t>.</w:t>
      </w:r>
      <w:proofErr w:type="gramEnd"/>
    </w:p>
    <w:p w:rsidR="00CB2743" w:rsidRPr="005441F7" w:rsidRDefault="00CB2743" w:rsidP="005441F7">
      <w:pPr>
        <w:pStyle w:val="BodyText"/>
        <w:tabs>
          <w:tab w:val="clear" w:pos="1980"/>
          <w:tab w:val="left" w:pos="0"/>
        </w:tabs>
        <w:spacing w:line="360" w:lineRule="auto"/>
        <w:jc w:val="left"/>
        <w:rPr>
          <w:rFonts w:ascii="Times New Roman" w:hAnsi="Times New Roman"/>
          <w:szCs w:val="24"/>
        </w:rPr>
      </w:pPr>
    </w:p>
    <w:p w:rsidR="0082408D" w:rsidRPr="005441F7" w:rsidRDefault="00CB2743" w:rsidP="005441F7">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2.</w:t>
      </w:r>
      <w:r w:rsidRPr="005441F7">
        <w:rPr>
          <w:rFonts w:ascii="Times New Roman" w:hAnsi="Times New Roman"/>
          <w:szCs w:val="24"/>
        </w:rPr>
        <w:tab/>
      </w:r>
      <w:r w:rsidR="0082408D" w:rsidRPr="005441F7">
        <w:rPr>
          <w:rFonts w:ascii="Times New Roman" w:hAnsi="Times New Roman"/>
          <w:szCs w:val="24"/>
        </w:rPr>
        <w:t xml:space="preserve">The Respondent is </w:t>
      </w:r>
      <w:r w:rsidR="00927CEE" w:rsidRPr="005441F7">
        <w:rPr>
          <w:rFonts w:ascii="Times New Roman" w:hAnsi="Times New Roman"/>
          <w:szCs w:val="24"/>
        </w:rPr>
        <w:t>PPL Electric Utilities Corporation, a Commission jurisdictional electric distribution company</w:t>
      </w:r>
      <w:r w:rsidR="0082408D" w:rsidRPr="005441F7">
        <w:rPr>
          <w:rFonts w:ascii="Times New Roman" w:hAnsi="Times New Roman"/>
          <w:szCs w:val="24"/>
        </w:rPr>
        <w:t>.</w:t>
      </w:r>
    </w:p>
    <w:p w:rsidR="0082408D" w:rsidRPr="005441F7" w:rsidRDefault="0082408D" w:rsidP="005441F7">
      <w:pPr>
        <w:pStyle w:val="BodyText"/>
        <w:tabs>
          <w:tab w:val="clear" w:pos="1980"/>
        </w:tabs>
        <w:spacing w:line="360" w:lineRule="auto"/>
        <w:jc w:val="left"/>
        <w:rPr>
          <w:rFonts w:ascii="Times New Roman" w:hAnsi="Times New Roman"/>
          <w:szCs w:val="24"/>
        </w:rPr>
      </w:pPr>
    </w:p>
    <w:p w:rsidR="0082408D" w:rsidRPr="005441F7" w:rsidRDefault="000158A4"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r>
      <w:r w:rsidR="00927CEE" w:rsidRPr="005441F7">
        <w:rPr>
          <w:rFonts w:ascii="Times New Roman" w:hAnsi="Times New Roman"/>
          <w:szCs w:val="24"/>
        </w:rPr>
        <w:t>3</w:t>
      </w:r>
      <w:r w:rsidR="0082408D" w:rsidRPr="005441F7">
        <w:rPr>
          <w:rFonts w:ascii="Times New Roman" w:hAnsi="Times New Roman"/>
          <w:szCs w:val="24"/>
        </w:rPr>
        <w:t>.</w:t>
      </w:r>
      <w:r w:rsidR="0082408D" w:rsidRPr="005441F7">
        <w:rPr>
          <w:rFonts w:ascii="Times New Roman" w:hAnsi="Times New Roman"/>
          <w:szCs w:val="24"/>
        </w:rPr>
        <w:tab/>
        <w:t>The Complainant has a residential electric account with the Respondent</w:t>
      </w:r>
      <w:r w:rsidR="00927CEE" w:rsidRPr="005441F7">
        <w:rPr>
          <w:rFonts w:ascii="Times New Roman" w:hAnsi="Times New Roman"/>
          <w:szCs w:val="24"/>
        </w:rPr>
        <w:t xml:space="preserve"> for service at 103 East North Street, Apartment B, </w:t>
      </w:r>
      <w:proofErr w:type="gramStart"/>
      <w:r w:rsidR="00927CEE" w:rsidRPr="005441F7">
        <w:rPr>
          <w:rFonts w:ascii="Times New Roman" w:hAnsi="Times New Roman"/>
          <w:szCs w:val="24"/>
        </w:rPr>
        <w:t>Carlisle</w:t>
      </w:r>
      <w:proofErr w:type="gramEnd"/>
      <w:r w:rsidR="00927CEE" w:rsidRPr="005441F7">
        <w:rPr>
          <w:rFonts w:ascii="Times New Roman" w:hAnsi="Times New Roman"/>
          <w:szCs w:val="24"/>
        </w:rPr>
        <w:t>, Pennsylvania</w:t>
      </w:r>
      <w:r w:rsidR="005C3F66" w:rsidRPr="005441F7">
        <w:rPr>
          <w:rFonts w:ascii="Times New Roman" w:hAnsi="Times New Roman"/>
          <w:szCs w:val="24"/>
        </w:rPr>
        <w:t xml:space="preserve">.  </w:t>
      </w:r>
      <w:proofErr w:type="gramStart"/>
      <w:r w:rsidR="007D0439" w:rsidRPr="005441F7">
        <w:rPr>
          <w:rFonts w:ascii="Times New Roman" w:hAnsi="Times New Roman"/>
          <w:szCs w:val="24"/>
        </w:rPr>
        <w:t>Complaint at ¶ 1</w:t>
      </w:r>
      <w:r w:rsidR="00927CEE" w:rsidRPr="005441F7">
        <w:rPr>
          <w:rFonts w:ascii="Times New Roman" w:hAnsi="Times New Roman"/>
          <w:szCs w:val="24"/>
        </w:rPr>
        <w:t>.</w:t>
      </w:r>
      <w:proofErr w:type="gramEnd"/>
    </w:p>
    <w:p w:rsidR="00A649DB" w:rsidRPr="005441F7" w:rsidRDefault="00A649DB" w:rsidP="005441F7">
      <w:pPr>
        <w:pStyle w:val="BodyText"/>
        <w:tabs>
          <w:tab w:val="clear" w:pos="1980"/>
        </w:tabs>
        <w:spacing w:line="360" w:lineRule="auto"/>
        <w:jc w:val="left"/>
        <w:rPr>
          <w:rFonts w:ascii="Times New Roman" w:hAnsi="Times New Roman"/>
          <w:szCs w:val="24"/>
        </w:rPr>
      </w:pPr>
    </w:p>
    <w:p w:rsidR="00A649DB" w:rsidRPr="005441F7" w:rsidRDefault="00A649DB"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4.</w:t>
      </w:r>
      <w:r w:rsidRPr="005441F7">
        <w:rPr>
          <w:rFonts w:ascii="Times New Roman" w:hAnsi="Times New Roman"/>
          <w:szCs w:val="24"/>
        </w:rPr>
        <w:tab/>
      </w:r>
      <w:r w:rsidR="006776D8" w:rsidRPr="005441F7">
        <w:rPr>
          <w:rFonts w:ascii="Times New Roman" w:hAnsi="Times New Roman"/>
          <w:szCs w:val="24"/>
        </w:rPr>
        <w:t xml:space="preserve">Throughout the pendency of this proceeding, </w:t>
      </w:r>
      <w:r w:rsidRPr="005441F7">
        <w:rPr>
          <w:rFonts w:ascii="Times New Roman" w:hAnsi="Times New Roman"/>
          <w:szCs w:val="24"/>
        </w:rPr>
        <w:t xml:space="preserve">PPL </w:t>
      </w:r>
      <w:r w:rsidR="006776D8" w:rsidRPr="005441F7">
        <w:rPr>
          <w:rFonts w:ascii="Times New Roman" w:hAnsi="Times New Roman"/>
          <w:szCs w:val="24"/>
        </w:rPr>
        <w:t>has been</w:t>
      </w:r>
      <w:r w:rsidRPr="005441F7">
        <w:rPr>
          <w:rFonts w:ascii="Times New Roman" w:hAnsi="Times New Roman"/>
          <w:szCs w:val="24"/>
        </w:rPr>
        <w:t xml:space="preserve"> providing electric service to the Complainant at her service address.  </w:t>
      </w:r>
      <w:proofErr w:type="gramStart"/>
      <w:r w:rsidRPr="005441F7">
        <w:rPr>
          <w:rFonts w:ascii="Times New Roman" w:hAnsi="Times New Roman"/>
          <w:szCs w:val="24"/>
        </w:rPr>
        <w:t>N.T. 6.</w:t>
      </w:r>
      <w:proofErr w:type="gramEnd"/>
    </w:p>
    <w:p w:rsidR="00A649DB" w:rsidRPr="005441F7" w:rsidRDefault="00A649DB" w:rsidP="005441F7">
      <w:pPr>
        <w:pStyle w:val="BodyText"/>
        <w:tabs>
          <w:tab w:val="clear" w:pos="1980"/>
        </w:tabs>
        <w:spacing w:line="360" w:lineRule="auto"/>
        <w:jc w:val="left"/>
        <w:rPr>
          <w:rFonts w:ascii="Times New Roman" w:hAnsi="Times New Roman"/>
          <w:szCs w:val="24"/>
        </w:rPr>
      </w:pPr>
    </w:p>
    <w:p w:rsidR="00A649DB" w:rsidRPr="005441F7" w:rsidRDefault="00A649DB"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5.</w:t>
      </w:r>
      <w:r w:rsidRPr="005441F7">
        <w:rPr>
          <w:rFonts w:ascii="Times New Roman" w:hAnsi="Times New Roman"/>
          <w:szCs w:val="24"/>
        </w:rPr>
        <w:tab/>
        <w:t>On October 27, 2011, and again on November 4, 2011, a PPL representative attempted to contact the Complainant by telephone, leaving Voicemail messages at the telephone number associated with Complainant’s account, but Complainant has failed to return the calls.  N.T. at 7</w:t>
      </w:r>
    </w:p>
    <w:p w:rsidR="00A649DB" w:rsidRPr="005441F7" w:rsidRDefault="00A649DB" w:rsidP="005441F7">
      <w:pPr>
        <w:pStyle w:val="BodyText"/>
        <w:tabs>
          <w:tab w:val="clear" w:pos="1980"/>
        </w:tabs>
        <w:spacing w:line="360" w:lineRule="auto"/>
        <w:jc w:val="left"/>
        <w:rPr>
          <w:rFonts w:ascii="Times New Roman" w:hAnsi="Times New Roman"/>
          <w:szCs w:val="24"/>
        </w:rPr>
      </w:pPr>
    </w:p>
    <w:p w:rsidR="00752A44" w:rsidRPr="005441F7" w:rsidRDefault="00A649DB"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6.</w:t>
      </w:r>
      <w:r w:rsidRPr="005441F7">
        <w:rPr>
          <w:rFonts w:ascii="Times New Roman" w:hAnsi="Times New Roman"/>
          <w:szCs w:val="24"/>
        </w:rPr>
        <w:tab/>
      </w:r>
      <w:proofErr w:type="gramStart"/>
      <w:r w:rsidR="00843A44" w:rsidRPr="005441F7">
        <w:rPr>
          <w:rFonts w:ascii="Times New Roman" w:hAnsi="Times New Roman"/>
          <w:szCs w:val="24"/>
        </w:rPr>
        <w:t>As</w:t>
      </w:r>
      <w:proofErr w:type="gramEnd"/>
      <w:r w:rsidR="00843A44" w:rsidRPr="005441F7">
        <w:rPr>
          <w:rFonts w:ascii="Times New Roman" w:hAnsi="Times New Roman"/>
          <w:szCs w:val="24"/>
        </w:rPr>
        <w:t xml:space="preserve"> of the </w:t>
      </w:r>
      <w:r w:rsidR="00927CEE" w:rsidRPr="005441F7">
        <w:rPr>
          <w:rFonts w:ascii="Times New Roman" w:hAnsi="Times New Roman"/>
          <w:szCs w:val="24"/>
        </w:rPr>
        <w:t>November 14, 2011</w:t>
      </w:r>
      <w:r w:rsidR="00843A44" w:rsidRPr="005441F7">
        <w:rPr>
          <w:rFonts w:ascii="Times New Roman" w:hAnsi="Times New Roman"/>
          <w:szCs w:val="24"/>
        </w:rPr>
        <w:t xml:space="preserve"> hearing in this matter, Complainant owed P</w:t>
      </w:r>
      <w:r w:rsidR="00927CEE" w:rsidRPr="005441F7">
        <w:rPr>
          <w:rFonts w:ascii="Times New Roman" w:hAnsi="Times New Roman"/>
          <w:szCs w:val="24"/>
        </w:rPr>
        <w:t>PL $718.30</w:t>
      </w:r>
      <w:r w:rsidR="00843A44" w:rsidRPr="005441F7">
        <w:rPr>
          <w:rFonts w:ascii="Times New Roman" w:hAnsi="Times New Roman"/>
          <w:szCs w:val="24"/>
        </w:rPr>
        <w:t xml:space="preserve"> for electric service</w:t>
      </w:r>
      <w:r w:rsidR="00927CEE" w:rsidRPr="005441F7">
        <w:rPr>
          <w:rFonts w:ascii="Times New Roman" w:hAnsi="Times New Roman"/>
          <w:szCs w:val="24"/>
        </w:rPr>
        <w:t xml:space="preserve"> at her service address</w:t>
      </w:r>
      <w:r w:rsidR="00843A44" w:rsidRPr="005441F7">
        <w:rPr>
          <w:rFonts w:ascii="Times New Roman" w:hAnsi="Times New Roman"/>
          <w:szCs w:val="24"/>
        </w:rPr>
        <w:t xml:space="preserve">. </w:t>
      </w:r>
      <w:proofErr w:type="gramStart"/>
      <w:r w:rsidR="00927CEE" w:rsidRPr="005441F7">
        <w:rPr>
          <w:rFonts w:ascii="Times New Roman" w:hAnsi="Times New Roman"/>
          <w:szCs w:val="24"/>
        </w:rPr>
        <w:t xml:space="preserve">N.T. </w:t>
      </w:r>
      <w:r w:rsidR="00843A44" w:rsidRPr="005441F7">
        <w:rPr>
          <w:rFonts w:ascii="Times New Roman" w:hAnsi="Times New Roman"/>
          <w:szCs w:val="24"/>
        </w:rPr>
        <w:t xml:space="preserve">at </w:t>
      </w:r>
      <w:r w:rsidR="00927CEE" w:rsidRPr="005441F7">
        <w:rPr>
          <w:rFonts w:ascii="Times New Roman" w:hAnsi="Times New Roman"/>
          <w:szCs w:val="24"/>
        </w:rPr>
        <w:t>9</w:t>
      </w:r>
      <w:r w:rsidR="007106CE" w:rsidRPr="005441F7">
        <w:rPr>
          <w:rFonts w:ascii="Times New Roman" w:hAnsi="Times New Roman"/>
          <w:szCs w:val="24"/>
        </w:rPr>
        <w:t>.</w:t>
      </w:r>
      <w:proofErr w:type="gramEnd"/>
    </w:p>
    <w:p w:rsidR="00E30BFE" w:rsidRPr="005441F7" w:rsidRDefault="00CB2743"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lastRenderedPageBreak/>
        <w:tab/>
      </w:r>
      <w:r w:rsidRPr="005441F7">
        <w:rPr>
          <w:rFonts w:ascii="Times New Roman" w:hAnsi="Times New Roman"/>
          <w:szCs w:val="24"/>
        </w:rPr>
        <w:tab/>
      </w:r>
      <w:r w:rsidR="00A649DB" w:rsidRPr="005441F7">
        <w:rPr>
          <w:rFonts w:ascii="Times New Roman" w:hAnsi="Times New Roman"/>
          <w:szCs w:val="24"/>
        </w:rPr>
        <w:t>7</w:t>
      </w:r>
      <w:r w:rsidR="00956EAF" w:rsidRPr="005441F7">
        <w:rPr>
          <w:rFonts w:ascii="Times New Roman" w:hAnsi="Times New Roman"/>
          <w:szCs w:val="24"/>
        </w:rPr>
        <w:t>.</w:t>
      </w:r>
      <w:r w:rsidR="00956EAF" w:rsidRPr="005441F7">
        <w:rPr>
          <w:rFonts w:ascii="Times New Roman" w:hAnsi="Times New Roman"/>
          <w:szCs w:val="24"/>
        </w:rPr>
        <w:tab/>
        <w:t>The Complainant was afforded notice and an opportunity to be heard in this matter</w:t>
      </w:r>
      <w:r w:rsidR="00927CEE" w:rsidRPr="005441F7">
        <w:rPr>
          <w:rFonts w:ascii="Times New Roman" w:hAnsi="Times New Roman"/>
          <w:szCs w:val="24"/>
        </w:rPr>
        <w:t>.</w:t>
      </w:r>
    </w:p>
    <w:p w:rsidR="00927CEE" w:rsidRPr="005441F7" w:rsidRDefault="00927CEE" w:rsidP="005441F7">
      <w:pPr>
        <w:pStyle w:val="BodyText"/>
        <w:tabs>
          <w:tab w:val="clear" w:pos="1980"/>
        </w:tabs>
        <w:spacing w:line="360" w:lineRule="auto"/>
        <w:jc w:val="left"/>
        <w:rPr>
          <w:rFonts w:ascii="Times New Roman" w:hAnsi="Times New Roman"/>
          <w:szCs w:val="24"/>
        </w:rPr>
      </w:pPr>
    </w:p>
    <w:p w:rsidR="00E30BFE" w:rsidRPr="005441F7" w:rsidRDefault="00CB2743"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r>
      <w:r w:rsidR="00A649DB" w:rsidRPr="005441F7">
        <w:rPr>
          <w:rFonts w:ascii="Times New Roman" w:hAnsi="Times New Roman"/>
          <w:szCs w:val="24"/>
        </w:rPr>
        <w:t>8</w:t>
      </w:r>
      <w:r w:rsidR="00E30BFE" w:rsidRPr="005441F7">
        <w:rPr>
          <w:rFonts w:ascii="Times New Roman" w:hAnsi="Times New Roman"/>
          <w:szCs w:val="24"/>
        </w:rPr>
        <w:t>.</w:t>
      </w:r>
      <w:r w:rsidR="00E30BFE" w:rsidRPr="005441F7">
        <w:rPr>
          <w:rFonts w:ascii="Times New Roman" w:hAnsi="Times New Roman"/>
          <w:szCs w:val="24"/>
        </w:rPr>
        <w:tab/>
        <w:t xml:space="preserve">The Complainant failed to appear at the hearing of </w:t>
      </w:r>
      <w:r w:rsidR="00927CEE" w:rsidRPr="005441F7">
        <w:rPr>
          <w:rFonts w:ascii="Times New Roman" w:hAnsi="Times New Roman"/>
          <w:szCs w:val="24"/>
        </w:rPr>
        <w:t>November 14, 2011 or to respond to any of the telephone calls</w:t>
      </w:r>
      <w:r w:rsidR="00A649DB" w:rsidRPr="005441F7">
        <w:rPr>
          <w:rFonts w:ascii="Times New Roman" w:hAnsi="Times New Roman"/>
          <w:szCs w:val="24"/>
        </w:rPr>
        <w:t xml:space="preserve"> to her</w:t>
      </w:r>
      <w:r w:rsidR="00927CEE" w:rsidRPr="005441F7">
        <w:rPr>
          <w:rFonts w:ascii="Times New Roman" w:hAnsi="Times New Roman"/>
          <w:szCs w:val="24"/>
        </w:rPr>
        <w:t xml:space="preserve"> initiated by the Presiding Officer prior to or on the day of the hearing</w:t>
      </w:r>
      <w:r w:rsidR="00E30BFE" w:rsidRPr="005441F7">
        <w:rPr>
          <w:rFonts w:ascii="Times New Roman" w:hAnsi="Times New Roman"/>
          <w:szCs w:val="24"/>
        </w:rPr>
        <w:t>.</w:t>
      </w:r>
    </w:p>
    <w:p w:rsidR="00093062" w:rsidRPr="005441F7" w:rsidRDefault="00093062" w:rsidP="009C54F8">
      <w:pPr>
        <w:pStyle w:val="BodyText"/>
        <w:tabs>
          <w:tab w:val="clear" w:pos="1980"/>
        </w:tabs>
        <w:spacing w:line="360" w:lineRule="auto"/>
        <w:jc w:val="left"/>
        <w:rPr>
          <w:rFonts w:ascii="Times New Roman" w:hAnsi="Times New Roman"/>
          <w:szCs w:val="24"/>
        </w:rPr>
      </w:pPr>
    </w:p>
    <w:p w:rsidR="0082408D" w:rsidRPr="005441F7" w:rsidRDefault="0082408D" w:rsidP="009C54F8">
      <w:pPr>
        <w:pStyle w:val="Heading1"/>
        <w:spacing w:line="360" w:lineRule="auto"/>
        <w:rPr>
          <w:rFonts w:ascii="Times New Roman" w:hAnsi="Times New Roman"/>
          <w:b w:val="0"/>
          <w:szCs w:val="24"/>
        </w:rPr>
      </w:pPr>
      <w:r w:rsidRPr="005441F7">
        <w:rPr>
          <w:rFonts w:ascii="Times New Roman" w:hAnsi="Times New Roman"/>
          <w:b w:val="0"/>
          <w:szCs w:val="24"/>
        </w:rPr>
        <w:t>DISCUSSION</w:t>
      </w:r>
    </w:p>
    <w:p w:rsidR="0082408D" w:rsidRPr="005441F7" w:rsidRDefault="0082408D" w:rsidP="009C54F8">
      <w:pPr>
        <w:spacing w:line="360" w:lineRule="auto"/>
        <w:rPr>
          <w:sz w:val="24"/>
          <w:szCs w:val="24"/>
        </w:rPr>
      </w:pPr>
    </w:p>
    <w:p w:rsidR="00716750" w:rsidRPr="005441F7" w:rsidRDefault="0082408D" w:rsidP="005441F7">
      <w:pPr>
        <w:suppressAutoHyphens/>
        <w:spacing w:line="360" w:lineRule="auto"/>
        <w:rPr>
          <w:iCs/>
          <w:spacing w:val="-3"/>
          <w:sz w:val="24"/>
          <w:szCs w:val="24"/>
        </w:rPr>
      </w:pPr>
      <w:r w:rsidRPr="005441F7">
        <w:rPr>
          <w:sz w:val="24"/>
          <w:szCs w:val="24"/>
        </w:rPr>
        <w:tab/>
      </w:r>
      <w:r w:rsidRPr="005441F7">
        <w:rPr>
          <w:sz w:val="24"/>
          <w:szCs w:val="24"/>
        </w:rPr>
        <w:tab/>
      </w:r>
      <w:r w:rsidR="00716750" w:rsidRPr="005441F7">
        <w:rPr>
          <w:spacing w:val="-3"/>
          <w:sz w:val="24"/>
          <w:szCs w:val="24"/>
        </w:rPr>
        <w:t xml:space="preserve">Administrative agencies, such as the Commission, are required to provide due process to the parties appearing before them.  </w:t>
      </w:r>
      <w:proofErr w:type="gramStart"/>
      <w:r w:rsidR="00716750" w:rsidRPr="005441F7">
        <w:rPr>
          <w:i/>
          <w:spacing w:val="-3"/>
          <w:sz w:val="24"/>
          <w:szCs w:val="24"/>
        </w:rPr>
        <w:t>Schneider v. Pa. P.U.C.</w:t>
      </w:r>
      <w:r w:rsidR="00716750" w:rsidRPr="005441F7">
        <w:rPr>
          <w:spacing w:val="-3"/>
          <w:sz w:val="24"/>
          <w:szCs w:val="24"/>
        </w:rPr>
        <w:t>, 479 A.2d 10 (Pa. Cmwlth. 1984).</w:t>
      </w:r>
      <w:proofErr w:type="gramEnd"/>
      <w:r w:rsidR="00716750" w:rsidRPr="005441F7">
        <w:rPr>
          <w:spacing w:val="-3"/>
          <w:sz w:val="24"/>
          <w:szCs w:val="24"/>
        </w:rPr>
        <w:t xml:space="preserve">  This due process requirement is satisfied, however, when the parties are afforded notice and the opportunity to appear and be heard.  </w:t>
      </w:r>
      <w:r w:rsidR="00716750" w:rsidRPr="005441F7">
        <w:rPr>
          <w:i/>
          <w:iCs/>
          <w:spacing w:val="-3"/>
          <w:sz w:val="24"/>
          <w:szCs w:val="24"/>
        </w:rPr>
        <w:t>Id.</w:t>
      </w:r>
      <w:r w:rsidR="00716750" w:rsidRPr="005441F7">
        <w:rPr>
          <w:iCs/>
          <w:spacing w:val="-3"/>
          <w:sz w:val="24"/>
          <w:szCs w:val="24"/>
        </w:rPr>
        <w:t xml:space="preserve">  In this formal Complaint proceeding, Complainant has</w:t>
      </w:r>
      <w:r w:rsidR="00927CEE" w:rsidRPr="005441F7">
        <w:rPr>
          <w:iCs/>
          <w:spacing w:val="-3"/>
          <w:sz w:val="24"/>
          <w:szCs w:val="24"/>
        </w:rPr>
        <w:t xml:space="preserve"> disputed financial responsibility for electric service in her name during the period of her incarceration</w:t>
      </w:r>
      <w:r w:rsidR="00716750" w:rsidRPr="005441F7">
        <w:rPr>
          <w:iCs/>
          <w:spacing w:val="-3"/>
          <w:sz w:val="24"/>
          <w:szCs w:val="24"/>
        </w:rPr>
        <w:t xml:space="preserve">.  As the party seeking affirmative relief from the Commission, the burden of proof rests on the Complainant.  </w:t>
      </w:r>
      <w:proofErr w:type="gramStart"/>
      <w:r w:rsidR="00716750" w:rsidRPr="005441F7">
        <w:rPr>
          <w:iCs/>
          <w:spacing w:val="-3"/>
          <w:sz w:val="24"/>
          <w:szCs w:val="24"/>
        </w:rPr>
        <w:t>66 Pa.C.S.</w:t>
      </w:r>
      <w:proofErr w:type="gramEnd"/>
      <w:r w:rsidR="00716750" w:rsidRPr="005441F7">
        <w:rPr>
          <w:iCs/>
          <w:spacing w:val="-3"/>
          <w:sz w:val="24"/>
          <w:szCs w:val="24"/>
        </w:rPr>
        <w:t xml:space="preserve"> § 332(a).  "Burden of proof" means a duty to establish one's case by a preponderance of the evidence, which requires that the evidence be more convincing by even the smallest degree, than the evidence presented by the other side.  </w:t>
      </w:r>
      <w:proofErr w:type="gramStart"/>
      <w:r w:rsidR="00716750" w:rsidRPr="005441F7">
        <w:rPr>
          <w:i/>
          <w:iCs/>
          <w:spacing w:val="-3"/>
          <w:sz w:val="24"/>
          <w:szCs w:val="24"/>
        </w:rPr>
        <w:t>Se-Ling Hosiery, Inc. v. Margulies</w:t>
      </w:r>
      <w:r w:rsidR="00716750" w:rsidRPr="005441F7">
        <w:rPr>
          <w:iCs/>
          <w:spacing w:val="-3"/>
          <w:sz w:val="24"/>
          <w:szCs w:val="24"/>
        </w:rPr>
        <w:t>, 364 Pa. 45, 70 A.2d 854 (1950).</w:t>
      </w:r>
      <w:proofErr w:type="gramEnd"/>
      <w:r w:rsidR="00716750" w:rsidRPr="005441F7">
        <w:rPr>
          <w:iCs/>
          <w:spacing w:val="-3"/>
          <w:sz w:val="24"/>
          <w:szCs w:val="24"/>
        </w:rPr>
        <w:t xml:space="preserve">  To satisfy the burden of proof against a utility, the Complainant must show that the utility is responsible or accountable for the problem described in the Complaint, </w:t>
      </w:r>
      <w:r w:rsidR="00716750" w:rsidRPr="005441F7">
        <w:rPr>
          <w:i/>
          <w:iCs/>
          <w:spacing w:val="-3"/>
          <w:sz w:val="24"/>
          <w:szCs w:val="24"/>
        </w:rPr>
        <w:t>Feinstein v. Philadelphia Suburban Water Company</w:t>
      </w:r>
      <w:r w:rsidR="00716750" w:rsidRPr="005441F7">
        <w:rPr>
          <w:iCs/>
          <w:spacing w:val="-3"/>
          <w:sz w:val="24"/>
          <w:szCs w:val="24"/>
        </w:rPr>
        <w:t xml:space="preserve">, 50 Pa. P.U.C. 300 (1976), or that the utility has violated either its duty under the Public Utility Code or the orders or regulations of the Commission. </w:t>
      </w:r>
      <w:proofErr w:type="gramStart"/>
      <w:r w:rsidR="00716750" w:rsidRPr="005441F7">
        <w:rPr>
          <w:iCs/>
          <w:spacing w:val="-3"/>
          <w:sz w:val="24"/>
          <w:szCs w:val="24"/>
        </w:rPr>
        <w:t>66 Pa. C.S. § 701.</w:t>
      </w:r>
      <w:proofErr w:type="gramEnd"/>
    </w:p>
    <w:p w:rsidR="00F04306" w:rsidRPr="005441F7" w:rsidRDefault="00F04306" w:rsidP="005441F7">
      <w:pPr>
        <w:pStyle w:val="BodyText"/>
        <w:tabs>
          <w:tab w:val="clear" w:pos="1980"/>
          <w:tab w:val="left" w:pos="0"/>
        </w:tabs>
        <w:spacing w:line="360" w:lineRule="auto"/>
        <w:jc w:val="left"/>
        <w:rPr>
          <w:rFonts w:ascii="Times New Roman" w:hAnsi="Times New Roman"/>
          <w:szCs w:val="24"/>
        </w:rPr>
      </w:pPr>
    </w:p>
    <w:p w:rsidR="009C54F8" w:rsidRDefault="00F04306" w:rsidP="005441F7">
      <w:pPr>
        <w:pStyle w:val="BodyText"/>
        <w:tabs>
          <w:tab w:val="clear" w:pos="1980"/>
          <w:tab w:val="left" w:pos="0"/>
        </w:tabs>
        <w:spacing w:line="360" w:lineRule="auto"/>
        <w:jc w:val="left"/>
        <w:rPr>
          <w:rFonts w:ascii="Times New Roman" w:hAnsi="Times New Roman"/>
          <w:spacing w:val="-3"/>
          <w:szCs w:val="24"/>
        </w:rPr>
      </w:pPr>
      <w:r w:rsidRPr="005441F7">
        <w:rPr>
          <w:rFonts w:ascii="Times New Roman" w:hAnsi="Times New Roman"/>
          <w:szCs w:val="24"/>
        </w:rPr>
        <w:tab/>
      </w:r>
      <w:r w:rsidRPr="005441F7">
        <w:rPr>
          <w:rFonts w:ascii="Times New Roman" w:hAnsi="Times New Roman"/>
          <w:szCs w:val="24"/>
        </w:rPr>
        <w:tab/>
      </w:r>
      <w:r w:rsidR="00836D0A" w:rsidRPr="005441F7">
        <w:rPr>
          <w:rFonts w:ascii="Times New Roman" w:hAnsi="Times New Roman"/>
          <w:spacing w:val="-3"/>
          <w:szCs w:val="24"/>
        </w:rPr>
        <w:t xml:space="preserve">In this proceeding, Complainant bears the burden of proving by substantial evidence that she is entitled to relief.  </w:t>
      </w:r>
      <w:proofErr w:type="gramStart"/>
      <w:r w:rsidR="00836D0A" w:rsidRPr="005441F7">
        <w:rPr>
          <w:rFonts w:ascii="Times New Roman" w:hAnsi="Times New Roman"/>
          <w:spacing w:val="-3"/>
          <w:szCs w:val="24"/>
        </w:rPr>
        <w:t>66 Pa. C.S. § 332(a).</w:t>
      </w:r>
      <w:proofErr w:type="gramEnd"/>
      <w:r w:rsidR="00836D0A" w:rsidRPr="005441F7">
        <w:rPr>
          <w:rFonts w:ascii="Times New Roman" w:hAnsi="Times New Roman"/>
          <w:spacing w:val="-3"/>
          <w:szCs w:val="24"/>
        </w:rPr>
        <w:t xml:space="preserve">  By failing to appear and present any evidence in support of her Complaint, Complainant has failed to meet this burden.  Thus, the Complaint must be </w:t>
      </w:r>
      <w:r w:rsidR="00836D0A" w:rsidRPr="005441F7">
        <w:rPr>
          <w:rFonts w:ascii="Times New Roman" w:hAnsi="Times New Roman"/>
          <w:bCs/>
          <w:spacing w:val="-3"/>
          <w:szCs w:val="24"/>
        </w:rPr>
        <w:t>dismissed with prejudice.</w:t>
      </w:r>
      <w:r w:rsidR="00836D0A" w:rsidRPr="005441F7">
        <w:rPr>
          <w:rFonts w:ascii="Times New Roman" w:hAnsi="Times New Roman"/>
          <w:spacing w:val="-3"/>
          <w:szCs w:val="24"/>
        </w:rPr>
        <w:t xml:space="preserve">  </w:t>
      </w:r>
      <w:r w:rsidR="00836D0A" w:rsidRPr="005441F7">
        <w:rPr>
          <w:rFonts w:ascii="Times New Roman" w:hAnsi="Times New Roman"/>
          <w:i/>
          <w:spacing w:val="-3"/>
          <w:szCs w:val="24"/>
        </w:rPr>
        <w:t>Jefferson v. UGI Utilities, Inc.</w:t>
      </w:r>
      <w:r w:rsidR="005441F7">
        <w:rPr>
          <w:rFonts w:ascii="Times New Roman" w:hAnsi="Times New Roman"/>
          <w:spacing w:val="-3"/>
          <w:szCs w:val="24"/>
        </w:rPr>
        <w:t xml:space="preserve">, Docket No. </w:t>
      </w:r>
      <w:proofErr w:type="gramStart"/>
      <w:r w:rsidR="005441F7">
        <w:rPr>
          <w:rFonts w:ascii="Times New Roman" w:hAnsi="Times New Roman"/>
          <w:spacing w:val="-3"/>
          <w:szCs w:val="24"/>
        </w:rPr>
        <w:t>Z</w:t>
      </w:r>
      <w:r w:rsidR="005441F7">
        <w:rPr>
          <w:rFonts w:ascii="Times New Roman" w:hAnsi="Times New Roman"/>
          <w:spacing w:val="-3"/>
          <w:szCs w:val="24"/>
        </w:rPr>
        <w:noBreakHyphen/>
      </w:r>
      <w:r w:rsidR="00836D0A" w:rsidRPr="005441F7">
        <w:rPr>
          <w:rFonts w:ascii="Times New Roman" w:hAnsi="Times New Roman"/>
          <w:spacing w:val="-3"/>
          <w:szCs w:val="24"/>
        </w:rPr>
        <w:t>00269892 (Order entered December 26, 1995).</w:t>
      </w:r>
      <w:proofErr w:type="gramEnd"/>
      <w:r w:rsidR="00836D0A" w:rsidRPr="005441F7">
        <w:rPr>
          <w:rFonts w:ascii="Times New Roman" w:hAnsi="Times New Roman"/>
          <w:spacing w:val="-3"/>
          <w:szCs w:val="24"/>
        </w:rPr>
        <w:t xml:space="preserve">  Accordingly, the merits of the Complaint will not be addressed.  </w:t>
      </w:r>
      <w:proofErr w:type="gramStart"/>
      <w:r w:rsidR="00836D0A" w:rsidRPr="005441F7">
        <w:rPr>
          <w:rFonts w:ascii="Times New Roman" w:hAnsi="Times New Roman"/>
          <w:i/>
          <w:spacing w:val="-3"/>
          <w:szCs w:val="24"/>
        </w:rPr>
        <w:t>Jones v.</w:t>
      </w:r>
      <w:proofErr w:type="gramEnd"/>
      <w:r w:rsidR="00836D0A" w:rsidRPr="005441F7">
        <w:rPr>
          <w:rFonts w:ascii="Times New Roman" w:hAnsi="Times New Roman"/>
          <w:i/>
          <w:spacing w:val="-3"/>
          <w:szCs w:val="24"/>
        </w:rPr>
        <w:t xml:space="preserve"> The Peoples Natural Gas Company, d/b/a Dominion Peoples</w:t>
      </w:r>
      <w:r w:rsidR="005441F7">
        <w:rPr>
          <w:rFonts w:ascii="Times New Roman" w:hAnsi="Times New Roman"/>
          <w:spacing w:val="-3"/>
          <w:szCs w:val="24"/>
        </w:rPr>
        <w:t>, Docket No. C</w:t>
      </w:r>
      <w:r w:rsidR="005441F7">
        <w:rPr>
          <w:rFonts w:ascii="Times New Roman" w:hAnsi="Times New Roman"/>
          <w:spacing w:val="-3"/>
          <w:szCs w:val="24"/>
        </w:rPr>
        <w:noBreakHyphen/>
      </w:r>
      <w:r w:rsidR="00836D0A" w:rsidRPr="005441F7">
        <w:rPr>
          <w:rFonts w:ascii="Times New Roman" w:hAnsi="Times New Roman"/>
          <w:spacing w:val="-3"/>
          <w:szCs w:val="24"/>
        </w:rPr>
        <w:t xml:space="preserve">2005-4885 (Order entered </w:t>
      </w:r>
    </w:p>
    <w:p w:rsidR="009C54F8" w:rsidRDefault="009C54F8">
      <w:pPr>
        <w:rPr>
          <w:spacing w:val="-3"/>
          <w:sz w:val="24"/>
          <w:szCs w:val="24"/>
        </w:rPr>
      </w:pPr>
      <w:r>
        <w:rPr>
          <w:spacing w:val="-3"/>
          <w:szCs w:val="24"/>
        </w:rPr>
        <w:br w:type="page"/>
      </w:r>
    </w:p>
    <w:p w:rsidR="0082408D" w:rsidRPr="005441F7" w:rsidRDefault="00836D0A" w:rsidP="005441F7">
      <w:pPr>
        <w:pStyle w:val="BodyText"/>
        <w:tabs>
          <w:tab w:val="clear" w:pos="1980"/>
          <w:tab w:val="left" w:pos="0"/>
        </w:tabs>
        <w:spacing w:line="360" w:lineRule="auto"/>
        <w:jc w:val="left"/>
        <w:rPr>
          <w:rFonts w:ascii="Times New Roman" w:hAnsi="Times New Roman"/>
          <w:szCs w:val="24"/>
        </w:rPr>
      </w:pPr>
      <w:r w:rsidRPr="005441F7">
        <w:rPr>
          <w:rFonts w:ascii="Times New Roman" w:hAnsi="Times New Roman"/>
          <w:spacing w:val="-3"/>
          <w:szCs w:val="24"/>
        </w:rPr>
        <w:lastRenderedPageBreak/>
        <w:t xml:space="preserve">February 14, 2006); and </w:t>
      </w:r>
      <w:r w:rsidRPr="005441F7">
        <w:rPr>
          <w:rFonts w:ascii="Times New Roman" w:hAnsi="Times New Roman"/>
          <w:i/>
          <w:spacing w:val="-3"/>
          <w:szCs w:val="24"/>
        </w:rPr>
        <w:t>Mya Lau v. PPL Electric Utilities Corp.</w:t>
      </w:r>
      <w:r w:rsidRPr="005441F7">
        <w:rPr>
          <w:rFonts w:ascii="Times New Roman" w:hAnsi="Times New Roman"/>
          <w:spacing w:val="-3"/>
          <w:szCs w:val="24"/>
        </w:rPr>
        <w:t>, Docket No. F-01816882 (Order entered October 19, 2005).</w:t>
      </w:r>
      <w:r w:rsidRPr="005441F7">
        <w:rPr>
          <w:rFonts w:ascii="Times New Roman" w:hAnsi="Times New Roman"/>
          <w:spacing w:val="-3"/>
          <w:szCs w:val="24"/>
        </w:rPr>
        <w:br/>
      </w:r>
    </w:p>
    <w:p w:rsidR="0082408D" w:rsidRPr="005441F7" w:rsidRDefault="0082408D" w:rsidP="005441F7">
      <w:pPr>
        <w:pStyle w:val="Heading1"/>
        <w:spacing w:line="360" w:lineRule="auto"/>
        <w:rPr>
          <w:rFonts w:ascii="Times New Roman" w:hAnsi="Times New Roman"/>
          <w:b w:val="0"/>
          <w:szCs w:val="24"/>
        </w:rPr>
      </w:pPr>
      <w:r w:rsidRPr="005441F7">
        <w:rPr>
          <w:rFonts w:ascii="Times New Roman" w:hAnsi="Times New Roman"/>
          <w:b w:val="0"/>
          <w:szCs w:val="24"/>
        </w:rPr>
        <w:t>CONCLUSIONS OF LAW</w:t>
      </w:r>
    </w:p>
    <w:p w:rsidR="0082408D" w:rsidRPr="005441F7" w:rsidRDefault="0082408D" w:rsidP="005441F7">
      <w:pPr>
        <w:rPr>
          <w:sz w:val="24"/>
          <w:szCs w:val="24"/>
        </w:rPr>
      </w:pPr>
    </w:p>
    <w:p w:rsidR="0082408D" w:rsidRPr="005441F7" w:rsidRDefault="0082408D" w:rsidP="005441F7">
      <w:pPr>
        <w:pStyle w:val="Heading1"/>
        <w:spacing w:line="360" w:lineRule="auto"/>
        <w:ind w:firstLine="1526"/>
        <w:jc w:val="left"/>
        <w:rPr>
          <w:rFonts w:ascii="Times New Roman" w:hAnsi="Times New Roman"/>
          <w:b w:val="0"/>
          <w:szCs w:val="24"/>
          <w:u w:val="none"/>
        </w:rPr>
      </w:pPr>
      <w:r w:rsidRPr="005441F7">
        <w:rPr>
          <w:rFonts w:ascii="Times New Roman" w:hAnsi="Times New Roman"/>
          <w:b w:val="0"/>
          <w:szCs w:val="24"/>
          <w:u w:val="none"/>
        </w:rPr>
        <w:t>1.</w:t>
      </w:r>
      <w:r w:rsidRPr="005441F7">
        <w:rPr>
          <w:rFonts w:ascii="Times New Roman" w:hAnsi="Times New Roman"/>
          <w:b w:val="0"/>
          <w:szCs w:val="24"/>
          <w:u w:val="none"/>
        </w:rPr>
        <w:tab/>
        <w:t>The Commission has jurisdiction over the parties and subject matter in this proceeding.</w:t>
      </w:r>
      <w:r w:rsidR="00A649DB" w:rsidRPr="005441F7">
        <w:rPr>
          <w:rFonts w:ascii="Times New Roman" w:hAnsi="Times New Roman"/>
          <w:b w:val="0"/>
          <w:szCs w:val="24"/>
          <w:u w:val="none"/>
        </w:rPr>
        <w:t xml:space="preserve">  </w:t>
      </w:r>
      <w:proofErr w:type="gramStart"/>
      <w:r w:rsidR="00A649DB" w:rsidRPr="005441F7">
        <w:rPr>
          <w:rFonts w:ascii="Times New Roman" w:hAnsi="Times New Roman"/>
          <w:b w:val="0"/>
          <w:szCs w:val="24"/>
          <w:u w:val="none"/>
        </w:rPr>
        <w:t>66 Pa. C.S. § 701.</w:t>
      </w:r>
      <w:proofErr w:type="gramEnd"/>
    </w:p>
    <w:p w:rsidR="0082408D" w:rsidRPr="005441F7" w:rsidRDefault="0082408D" w:rsidP="005441F7">
      <w:pPr>
        <w:pStyle w:val="BodyText"/>
        <w:tabs>
          <w:tab w:val="clear" w:pos="1980"/>
        </w:tabs>
        <w:spacing w:line="360" w:lineRule="auto"/>
        <w:jc w:val="left"/>
        <w:rPr>
          <w:rFonts w:ascii="Times New Roman" w:hAnsi="Times New Roman"/>
          <w:szCs w:val="24"/>
        </w:rPr>
      </w:pPr>
    </w:p>
    <w:p w:rsidR="0082408D" w:rsidRPr="005441F7" w:rsidRDefault="0082408D"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2.</w:t>
      </w:r>
      <w:r w:rsidRPr="005441F7">
        <w:rPr>
          <w:rFonts w:ascii="Times New Roman" w:hAnsi="Times New Roman"/>
          <w:szCs w:val="24"/>
        </w:rPr>
        <w:tab/>
        <w:t>The Complainant has the burden of proof in this matter pursuant to 66 Pa.C.S. §</w:t>
      </w:r>
      <w:r w:rsidR="0072127A" w:rsidRPr="005441F7">
        <w:rPr>
          <w:rFonts w:ascii="Times New Roman" w:hAnsi="Times New Roman"/>
          <w:szCs w:val="24"/>
        </w:rPr>
        <w:t xml:space="preserve"> </w:t>
      </w:r>
      <w:r w:rsidRPr="005441F7">
        <w:rPr>
          <w:rFonts w:ascii="Times New Roman" w:hAnsi="Times New Roman"/>
          <w:szCs w:val="24"/>
        </w:rPr>
        <w:t>332(a).</w:t>
      </w:r>
    </w:p>
    <w:p w:rsidR="00903C85" w:rsidRPr="005441F7" w:rsidRDefault="00903C85" w:rsidP="005441F7">
      <w:pPr>
        <w:pStyle w:val="BodyText"/>
        <w:tabs>
          <w:tab w:val="clear" w:pos="1980"/>
        </w:tabs>
        <w:spacing w:line="360" w:lineRule="auto"/>
        <w:jc w:val="left"/>
        <w:rPr>
          <w:rFonts w:ascii="Times New Roman" w:hAnsi="Times New Roman"/>
          <w:szCs w:val="24"/>
        </w:rPr>
      </w:pPr>
    </w:p>
    <w:p w:rsidR="00903C85" w:rsidRPr="005441F7" w:rsidRDefault="00903C85" w:rsidP="005441F7">
      <w:pPr>
        <w:pStyle w:val="BodyText"/>
        <w:tabs>
          <w:tab w:val="clear" w:pos="1980"/>
        </w:tabs>
        <w:spacing w:line="360" w:lineRule="auto"/>
        <w:jc w:val="left"/>
        <w:rPr>
          <w:rFonts w:ascii="Times New Roman" w:hAnsi="Times New Roman"/>
          <w:szCs w:val="24"/>
        </w:rPr>
      </w:pPr>
      <w:r w:rsidRPr="005441F7">
        <w:rPr>
          <w:rFonts w:ascii="Times New Roman" w:hAnsi="Times New Roman"/>
          <w:szCs w:val="24"/>
        </w:rPr>
        <w:tab/>
      </w:r>
      <w:r w:rsidRPr="005441F7">
        <w:rPr>
          <w:rFonts w:ascii="Times New Roman" w:hAnsi="Times New Roman"/>
          <w:szCs w:val="24"/>
        </w:rPr>
        <w:tab/>
        <w:t>3.</w:t>
      </w:r>
      <w:r w:rsidRPr="005441F7">
        <w:rPr>
          <w:rFonts w:ascii="Times New Roman" w:hAnsi="Times New Roman"/>
          <w:szCs w:val="24"/>
        </w:rPr>
        <w:tab/>
        <w:t xml:space="preserve">The due process rights of Complainant have been fully protected in this proceeding.  </w:t>
      </w:r>
      <w:r w:rsidRPr="005441F7">
        <w:rPr>
          <w:rFonts w:ascii="Times New Roman" w:hAnsi="Times New Roman"/>
          <w:i/>
          <w:szCs w:val="24"/>
        </w:rPr>
        <w:t>Sentner v. Bell Telephone Company of Pennsylvania</w:t>
      </w:r>
      <w:r w:rsidRPr="005441F7">
        <w:rPr>
          <w:rFonts w:ascii="Times New Roman" w:hAnsi="Times New Roman"/>
          <w:szCs w:val="24"/>
        </w:rPr>
        <w:t xml:space="preserve">, Docket No. </w:t>
      </w:r>
      <w:proofErr w:type="gramStart"/>
      <w:r w:rsidRPr="005441F7">
        <w:rPr>
          <w:rFonts w:ascii="Times New Roman" w:hAnsi="Times New Roman"/>
          <w:szCs w:val="24"/>
        </w:rPr>
        <w:t>F-00161106 (Order entered October 25, 1993); and 52 Pa. Code § 5.245(a).</w:t>
      </w:r>
      <w:proofErr w:type="gramEnd"/>
    </w:p>
    <w:p w:rsidR="00CF7119" w:rsidRPr="005441F7" w:rsidRDefault="00CF7119" w:rsidP="005441F7">
      <w:pPr>
        <w:pStyle w:val="BodyText"/>
        <w:tabs>
          <w:tab w:val="clear" w:pos="1980"/>
        </w:tabs>
        <w:spacing w:line="360" w:lineRule="auto"/>
        <w:jc w:val="left"/>
        <w:rPr>
          <w:rFonts w:ascii="Times New Roman" w:hAnsi="Times New Roman"/>
          <w:szCs w:val="24"/>
        </w:rPr>
      </w:pPr>
    </w:p>
    <w:p w:rsidR="009F3C36" w:rsidRPr="005441F7" w:rsidRDefault="002E4E15" w:rsidP="005441F7">
      <w:pPr>
        <w:spacing w:line="360" w:lineRule="auto"/>
        <w:rPr>
          <w:sz w:val="24"/>
          <w:szCs w:val="24"/>
        </w:rPr>
      </w:pPr>
      <w:r w:rsidRPr="005441F7">
        <w:rPr>
          <w:sz w:val="24"/>
          <w:szCs w:val="24"/>
        </w:rPr>
        <w:tab/>
      </w:r>
      <w:r w:rsidRPr="005441F7">
        <w:rPr>
          <w:sz w:val="24"/>
          <w:szCs w:val="24"/>
        </w:rPr>
        <w:tab/>
      </w:r>
      <w:r w:rsidR="00903C85" w:rsidRPr="005441F7">
        <w:rPr>
          <w:sz w:val="24"/>
          <w:szCs w:val="24"/>
        </w:rPr>
        <w:t>4</w:t>
      </w:r>
      <w:r w:rsidR="000A7743" w:rsidRPr="005441F7">
        <w:rPr>
          <w:sz w:val="24"/>
          <w:szCs w:val="24"/>
        </w:rPr>
        <w:t>.</w:t>
      </w:r>
      <w:r w:rsidR="000A7743" w:rsidRPr="005441F7">
        <w:rPr>
          <w:sz w:val="24"/>
          <w:szCs w:val="24"/>
        </w:rPr>
        <w:tab/>
        <w:t xml:space="preserve">By failing to appear and to present any evidence in support of her Complaint, Complainant has failed to meet her burden.  Thus, the Complaint must be </w:t>
      </w:r>
      <w:r w:rsidR="000A7743" w:rsidRPr="005441F7">
        <w:rPr>
          <w:bCs/>
          <w:sz w:val="24"/>
          <w:szCs w:val="24"/>
        </w:rPr>
        <w:t>dismissed with prejudice.</w:t>
      </w:r>
      <w:r w:rsidR="000A7743" w:rsidRPr="005441F7">
        <w:rPr>
          <w:sz w:val="24"/>
          <w:szCs w:val="24"/>
        </w:rPr>
        <w:t xml:space="preserve">  </w:t>
      </w:r>
      <w:r w:rsidR="000A7743" w:rsidRPr="005441F7">
        <w:rPr>
          <w:i/>
          <w:sz w:val="24"/>
          <w:szCs w:val="24"/>
        </w:rPr>
        <w:t>Jefferson v. UGI Utilities, Inc.</w:t>
      </w:r>
      <w:r w:rsidR="000A7743" w:rsidRPr="005441F7">
        <w:rPr>
          <w:sz w:val="24"/>
          <w:szCs w:val="24"/>
        </w:rPr>
        <w:t xml:space="preserve">, Docket No. </w:t>
      </w:r>
      <w:proofErr w:type="gramStart"/>
      <w:r w:rsidR="000A7743" w:rsidRPr="005441F7">
        <w:rPr>
          <w:sz w:val="24"/>
          <w:szCs w:val="24"/>
        </w:rPr>
        <w:t>Z-00269892 (Order entered December 26, 1995).</w:t>
      </w:r>
      <w:proofErr w:type="gramEnd"/>
    </w:p>
    <w:p w:rsidR="00A649DB" w:rsidRDefault="00A649DB" w:rsidP="005441F7">
      <w:pPr>
        <w:spacing w:line="360" w:lineRule="auto"/>
        <w:rPr>
          <w:sz w:val="24"/>
          <w:szCs w:val="24"/>
        </w:rPr>
      </w:pPr>
    </w:p>
    <w:p w:rsidR="009C54F8" w:rsidRPr="005441F7" w:rsidRDefault="009C54F8" w:rsidP="005441F7">
      <w:pPr>
        <w:spacing w:line="360" w:lineRule="auto"/>
        <w:rPr>
          <w:sz w:val="24"/>
          <w:szCs w:val="24"/>
        </w:rPr>
      </w:pPr>
    </w:p>
    <w:p w:rsidR="0082408D" w:rsidRPr="005441F7" w:rsidRDefault="00A649DB" w:rsidP="005441F7">
      <w:pPr>
        <w:pStyle w:val="Heading3"/>
        <w:rPr>
          <w:b w:val="0"/>
          <w:sz w:val="24"/>
          <w:szCs w:val="24"/>
        </w:rPr>
      </w:pPr>
      <w:r w:rsidRPr="005441F7">
        <w:rPr>
          <w:b w:val="0"/>
          <w:sz w:val="24"/>
          <w:szCs w:val="24"/>
        </w:rPr>
        <w:t>OR</w:t>
      </w:r>
      <w:r w:rsidR="0082408D" w:rsidRPr="005441F7">
        <w:rPr>
          <w:b w:val="0"/>
          <w:sz w:val="24"/>
          <w:szCs w:val="24"/>
        </w:rPr>
        <w:t>DER</w:t>
      </w:r>
    </w:p>
    <w:p w:rsidR="0082408D" w:rsidRDefault="0082408D" w:rsidP="005441F7">
      <w:pPr>
        <w:spacing w:line="360" w:lineRule="auto"/>
        <w:rPr>
          <w:sz w:val="24"/>
          <w:szCs w:val="24"/>
        </w:rPr>
      </w:pPr>
    </w:p>
    <w:p w:rsidR="005441F7" w:rsidRPr="005441F7" w:rsidRDefault="005441F7" w:rsidP="005441F7">
      <w:pPr>
        <w:spacing w:line="360" w:lineRule="auto"/>
        <w:rPr>
          <w:sz w:val="24"/>
          <w:szCs w:val="24"/>
        </w:rPr>
      </w:pPr>
    </w:p>
    <w:p w:rsidR="0082408D" w:rsidRPr="005441F7" w:rsidRDefault="0082408D" w:rsidP="005441F7">
      <w:pPr>
        <w:spacing w:line="360" w:lineRule="auto"/>
        <w:rPr>
          <w:sz w:val="24"/>
          <w:szCs w:val="24"/>
        </w:rPr>
      </w:pPr>
      <w:r w:rsidRPr="005441F7">
        <w:rPr>
          <w:sz w:val="24"/>
          <w:szCs w:val="24"/>
        </w:rPr>
        <w:tab/>
      </w:r>
      <w:r w:rsidRPr="005441F7">
        <w:rPr>
          <w:sz w:val="24"/>
          <w:szCs w:val="24"/>
        </w:rPr>
        <w:tab/>
        <w:t>THEREFORE,</w:t>
      </w:r>
    </w:p>
    <w:p w:rsidR="00771D09" w:rsidRPr="005441F7" w:rsidRDefault="00771D09" w:rsidP="005441F7">
      <w:pPr>
        <w:spacing w:line="360" w:lineRule="auto"/>
        <w:rPr>
          <w:sz w:val="24"/>
          <w:szCs w:val="24"/>
        </w:rPr>
      </w:pPr>
    </w:p>
    <w:p w:rsidR="0082408D" w:rsidRPr="005441F7" w:rsidRDefault="0082408D" w:rsidP="005441F7">
      <w:pPr>
        <w:spacing w:line="360" w:lineRule="auto"/>
        <w:rPr>
          <w:sz w:val="24"/>
          <w:szCs w:val="24"/>
        </w:rPr>
      </w:pPr>
      <w:r w:rsidRPr="005441F7">
        <w:rPr>
          <w:sz w:val="24"/>
          <w:szCs w:val="24"/>
        </w:rPr>
        <w:tab/>
      </w:r>
      <w:r w:rsidRPr="005441F7">
        <w:rPr>
          <w:sz w:val="24"/>
          <w:szCs w:val="24"/>
        </w:rPr>
        <w:tab/>
        <w:t>IT IS ORDERED:</w:t>
      </w:r>
    </w:p>
    <w:p w:rsidR="00771D09" w:rsidRPr="005441F7" w:rsidRDefault="00771D09" w:rsidP="005441F7">
      <w:pPr>
        <w:spacing w:line="360" w:lineRule="auto"/>
        <w:rPr>
          <w:sz w:val="24"/>
          <w:szCs w:val="24"/>
        </w:rPr>
      </w:pPr>
    </w:p>
    <w:p w:rsidR="00903C85" w:rsidRDefault="00ED2ABA" w:rsidP="005441F7">
      <w:pPr>
        <w:spacing w:line="360" w:lineRule="auto"/>
        <w:rPr>
          <w:sz w:val="24"/>
          <w:szCs w:val="24"/>
        </w:rPr>
      </w:pPr>
      <w:r w:rsidRPr="005441F7">
        <w:rPr>
          <w:sz w:val="24"/>
          <w:szCs w:val="24"/>
        </w:rPr>
        <w:tab/>
      </w:r>
      <w:r w:rsidRPr="005441F7">
        <w:rPr>
          <w:sz w:val="24"/>
          <w:szCs w:val="24"/>
        </w:rPr>
        <w:tab/>
        <w:t>1.</w:t>
      </w:r>
      <w:r w:rsidRPr="005441F7">
        <w:rPr>
          <w:sz w:val="24"/>
          <w:szCs w:val="24"/>
        </w:rPr>
        <w:tab/>
        <w:t>That the C</w:t>
      </w:r>
      <w:r w:rsidR="0082408D" w:rsidRPr="005441F7">
        <w:rPr>
          <w:sz w:val="24"/>
          <w:szCs w:val="24"/>
        </w:rPr>
        <w:t xml:space="preserve">omplaint filed by </w:t>
      </w:r>
      <w:r w:rsidR="00A649DB" w:rsidRPr="005441F7">
        <w:rPr>
          <w:sz w:val="24"/>
          <w:szCs w:val="24"/>
        </w:rPr>
        <w:t>Heather L. Schmidt</w:t>
      </w:r>
      <w:r w:rsidR="0082408D" w:rsidRPr="005441F7">
        <w:rPr>
          <w:sz w:val="24"/>
          <w:szCs w:val="24"/>
        </w:rPr>
        <w:t xml:space="preserve"> against the P</w:t>
      </w:r>
      <w:r w:rsidR="00A649DB" w:rsidRPr="005441F7">
        <w:rPr>
          <w:sz w:val="24"/>
          <w:szCs w:val="24"/>
        </w:rPr>
        <w:t>PL Electric Utilities Corporation</w:t>
      </w:r>
      <w:r w:rsidR="0082408D" w:rsidRPr="005441F7">
        <w:rPr>
          <w:sz w:val="24"/>
          <w:szCs w:val="24"/>
        </w:rPr>
        <w:t xml:space="preserve"> at Docket </w:t>
      </w:r>
      <w:r w:rsidR="00A649DB" w:rsidRPr="005441F7">
        <w:rPr>
          <w:sz w:val="24"/>
          <w:szCs w:val="24"/>
        </w:rPr>
        <w:t>F</w:t>
      </w:r>
      <w:r w:rsidR="00B611D2" w:rsidRPr="005441F7">
        <w:rPr>
          <w:sz w:val="24"/>
          <w:szCs w:val="24"/>
        </w:rPr>
        <w:t>-2</w:t>
      </w:r>
      <w:r w:rsidR="00A649DB" w:rsidRPr="005441F7">
        <w:rPr>
          <w:sz w:val="24"/>
          <w:szCs w:val="24"/>
        </w:rPr>
        <w:t>011</w:t>
      </w:r>
      <w:r w:rsidR="00B611D2" w:rsidRPr="005441F7">
        <w:rPr>
          <w:sz w:val="24"/>
          <w:szCs w:val="24"/>
        </w:rPr>
        <w:t>-</w:t>
      </w:r>
      <w:r w:rsidR="00A649DB" w:rsidRPr="005441F7">
        <w:rPr>
          <w:sz w:val="24"/>
          <w:szCs w:val="24"/>
        </w:rPr>
        <w:t>2222509</w:t>
      </w:r>
      <w:r w:rsidR="0082408D" w:rsidRPr="005441F7">
        <w:rPr>
          <w:sz w:val="24"/>
          <w:szCs w:val="24"/>
        </w:rPr>
        <w:t xml:space="preserve"> is dismissed</w:t>
      </w:r>
      <w:r w:rsidR="00B611D2" w:rsidRPr="005441F7">
        <w:rPr>
          <w:sz w:val="24"/>
          <w:szCs w:val="24"/>
        </w:rPr>
        <w:t xml:space="preserve"> with prejudice</w:t>
      </w:r>
      <w:r w:rsidR="00903C85" w:rsidRPr="005441F7">
        <w:rPr>
          <w:sz w:val="24"/>
          <w:szCs w:val="24"/>
        </w:rPr>
        <w:t>.</w:t>
      </w:r>
    </w:p>
    <w:p w:rsidR="006F0BBB" w:rsidRPr="005441F7" w:rsidRDefault="006F0BBB" w:rsidP="005441F7">
      <w:pPr>
        <w:spacing w:line="360" w:lineRule="auto"/>
        <w:rPr>
          <w:sz w:val="24"/>
          <w:szCs w:val="24"/>
        </w:rPr>
      </w:pPr>
    </w:p>
    <w:p w:rsidR="0082408D" w:rsidRPr="005441F7" w:rsidRDefault="00903C85" w:rsidP="005441F7">
      <w:pPr>
        <w:spacing w:line="360" w:lineRule="auto"/>
        <w:rPr>
          <w:sz w:val="24"/>
          <w:szCs w:val="24"/>
        </w:rPr>
      </w:pPr>
      <w:bookmarkStart w:id="0" w:name="_GoBack"/>
      <w:bookmarkEnd w:id="0"/>
      <w:r w:rsidRPr="005441F7">
        <w:rPr>
          <w:sz w:val="24"/>
          <w:szCs w:val="24"/>
        </w:rPr>
        <w:lastRenderedPageBreak/>
        <w:tab/>
      </w:r>
      <w:r w:rsidRPr="005441F7">
        <w:rPr>
          <w:sz w:val="24"/>
          <w:szCs w:val="24"/>
        </w:rPr>
        <w:tab/>
        <w:t>2.</w:t>
      </w:r>
      <w:r w:rsidRPr="005441F7">
        <w:rPr>
          <w:sz w:val="24"/>
          <w:szCs w:val="24"/>
        </w:rPr>
        <w:tab/>
        <w:t xml:space="preserve">That </w:t>
      </w:r>
      <w:r w:rsidR="0082408D" w:rsidRPr="005441F7">
        <w:rPr>
          <w:sz w:val="24"/>
          <w:szCs w:val="24"/>
        </w:rPr>
        <w:t>this case is marked closed.</w:t>
      </w:r>
    </w:p>
    <w:p w:rsidR="00903C85" w:rsidRPr="005441F7" w:rsidRDefault="00903C85" w:rsidP="005441F7">
      <w:pPr>
        <w:spacing w:line="360" w:lineRule="auto"/>
        <w:rPr>
          <w:sz w:val="24"/>
          <w:szCs w:val="24"/>
        </w:rPr>
      </w:pPr>
    </w:p>
    <w:p w:rsidR="00771D09" w:rsidRPr="005441F7" w:rsidRDefault="00771D09" w:rsidP="005441F7">
      <w:pPr>
        <w:rPr>
          <w:sz w:val="24"/>
          <w:szCs w:val="24"/>
        </w:rPr>
      </w:pPr>
    </w:p>
    <w:p w:rsidR="00771D09" w:rsidRPr="005441F7" w:rsidRDefault="00771D09" w:rsidP="005441F7">
      <w:pPr>
        <w:rPr>
          <w:sz w:val="24"/>
          <w:szCs w:val="24"/>
        </w:rPr>
      </w:pPr>
    </w:p>
    <w:p w:rsidR="0082408D" w:rsidRPr="005441F7" w:rsidRDefault="0082408D" w:rsidP="005441F7">
      <w:pPr>
        <w:rPr>
          <w:sz w:val="24"/>
          <w:szCs w:val="24"/>
        </w:rPr>
      </w:pPr>
      <w:r w:rsidRPr="005441F7">
        <w:rPr>
          <w:sz w:val="24"/>
          <w:szCs w:val="24"/>
        </w:rPr>
        <w:t>Date:</w:t>
      </w:r>
      <w:r w:rsidRPr="005441F7">
        <w:rPr>
          <w:sz w:val="24"/>
          <w:szCs w:val="24"/>
        </w:rPr>
        <w:tab/>
      </w:r>
      <w:r w:rsidR="00A649DB" w:rsidRPr="005441F7">
        <w:rPr>
          <w:sz w:val="24"/>
          <w:szCs w:val="24"/>
          <w:u w:val="single"/>
        </w:rPr>
        <w:t>December 13</w:t>
      </w:r>
      <w:r w:rsidR="00EF16DD" w:rsidRPr="005441F7">
        <w:rPr>
          <w:sz w:val="24"/>
          <w:szCs w:val="24"/>
          <w:u w:val="single"/>
        </w:rPr>
        <w:t>, 20</w:t>
      </w:r>
      <w:r w:rsidR="00B611D2" w:rsidRPr="005441F7">
        <w:rPr>
          <w:sz w:val="24"/>
          <w:szCs w:val="24"/>
          <w:u w:val="single"/>
        </w:rPr>
        <w:t>1</w:t>
      </w:r>
      <w:r w:rsidR="00A649DB" w:rsidRPr="005441F7">
        <w:rPr>
          <w:sz w:val="24"/>
          <w:szCs w:val="24"/>
          <w:u w:val="single"/>
        </w:rPr>
        <w:t>1</w:t>
      </w:r>
      <w:r w:rsidR="00EF16DD" w:rsidRPr="005441F7">
        <w:rPr>
          <w:sz w:val="24"/>
          <w:szCs w:val="24"/>
        </w:rPr>
        <w:tab/>
      </w:r>
      <w:r w:rsidRPr="005441F7">
        <w:rPr>
          <w:sz w:val="24"/>
          <w:szCs w:val="24"/>
        </w:rPr>
        <w:tab/>
      </w:r>
      <w:r w:rsidRPr="005441F7">
        <w:rPr>
          <w:sz w:val="24"/>
          <w:szCs w:val="24"/>
        </w:rPr>
        <w:tab/>
      </w:r>
      <w:r w:rsidRPr="005441F7">
        <w:rPr>
          <w:sz w:val="24"/>
          <w:szCs w:val="24"/>
        </w:rPr>
        <w:tab/>
        <w:t>___________________________</w:t>
      </w:r>
    </w:p>
    <w:p w:rsidR="0082408D" w:rsidRPr="005441F7" w:rsidRDefault="0082408D" w:rsidP="005441F7">
      <w:pPr>
        <w:rPr>
          <w:sz w:val="24"/>
          <w:szCs w:val="24"/>
        </w:rPr>
      </w:pP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00B611D2" w:rsidRPr="005441F7">
        <w:rPr>
          <w:sz w:val="24"/>
          <w:szCs w:val="24"/>
        </w:rPr>
        <w:t>Dennis J. Buckley</w:t>
      </w:r>
    </w:p>
    <w:p w:rsidR="0082408D" w:rsidRPr="005441F7" w:rsidRDefault="0082408D" w:rsidP="005441F7">
      <w:pPr>
        <w:ind w:hanging="720"/>
        <w:rPr>
          <w:sz w:val="24"/>
          <w:szCs w:val="24"/>
        </w:rPr>
      </w:pP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Pr="005441F7">
        <w:rPr>
          <w:sz w:val="24"/>
          <w:szCs w:val="24"/>
        </w:rPr>
        <w:tab/>
      </w:r>
      <w:r w:rsidR="005441F7">
        <w:rPr>
          <w:sz w:val="24"/>
          <w:szCs w:val="24"/>
        </w:rPr>
        <w:tab/>
      </w:r>
      <w:r w:rsidRPr="005441F7">
        <w:rPr>
          <w:sz w:val="24"/>
          <w:szCs w:val="24"/>
        </w:rPr>
        <w:t>Administrative Law Judge</w:t>
      </w:r>
    </w:p>
    <w:sectPr w:rsidR="0082408D" w:rsidRPr="005441F7" w:rsidSect="00577D29">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9C5" w:rsidRDefault="008469C5">
      <w:r>
        <w:separator/>
      </w:r>
    </w:p>
  </w:endnote>
  <w:endnote w:type="continuationSeparator" w:id="0">
    <w:p w:rsidR="008469C5" w:rsidRDefault="0084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Default="00907283">
    <w:pPr>
      <w:pStyle w:val="Footer"/>
      <w:framePr w:wrap="around" w:vAnchor="text" w:hAnchor="margin" w:xAlign="center" w:y="1"/>
      <w:rPr>
        <w:rStyle w:val="PageNumber"/>
      </w:rPr>
    </w:pPr>
    <w:r>
      <w:rPr>
        <w:rStyle w:val="PageNumber"/>
      </w:rPr>
      <w:fldChar w:fldCharType="begin"/>
    </w:r>
    <w:r w:rsidR="000E4653">
      <w:rPr>
        <w:rStyle w:val="PageNumber"/>
      </w:rPr>
      <w:instrText xml:space="preserve">PAGE  </w:instrText>
    </w:r>
    <w:r>
      <w:rPr>
        <w:rStyle w:val="PageNumber"/>
      </w:rPr>
      <w:fldChar w:fldCharType="separate"/>
    </w:r>
    <w:r w:rsidR="000E4653">
      <w:rPr>
        <w:rStyle w:val="PageNumber"/>
        <w:noProof/>
      </w:rPr>
      <w:t>16</w:t>
    </w:r>
    <w:r>
      <w:rPr>
        <w:rStyle w:val="PageNumber"/>
      </w:rPr>
      <w:fldChar w:fldCharType="end"/>
    </w:r>
  </w:p>
  <w:p w:rsidR="000E4653" w:rsidRDefault="000E4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53" w:rsidRPr="00347776" w:rsidRDefault="00907283">
    <w:pPr>
      <w:pStyle w:val="Footer"/>
      <w:framePr w:wrap="around" w:vAnchor="text" w:hAnchor="margin" w:xAlign="center" w:y="1"/>
      <w:rPr>
        <w:rStyle w:val="PageNumber"/>
        <w:sz w:val="20"/>
      </w:rPr>
    </w:pPr>
    <w:r w:rsidRPr="00347776">
      <w:rPr>
        <w:rStyle w:val="PageNumber"/>
        <w:sz w:val="20"/>
      </w:rPr>
      <w:fldChar w:fldCharType="begin"/>
    </w:r>
    <w:r w:rsidR="000E4653" w:rsidRPr="00347776">
      <w:rPr>
        <w:rStyle w:val="PageNumber"/>
        <w:sz w:val="20"/>
      </w:rPr>
      <w:instrText xml:space="preserve">PAGE  </w:instrText>
    </w:r>
    <w:r w:rsidRPr="00347776">
      <w:rPr>
        <w:rStyle w:val="PageNumber"/>
        <w:sz w:val="20"/>
      </w:rPr>
      <w:fldChar w:fldCharType="separate"/>
    </w:r>
    <w:r w:rsidR="009C54F8">
      <w:rPr>
        <w:rStyle w:val="PageNumber"/>
        <w:noProof/>
        <w:sz w:val="20"/>
      </w:rPr>
      <w:t>6</w:t>
    </w:r>
    <w:r w:rsidRPr="00347776">
      <w:rPr>
        <w:rStyle w:val="PageNumber"/>
        <w:sz w:val="20"/>
      </w:rPr>
      <w:fldChar w:fldCharType="end"/>
    </w:r>
  </w:p>
  <w:p w:rsidR="000E4653" w:rsidRDefault="000E4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9C5" w:rsidRDefault="008469C5">
      <w:r>
        <w:separator/>
      </w:r>
    </w:p>
  </w:footnote>
  <w:footnote w:type="continuationSeparator" w:id="0">
    <w:p w:rsidR="008469C5" w:rsidRDefault="008469C5">
      <w:r>
        <w:continuationSeparator/>
      </w:r>
    </w:p>
  </w:footnote>
  <w:footnote w:id="1">
    <w:p w:rsidR="00361A4C" w:rsidRDefault="00361A4C">
      <w:pPr>
        <w:pStyle w:val="FootnoteText"/>
      </w:pPr>
      <w:r>
        <w:rPr>
          <w:rStyle w:val="FootnoteReference"/>
        </w:rPr>
        <w:footnoteRef/>
      </w:r>
      <w:r>
        <w:t xml:space="preserve"> </w:t>
      </w:r>
      <w:r>
        <w:tab/>
        <w:t>The formal Complaint is a timely appeal from a decision by the Commission’s Bureau of Consumer Services (BCS) at BCS C</w:t>
      </w:r>
      <w:r w:rsidR="00FC1256">
        <w:t>ase</w:t>
      </w:r>
      <w:r>
        <w:t xml:space="preserve"> No. 2763916.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2B"/>
    <w:rsid w:val="00014DF4"/>
    <w:rsid w:val="000158A4"/>
    <w:rsid w:val="00023F14"/>
    <w:rsid w:val="000373FF"/>
    <w:rsid w:val="0004189B"/>
    <w:rsid w:val="00053167"/>
    <w:rsid w:val="0007029C"/>
    <w:rsid w:val="000750BE"/>
    <w:rsid w:val="0007652A"/>
    <w:rsid w:val="00093062"/>
    <w:rsid w:val="000A2141"/>
    <w:rsid w:val="000A7743"/>
    <w:rsid w:val="000B179D"/>
    <w:rsid w:val="000B39DD"/>
    <w:rsid w:val="000B7C7A"/>
    <w:rsid w:val="000C6474"/>
    <w:rsid w:val="000D5187"/>
    <w:rsid w:val="000E4653"/>
    <w:rsid w:val="000F3B48"/>
    <w:rsid w:val="001048D8"/>
    <w:rsid w:val="001177E2"/>
    <w:rsid w:val="0012199B"/>
    <w:rsid w:val="00123CBF"/>
    <w:rsid w:val="00124C90"/>
    <w:rsid w:val="00134A36"/>
    <w:rsid w:val="0014704D"/>
    <w:rsid w:val="0014740F"/>
    <w:rsid w:val="00147FD8"/>
    <w:rsid w:val="00162A9F"/>
    <w:rsid w:val="00164299"/>
    <w:rsid w:val="00165845"/>
    <w:rsid w:val="00173854"/>
    <w:rsid w:val="001764FD"/>
    <w:rsid w:val="00177F46"/>
    <w:rsid w:val="0018248B"/>
    <w:rsid w:val="001853E8"/>
    <w:rsid w:val="001939A4"/>
    <w:rsid w:val="001A151F"/>
    <w:rsid w:val="001B3B27"/>
    <w:rsid w:val="001C08A6"/>
    <w:rsid w:val="001D6387"/>
    <w:rsid w:val="001D748B"/>
    <w:rsid w:val="001E646A"/>
    <w:rsid w:val="001F0CFE"/>
    <w:rsid w:val="00203E9B"/>
    <w:rsid w:val="00206515"/>
    <w:rsid w:val="00207D13"/>
    <w:rsid w:val="00210D0E"/>
    <w:rsid w:val="002303C5"/>
    <w:rsid w:val="00230547"/>
    <w:rsid w:val="00251BFC"/>
    <w:rsid w:val="0025628A"/>
    <w:rsid w:val="00264CA7"/>
    <w:rsid w:val="002717E4"/>
    <w:rsid w:val="00280BE6"/>
    <w:rsid w:val="00281B73"/>
    <w:rsid w:val="0028256C"/>
    <w:rsid w:val="0029037E"/>
    <w:rsid w:val="00290441"/>
    <w:rsid w:val="00292DB8"/>
    <w:rsid w:val="002B3D02"/>
    <w:rsid w:val="002C1BC7"/>
    <w:rsid w:val="002C6EA9"/>
    <w:rsid w:val="002E15DC"/>
    <w:rsid w:val="002E4E15"/>
    <w:rsid w:val="002E53B7"/>
    <w:rsid w:val="002F25CF"/>
    <w:rsid w:val="003039F1"/>
    <w:rsid w:val="003062A8"/>
    <w:rsid w:val="003165F9"/>
    <w:rsid w:val="00321F70"/>
    <w:rsid w:val="00323856"/>
    <w:rsid w:val="00327DAC"/>
    <w:rsid w:val="003359A4"/>
    <w:rsid w:val="00347776"/>
    <w:rsid w:val="00354863"/>
    <w:rsid w:val="00356EC0"/>
    <w:rsid w:val="00361A4C"/>
    <w:rsid w:val="0036302B"/>
    <w:rsid w:val="0037737A"/>
    <w:rsid w:val="003818C4"/>
    <w:rsid w:val="00391689"/>
    <w:rsid w:val="00393596"/>
    <w:rsid w:val="003A2526"/>
    <w:rsid w:val="003A28D5"/>
    <w:rsid w:val="003A4DBC"/>
    <w:rsid w:val="003C1FA5"/>
    <w:rsid w:val="003C6B1C"/>
    <w:rsid w:val="003E310E"/>
    <w:rsid w:val="00407ED2"/>
    <w:rsid w:val="0041603F"/>
    <w:rsid w:val="00434AA0"/>
    <w:rsid w:val="00443511"/>
    <w:rsid w:val="0044552C"/>
    <w:rsid w:val="00450055"/>
    <w:rsid w:val="00460639"/>
    <w:rsid w:val="00477873"/>
    <w:rsid w:val="00481849"/>
    <w:rsid w:val="00485B4E"/>
    <w:rsid w:val="00486D2B"/>
    <w:rsid w:val="004923E8"/>
    <w:rsid w:val="00494CA4"/>
    <w:rsid w:val="00496B9E"/>
    <w:rsid w:val="004B2EFD"/>
    <w:rsid w:val="004C169D"/>
    <w:rsid w:val="004C1709"/>
    <w:rsid w:val="004D43ED"/>
    <w:rsid w:val="004F2B91"/>
    <w:rsid w:val="004F35E2"/>
    <w:rsid w:val="004F74A8"/>
    <w:rsid w:val="004F7592"/>
    <w:rsid w:val="00502BFE"/>
    <w:rsid w:val="005077BA"/>
    <w:rsid w:val="0052376C"/>
    <w:rsid w:val="0052423F"/>
    <w:rsid w:val="00534D2B"/>
    <w:rsid w:val="00543676"/>
    <w:rsid w:val="005441F7"/>
    <w:rsid w:val="00550ADA"/>
    <w:rsid w:val="005527AE"/>
    <w:rsid w:val="00563CF3"/>
    <w:rsid w:val="00573ECB"/>
    <w:rsid w:val="00577D29"/>
    <w:rsid w:val="005832E0"/>
    <w:rsid w:val="00583EC9"/>
    <w:rsid w:val="00593264"/>
    <w:rsid w:val="00594328"/>
    <w:rsid w:val="0059456D"/>
    <w:rsid w:val="005B4689"/>
    <w:rsid w:val="005C3F66"/>
    <w:rsid w:val="005D14BB"/>
    <w:rsid w:val="005E0C64"/>
    <w:rsid w:val="005F59DD"/>
    <w:rsid w:val="006019D2"/>
    <w:rsid w:val="00606884"/>
    <w:rsid w:val="00617A57"/>
    <w:rsid w:val="0062755E"/>
    <w:rsid w:val="00630649"/>
    <w:rsid w:val="00631196"/>
    <w:rsid w:val="00631BC7"/>
    <w:rsid w:val="00635F70"/>
    <w:rsid w:val="00645F97"/>
    <w:rsid w:val="006533DF"/>
    <w:rsid w:val="006555D7"/>
    <w:rsid w:val="00655AC9"/>
    <w:rsid w:val="0067397D"/>
    <w:rsid w:val="006776D8"/>
    <w:rsid w:val="006A63A1"/>
    <w:rsid w:val="006A7017"/>
    <w:rsid w:val="006A7959"/>
    <w:rsid w:val="006C4639"/>
    <w:rsid w:val="006C5843"/>
    <w:rsid w:val="006D2D80"/>
    <w:rsid w:val="006E0DEA"/>
    <w:rsid w:val="006E4968"/>
    <w:rsid w:val="006F0BBB"/>
    <w:rsid w:val="006F7D46"/>
    <w:rsid w:val="00703D60"/>
    <w:rsid w:val="007042D6"/>
    <w:rsid w:val="007106CE"/>
    <w:rsid w:val="00716750"/>
    <w:rsid w:val="0072127A"/>
    <w:rsid w:val="00722F5F"/>
    <w:rsid w:val="007469AD"/>
    <w:rsid w:val="00747881"/>
    <w:rsid w:val="00752A44"/>
    <w:rsid w:val="00754A33"/>
    <w:rsid w:val="00755F79"/>
    <w:rsid w:val="007603AC"/>
    <w:rsid w:val="00760E44"/>
    <w:rsid w:val="00771BF0"/>
    <w:rsid w:val="00771D09"/>
    <w:rsid w:val="007741DF"/>
    <w:rsid w:val="00784168"/>
    <w:rsid w:val="0079457E"/>
    <w:rsid w:val="0079607F"/>
    <w:rsid w:val="007A14D7"/>
    <w:rsid w:val="007A3193"/>
    <w:rsid w:val="007C5D41"/>
    <w:rsid w:val="007D0439"/>
    <w:rsid w:val="007F00EC"/>
    <w:rsid w:val="007F0232"/>
    <w:rsid w:val="00822C55"/>
    <w:rsid w:val="00822DAC"/>
    <w:rsid w:val="0082408D"/>
    <w:rsid w:val="008277B7"/>
    <w:rsid w:val="00830427"/>
    <w:rsid w:val="00836D0A"/>
    <w:rsid w:val="00843A44"/>
    <w:rsid w:val="008469C5"/>
    <w:rsid w:val="00847F5A"/>
    <w:rsid w:val="0085304D"/>
    <w:rsid w:val="0087495E"/>
    <w:rsid w:val="00876CB0"/>
    <w:rsid w:val="00890E80"/>
    <w:rsid w:val="008B76D1"/>
    <w:rsid w:val="008C1B10"/>
    <w:rsid w:val="008C62F6"/>
    <w:rsid w:val="008C7FB3"/>
    <w:rsid w:val="008D2DA4"/>
    <w:rsid w:val="008D3F07"/>
    <w:rsid w:val="008E3DA5"/>
    <w:rsid w:val="008E3DC9"/>
    <w:rsid w:val="008F23B8"/>
    <w:rsid w:val="008F313B"/>
    <w:rsid w:val="008F4C62"/>
    <w:rsid w:val="008F604F"/>
    <w:rsid w:val="00901177"/>
    <w:rsid w:val="00903C85"/>
    <w:rsid w:val="00907283"/>
    <w:rsid w:val="00920847"/>
    <w:rsid w:val="00927CEE"/>
    <w:rsid w:val="0093282B"/>
    <w:rsid w:val="009367D0"/>
    <w:rsid w:val="00956EAF"/>
    <w:rsid w:val="00972E01"/>
    <w:rsid w:val="0097488E"/>
    <w:rsid w:val="00984496"/>
    <w:rsid w:val="009879C8"/>
    <w:rsid w:val="009A1731"/>
    <w:rsid w:val="009A3478"/>
    <w:rsid w:val="009B5BB7"/>
    <w:rsid w:val="009C0D8A"/>
    <w:rsid w:val="009C0EFE"/>
    <w:rsid w:val="009C54F8"/>
    <w:rsid w:val="009D4F0F"/>
    <w:rsid w:val="009E1325"/>
    <w:rsid w:val="009F3C36"/>
    <w:rsid w:val="00A05536"/>
    <w:rsid w:val="00A05818"/>
    <w:rsid w:val="00A07A40"/>
    <w:rsid w:val="00A4430A"/>
    <w:rsid w:val="00A472F8"/>
    <w:rsid w:val="00A477E8"/>
    <w:rsid w:val="00A649DB"/>
    <w:rsid w:val="00A82046"/>
    <w:rsid w:val="00A93B73"/>
    <w:rsid w:val="00AB011D"/>
    <w:rsid w:val="00AB2329"/>
    <w:rsid w:val="00AB361B"/>
    <w:rsid w:val="00AC26C0"/>
    <w:rsid w:val="00AD1448"/>
    <w:rsid w:val="00B0179C"/>
    <w:rsid w:val="00B05B3B"/>
    <w:rsid w:val="00B0677F"/>
    <w:rsid w:val="00B1219D"/>
    <w:rsid w:val="00B15D1B"/>
    <w:rsid w:val="00B2471F"/>
    <w:rsid w:val="00B515FE"/>
    <w:rsid w:val="00B611D2"/>
    <w:rsid w:val="00B61821"/>
    <w:rsid w:val="00B6402D"/>
    <w:rsid w:val="00B657BB"/>
    <w:rsid w:val="00B66943"/>
    <w:rsid w:val="00B750B7"/>
    <w:rsid w:val="00BA2CF2"/>
    <w:rsid w:val="00BA62D4"/>
    <w:rsid w:val="00BC5E9E"/>
    <w:rsid w:val="00BD099E"/>
    <w:rsid w:val="00BD75E3"/>
    <w:rsid w:val="00BE1584"/>
    <w:rsid w:val="00BF60DB"/>
    <w:rsid w:val="00C02220"/>
    <w:rsid w:val="00C04D91"/>
    <w:rsid w:val="00C20167"/>
    <w:rsid w:val="00C27904"/>
    <w:rsid w:val="00C30822"/>
    <w:rsid w:val="00C531C5"/>
    <w:rsid w:val="00C53246"/>
    <w:rsid w:val="00C613A8"/>
    <w:rsid w:val="00C6262B"/>
    <w:rsid w:val="00C6617C"/>
    <w:rsid w:val="00C66277"/>
    <w:rsid w:val="00C838F0"/>
    <w:rsid w:val="00C971B6"/>
    <w:rsid w:val="00C97DEB"/>
    <w:rsid w:val="00CA0A01"/>
    <w:rsid w:val="00CA60CB"/>
    <w:rsid w:val="00CA70FF"/>
    <w:rsid w:val="00CB2743"/>
    <w:rsid w:val="00CB5D93"/>
    <w:rsid w:val="00CC335A"/>
    <w:rsid w:val="00CE0084"/>
    <w:rsid w:val="00CE34D8"/>
    <w:rsid w:val="00CF6462"/>
    <w:rsid w:val="00CF7119"/>
    <w:rsid w:val="00D26E67"/>
    <w:rsid w:val="00D332C3"/>
    <w:rsid w:val="00D45E8D"/>
    <w:rsid w:val="00D517DB"/>
    <w:rsid w:val="00D5188D"/>
    <w:rsid w:val="00D544A1"/>
    <w:rsid w:val="00D70734"/>
    <w:rsid w:val="00D77603"/>
    <w:rsid w:val="00D812B6"/>
    <w:rsid w:val="00D9018C"/>
    <w:rsid w:val="00DB1651"/>
    <w:rsid w:val="00DB1A2D"/>
    <w:rsid w:val="00DC0C93"/>
    <w:rsid w:val="00DC38F0"/>
    <w:rsid w:val="00DD6972"/>
    <w:rsid w:val="00DE09B8"/>
    <w:rsid w:val="00DE3072"/>
    <w:rsid w:val="00DF24CD"/>
    <w:rsid w:val="00DF536C"/>
    <w:rsid w:val="00DF7D2E"/>
    <w:rsid w:val="00E2402B"/>
    <w:rsid w:val="00E25179"/>
    <w:rsid w:val="00E26861"/>
    <w:rsid w:val="00E30BFE"/>
    <w:rsid w:val="00E3203B"/>
    <w:rsid w:val="00E6753E"/>
    <w:rsid w:val="00E70CFD"/>
    <w:rsid w:val="00E95D89"/>
    <w:rsid w:val="00EA6FFB"/>
    <w:rsid w:val="00EC162F"/>
    <w:rsid w:val="00EC760C"/>
    <w:rsid w:val="00ED2ABA"/>
    <w:rsid w:val="00ED5B21"/>
    <w:rsid w:val="00EF16DD"/>
    <w:rsid w:val="00EF2D23"/>
    <w:rsid w:val="00F04306"/>
    <w:rsid w:val="00F04B19"/>
    <w:rsid w:val="00F05B4E"/>
    <w:rsid w:val="00F16FD6"/>
    <w:rsid w:val="00F24339"/>
    <w:rsid w:val="00F25E5C"/>
    <w:rsid w:val="00F27C3F"/>
    <w:rsid w:val="00F36644"/>
    <w:rsid w:val="00F40D85"/>
    <w:rsid w:val="00F4455B"/>
    <w:rsid w:val="00F6072B"/>
    <w:rsid w:val="00F61F07"/>
    <w:rsid w:val="00F6622F"/>
    <w:rsid w:val="00F71869"/>
    <w:rsid w:val="00F72A12"/>
    <w:rsid w:val="00F766E3"/>
    <w:rsid w:val="00F8286F"/>
    <w:rsid w:val="00F83836"/>
    <w:rsid w:val="00F8455B"/>
    <w:rsid w:val="00F85220"/>
    <w:rsid w:val="00F91F30"/>
    <w:rsid w:val="00FB66D5"/>
    <w:rsid w:val="00FC1256"/>
    <w:rsid w:val="00FC1C24"/>
    <w:rsid w:val="00FC6B35"/>
    <w:rsid w:val="00FC7F8D"/>
    <w:rsid w:val="00FD0B7E"/>
    <w:rsid w:val="00FE7F1F"/>
    <w:rsid w:val="00FF0751"/>
    <w:rsid w:val="00FF4C6E"/>
    <w:rsid w:val="00F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paragraph" w:styleId="BalloonText">
    <w:name w:val="Balloon Text"/>
    <w:basedOn w:val="Normal"/>
    <w:link w:val="BalloonTextChar"/>
    <w:rsid w:val="00347776"/>
    <w:rPr>
      <w:rFonts w:ascii="Tahoma" w:hAnsi="Tahoma" w:cs="Tahoma"/>
      <w:sz w:val="16"/>
      <w:szCs w:val="16"/>
    </w:rPr>
  </w:style>
  <w:style w:type="character" w:customStyle="1" w:styleId="BalloonTextChar">
    <w:name w:val="Balloon Text Char"/>
    <w:basedOn w:val="DefaultParagraphFont"/>
    <w:link w:val="BalloonText"/>
    <w:rsid w:val="00347776"/>
    <w:rPr>
      <w:rFonts w:ascii="Tahoma" w:hAnsi="Tahoma" w:cs="Tahoma"/>
      <w:sz w:val="16"/>
      <w:szCs w:val="16"/>
    </w:rPr>
  </w:style>
  <w:style w:type="paragraph" w:styleId="Header">
    <w:name w:val="header"/>
    <w:basedOn w:val="Normal"/>
    <w:link w:val="HeaderChar"/>
    <w:rsid w:val="00347776"/>
    <w:pPr>
      <w:tabs>
        <w:tab w:val="center" w:pos="4680"/>
        <w:tab w:val="right" w:pos="9360"/>
      </w:tabs>
    </w:pPr>
  </w:style>
  <w:style w:type="character" w:customStyle="1" w:styleId="HeaderChar">
    <w:name w:val="Header Char"/>
    <w:basedOn w:val="DefaultParagraphFont"/>
    <w:link w:val="Header"/>
    <w:rsid w:val="00347776"/>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283"/>
    <w:rPr>
      <w:sz w:val="26"/>
    </w:rPr>
  </w:style>
  <w:style w:type="paragraph" w:styleId="Heading1">
    <w:name w:val="heading 1"/>
    <w:basedOn w:val="Normal"/>
    <w:next w:val="Normal"/>
    <w:qFormat/>
    <w:rsid w:val="00907283"/>
    <w:pPr>
      <w:keepNext/>
      <w:jc w:val="center"/>
      <w:outlineLvl w:val="0"/>
    </w:pPr>
    <w:rPr>
      <w:rFonts w:ascii="Courier" w:hAnsi="Courier"/>
      <w:b/>
      <w:sz w:val="24"/>
      <w:u w:val="single"/>
    </w:rPr>
  </w:style>
  <w:style w:type="paragraph" w:styleId="Heading2">
    <w:name w:val="heading 2"/>
    <w:basedOn w:val="Normal"/>
    <w:next w:val="Normal"/>
    <w:qFormat/>
    <w:rsid w:val="00907283"/>
    <w:pPr>
      <w:keepNext/>
      <w:jc w:val="center"/>
      <w:outlineLvl w:val="1"/>
    </w:pPr>
    <w:rPr>
      <w:rFonts w:ascii="Courier" w:hAnsi="Courier"/>
      <w:b/>
      <w:sz w:val="24"/>
    </w:rPr>
  </w:style>
  <w:style w:type="paragraph" w:styleId="Heading3">
    <w:name w:val="heading 3"/>
    <w:basedOn w:val="Normal"/>
    <w:next w:val="Normal"/>
    <w:qFormat/>
    <w:rsid w:val="00907283"/>
    <w:pPr>
      <w:keepNext/>
      <w:spacing w:line="360" w:lineRule="auto"/>
      <w:jc w:val="center"/>
      <w:outlineLvl w:val="2"/>
    </w:pPr>
    <w:rPr>
      <w:b/>
      <w:u w:val="single"/>
    </w:rPr>
  </w:style>
  <w:style w:type="paragraph" w:styleId="Heading4">
    <w:name w:val="heading 4"/>
    <w:basedOn w:val="Normal"/>
    <w:next w:val="Normal"/>
    <w:qFormat/>
    <w:rsid w:val="0090728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7283"/>
    <w:pPr>
      <w:jc w:val="center"/>
    </w:pPr>
    <w:rPr>
      <w:rFonts w:ascii="Courier" w:hAnsi="Courier"/>
      <w:b/>
      <w:sz w:val="24"/>
    </w:rPr>
  </w:style>
  <w:style w:type="paragraph" w:styleId="Subtitle">
    <w:name w:val="Subtitle"/>
    <w:basedOn w:val="Normal"/>
    <w:qFormat/>
    <w:rsid w:val="00907283"/>
    <w:pPr>
      <w:jc w:val="center"/>
    </w:pPr>
    <w:rPr>
      <w:rFonts w:ascii="Courier" w:hAnsi="Courier"/>
      <w:b/>
      <w:sz w:val="24"/>
    </w:rPr>
  </w:style>
  <w:style w:type="paragraph" w:styleId="BodyText">
    <w:name w:val="Body Text"/>
    <w:basedOn w:val="Normal"/>
    <w:rsid w:val="00907283"/>
    <w:pPr>
      <w:tabs>
        <w:tab w:val="left" w:pos="1980"/>
      </w:tabs>
      <w:spacing w:line="480" w:lineRule="auto"/>
      <w:jc w:val="both"/>
    </w:pPr>
    <w:rPr>
      <w:rFonts w:ascii="Courier" w:hAnsi="Courier"/>
      <w:sz w:val="24"/>
    </w:rPr>
  </w:style>
  <w:style w:type="paragraph" w:styleId="BodyText2">
    <w:name w:val="Body Text 2"/>
    <w:basedOn w:val="Normal"/>
    <w:rsid w:val="00907283"/>
    <w:pPr>
      <w:spacing w:line="360" w:lineRule="auto"/>
      <w:jc w:val="both"/>
    </w:pPr>
  </w:style>
  <w:style w:type="paragraph" w:styleId="BodyText3">
    <w:name w:val="Body Text 3"/>
    <w:basedOn w:val="Normal"/>
    <w:rsid w:val="00907283"/>
    <w:pPr>
      <w:spacing w:line="360" w:lineRule="auto"/>
    </w:pPr>
  </w:style>
  <w:style w:type="paragraph" w:styleId="Footer">
    <w:name w:val="footer"/>
    <w:basedOn w:val="Normal"/>
    <w:rsid w:val="00907283"/>
    <w:pPr>
      <w:tabs>
        <w:tab w:val="center" w:pos="4320"/>
        <w:tab w:val="right" w:pos="8640"/>
      </w:tabs>
    </w:pPr>
  </w:style>
  <w:style w:type="character" w:styleId="PageNumber">
    <w:name w:val="page number"/>
    <w:basedOn w:val="DefaultParagraphFont"/>
    <w:rsid w:val="00907283"/>
  </w:style>
  <w:style w:type="paragraph" w:styleId="NormalWeb">
    <w:name w:val="Normal (Web)"/>
    <w:basedOn w:val="Normal"/>
    <w:rsid w:val="00907283"/>
    <w:pPr>
      <w:spacing w:before="100" w:beforeAutospacing="1" w:after="100" w:afterAutospacing="1"/>
    </w:pPr>
    <w:rPr>
      <w:sz w:val="24"/>
      <w:szCs w:val="24"/>
    </w:rPr>
  </w:style>
  <w:style w:type="paragraph" w:styleId="FootnoteText">
    <w:name w:val="footnote text"/>
    <w:basedOn w:val="Normal"/>
    <w:semiHidden/>
    <w:rsid w:val="00907283"/>
    <w:rPr>
      <w:sz w:val="20"/>
    </w:rPr>
  </w:style>
  <w:style w:type="character" w:styleId="FootnoteReference">
    <w:name w:val="footnote reference"/>
    <w:basedOn w:val="DefaultParagraphFont"/>
    <w:semiHidden/>
    <w:rsid w:val="00907283"/>
    <w:rPr>
      <w:vertAlign w:val="superscript"/>
    </w:rPr>
  </w:style>
  <w:style w:type="table" w:styleId="TableGrid">
    <w:name w:val="Table Grid"/>
    <w:basedOn w:val="TableNormal"/>
    <w:rsid w:val="00774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BE1584"/>
    <w:pPr>
      <w:shd w:val="clear" w:color="auto" w:fill="000080"/>
    </w:pPr>
    <w:rPr>
      <w:rFonts w:ascii="Tahoma" w:hAnsi="Tahoma" w:cs="Tahoma"/>
      <w:sz w:val="20"/>
    </w:rPr>
  </w:style>
  <w:style w:type="paragraph" w:styleId="BalloonText">
    <w:name w:val="Balloon Text"/>
    <w:basedOn w:val="Normal"/>
    <w:link w:val="BalloonTextChar"/>
    <w:rsid w:val="00347776"/>
    <w:rPr>
      <w:rFonts w:ascii="Tahoma" w:hAnsi="Tahoma" w:cs="Tahoma"/>
      <w:sz w:val="16"/>
      <w:szCs w:val="16"/>
    </w:rPr>
  </w:style>
  <w:style w:type="character" w:customStyle="1" w:styleId="BalloonTextChar">
    <w:name w:val="Balloon Text Char"/>
    <w:basedOn w:val="DefaultParagraphFont"/>
    <w:link w:val="BalloonText"/>
    <w:rsid w:val="00347776"/>
    <w:rPr>
      <w:rFonts w:ascii="Tahoma" w:hAnsi="Tahoma" w:cs="Tahoma"/>
      <w:sz w:val="16"/>
      <w:szCs w:val="16"/>
    </w:rPr>
  </w:style>
  <w:style w:type="paragraph" w:styleId="Header">
    <w:name w:val="header"/>
    <w:basedOn w:val="Normal"/>
    <w:link w:val="HeaderChar"/>
    <w:rsid w:val="00347776"/>
    <w:pPr>
      <w:tabs>
        <w:tab w:val="center" w:pos="4680"/>
        <w:tab w:val="right" w:pos="9360"/>
      </w:tabs>
    </w:pPr>
  </w:style>
  <w:style w:type="character" w:customStyle="1" w:styleId="HeaderChar">
    <w:name w:val="Header Char"/>
    <w:basedOn w:val="DefaultParagraphFont"/>
    <w:link w:val="Header"/>
    <w:rsid w:val="00347776"/>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4503">
      <w:bodyDiv w:val="1"/>
      <w:marLeft w:val="0"/>
      <w:marRight w:val="0"/>
      <w:marTop w:val="0"/>
      <w:marBottom w:val="0"/>
      <w:divBdr>
        <w:top w:val="none" w:sz="0" w:space="0" w:color="auto"/>
        <w:left w:val="none" w:sz="0" w:space="0" w:color="auto"/>
        <w:bottom w:val="none" w:sz="0" w:space="0" w:color="auto"/>
        <w:right w:val="none" w:sz="0" w:space="0" w:color="auto"/>
      </w:divBdr>
    </w:div>
    <w:div w:id="223688584">
      <w:bodyDiv w:val="1"/>
      <w:marLeft w:val="0"/>
      <w:marRight w:val="0"/>
      <w:marTop w:val="0"/>
      <w:marBottom w:val="0"/>
      <w:divBdr>
        <w:top w:val="none" w:sz="0" w:space="0" w:color="auto"/>
        <w:left w:val="none" w:sz="0" w:space="0" w:color="auto"/>
        <w:bottom w:val="none" w:sz="0" w:space="0" w:color="auto"/>
        <w:right w:val="none" w:sz="0" w:space="0" w:color="auto"/>
      </w:divBdr>
    </w:div>
    <w:div w:id="392389098">
      <w:bodyDiv w:val="1"/>
      <w:marLeft w:val="0"/>
      <w:marRight w:val="0"/>
      <w:marTop w:val="0"/>
      <w:marBottom w:val="0"/>
      <w:divBdr>
        <w:top w:val="none" w:sz="0" w:space="0" w:color="auto"/>
        <w:left w:val="none" w:sz="0" w:space="0" w:color="auto"/>
        <w:bottom w:val="none" w:sz="0" w:space="0" w:color="auto"/>
        <w:right w:val="none" w:sz="0" w:space="0" w:color="auto"/>
      </w:divBdr>
    </w:div>
    <w:div w:id="454298410">
      <w:bodyDiv w:val="1"/>
      <w:marLeft w:val="0"/>
      <w:marRight w:val="0"/>
      <w:marTop w:val="0"/>
      <w:marBottom w:val="0"/>
      <w:divBdr>
        <w:top w:val="none" w:sz="0" w:space="0" w:color="auto"/>
        <w:left w:val="none" w:sz="0" w:space="0" w:color="auto"/>
        <w:bottom w:val="none" w:sz="0" w:space="0" w:color="auto"/>
        <w:right w:val="none" w:sz="0" w:space="0" w:color="auto"/>
      </w:divBdr>
    </w:div>
    <w:div w:id="548349012">
      <w:bodyDiv w:val="1"/>
      <w:marLeft w:val="0"/>
      <w:marRight w:val="0"/>
      <w:marTop w:val="0"/>
      <w:marBottom w:val="0"/>
      <w:divBdr>
        <w:top w:val="none" w:sz="0" w:space="0" w:color="auto"/>
        <w:left w:val="none" w:sz="0" w:space="0" w:color="auto"/>
        <w:bottom w:val="none" w:sz="0" w:space="0" w:color="auto"/>
        <w:right w:val="none" w:sz="0" w:space="0" w:color="auto"/>
      </w:divBdr>
    </w:div>
    <w:div w:id="584345444">
      <w:bodyDiv w:val="1"/>
      <w:marLeft w:val="0"/>
      <w:marRight w:val="0"/>
      <w:marTop w:val="0"/>
      <w:marBottom w:val="0"/>
      <w:divBdr>
        <w:top w:val="none" w:sz="0" w:space="0" w:color="auto"/>
        <w:left w:val="none" w:sz="0" w:space="0" w:color="auto"/>
        <w:bottom w:val="none" w:sz="0" w:space="0" w:color="auto"/>
        <w:right w:val="none" w:sz="0" w:space="0" w:color="auto"/>
      </w:divBdr>
    </w:div>
    <w:div w:id="603730745">
      <w:bodyDiv w:val="1"/>
      <w:marLeft w:val="0"/>
      <w:marRight w:val="0"/>
      <w:marTop w:val="0"/>
      <w:marBottom w:val="0"/>
      <w:divBdr>
        <w:top w:val="none" w:sz="0" w:space="0" w:color="auto"/>
        <w:left w:val="none" w:sz="0" w:space="0" w:color="auto"/>
        <w:bottom w:val="none" w:sz="0" w:space="0" w:color="auto"/>
        <w:right w:val="none" w:sz="0" w:space="0" w:color="auto"/>
      </w:divBdr>
    </w:div>
    <w:div w:id="606349586">
      <w:bodyDiv w:val="1"/>
      <w:marLeft w:val="0"/>
      <w:marRight w:val="0"/>
      <w:marTop w:val="0"/>
      <w:marBottom w:val="0"/>
      <w:divBdr>
        <w:top w:val="none" w:sz="0" w:space="0" w:color="auto"/>
        <w:left w:val="none" w:sz="0" w:space="0" w:color="auto"/>
        <w:bottom w:val="none" w:sz="0" w:space="0" w:color="auto"/>
        <w:right w:val="none" w:sz="0" w:space="0" w:color="auto"/>
      </w:divBdr>
    </w:div>
    <w:div w:id="649987682">
      <w:bodyDiv w:val="1"/>
      <w:marLeft w:val="0"/>
      <w:marRight w:val="0"/>
      <w:marTop w:val="0"/>
      <w:marBottom w:val="0"/>
      <w:divBdr>
        <w:top w:val="none" w:sz="0" w:space="0" w:color="auto"/>
        <w:left w:val="none" w:sz="0" w:space="0" w:color="auto"/>
        <w:bottom w:val="none" w:sz="0" w:space="0" w:color="auto"/>
        <w:right w:val="none" w:sz="0" w:space="0" w:color="auto"/>
      </w:divBdr>
    </w:div>
    <w:div w:id="905728260">
      <w:bodyDiv w:val="1"/>
      <w:marLeft w:val="0"/>
      <w:marRight w:val="0"/>
      <w:marTop w:val="0"/>
      <w:marBottom w:val="0"/>
      <w:divBdr>
        <w:top w:val="none" w:sz="0" w:space="0" w:color="auto"/>
        <w:left w:val="none" w:sz="0" w:space="0" w:color="auto"/>
        <w:bottom w:val="none" w:sz="0" w:space="0" w:color="auto"/>
        <w:right w:val="none" w:sz="0" w:space="0" w:color="auto"/>
      </w:divBdr>
    </w:div>
    <w:div w:id="985159564">
      <w:bodyDiv w:val="1"/>
      <w:marLeft w:val="0"/>
      <w:marRight w:val="0"/>
      <w:marTop w:val="0"/>
      <w:marBottom w:val="0"/>
      <w:divBdr>
        <w:top w:val="none" w:sz="0" w:space="0" w:color="auto"/>
        <w:left w:val="none" w:sz="0" w:space="0" w:color="auto"/>
        <w:bottom w:val="none" w:sz="0" w:space="0" w:color="auto"/>
        <w:right w:val="none" w:sz="0" w:space="0" w:color="auto"/>
      </w:divBdr>
    </w:div>
    <w:div w:id="1032270936">
      <w:bodyDiv w:val="1"/>
      <w:marLeft w:val="0"/>
      <w:marRight w:val="0"/>
      <w:marTop w:val="0"/>
      <w:marBottom w:val="0"/>
      <w:divBdr>
        <w:top w:val="none" w:sz="0" w:space="0" w:color="auto"/>
        <w:left w:val="none" w:sz="0" w:space="0" w:color="auto"/>
        <w:bottom w:val="none" w:sz="0" w:space="0" w:color="auto"/>
        <w:right w:val="none" w:sz="0" w:space="0" w:color="auto"/>
      </w:divBdr>
    </w:div>
    <w:div w:id="1110929807">
      <w:bodyDiv w:val="1"/>
      <w:marLeft w:val="0"/>
      <w:marRight w:val="0"/>
      <w:marTop w:val="0"/>
      <w:marBottom w:val="0"/>
      <w:divBdr>
        <w:top w:val="none" w:sz="0" w:space="0" w:color="auto"/>
        <w:left w:val="none" w:sz="0" w:space="0" w:color="auto"/>
        <w:bottom w:val="none" w:sz="0" w:space="0" w:color="auto"/>
        <w:right w:val="none" w:sz="0" w:space="0" w:color="auto"/>
      </w:divBdr>
    </w:div>
    <w:div w:id="1213034934">
      <w:bodyDiv w:val="1"/>
      <w:marLeft w:val="0"/>
      <w:marRight w:val="0"/>
      <w:marTop w:val="0"/>
      <w:marBottom w:val="0"/>
      <w:divBdr>
        <w:top w:val="none" w:sz="0" w:space="0" w:color="auto"/>
        <w:left w:val="none" w:sz="0" w:space="0" w:color="auto"/>
        <w:bottom w:val="none" w:sz="0" w:space="0" w:color="auto"/>
        <w:right w:val="none" w:sz="0" w:space="0" w:color="auto"/>
      </w:divBdr>
    </w:div>
    <w:div w:id="1281181921">
      <w:bodyDiv w:val="1"/>
      <w:marLeft w:val="0"/>
      <w:marRight w:val="0"/>
      <w:marTop w:val="0"/>
      <w:marBottom w:val="0"/>
      <w:divBdr>
        <w:top w:val="none" w:sz="0" w:space="0" w:color="auto"/>
        <w:left w:val="none" w:sz="0" w:space="0" w:color="auto"/>
        <w:bottom w:val="none" w:sz="0" w:space="0" w:color="auto"/>
        <w:right w:val="none" w:sz="0" w:space="0" w:color="auto"/>
      </w:divBdr>
    </w:div>
    <w:div w:id="1310137473">
      <w:bodyDiv w:val="1"/>
      <w:marLeft w:val="0"/>
      <w:marRight w:val="0"/>
      <w:marTop w:val="0"/>
      <w:marBottom w:val="0"/>
      <w:divBdr>
        <w:top w:val="none" w:sz="0" w:space="0" w:color="auto"/>
        <w:left w:val="none" w:sz="0" w:space="0" w:color="auto"/>
        <w:bottom w:val="none" w:sz="0" w:space="0" w:color="auto"/>
        <w:right w:val="none" w:sz="0" w:space="0" w:color="auto"/>
      </w:divBdr>
    </w:div>
    <w:div w:id="1361786775">
      <w:bodyDiv w:val="1"/>
      <w:marLeft w:val="0"/>
      <w:marRight w:val="0"/>
      <w:marTop w:val="0"/>
      <w:marBottom w:val="0"/>
      <w:divBdr>
        <w:top w:val="none" w:sz="0" w:space="0" w:color="auto"/>
        <w:left w:val="none" w:sz="0" w:space="0" w:color="auto"/>
        <w:bottom w:val="none" w:sz="0" w:space="0" w:color="auto"/>
        <w:right w:val="none" w:sz="0" w:space="0" w:color="auto"/>
      </w:divBdr>
    </w:div>
    <w:div w:id="1511722825">
      <w:bodyDiv w:val="1"/>
      <w:marLeft w:val="0"/>
      <w:marRight w:val="0"/>
      <w:marTop w:val="0"/>
      <w:marBottom w:val="0"/>
      <w:divBdr>
        <w:top w:val="none" w:sz="0" w:space="0" w:color="auto"/>
        <w:left w:val="none" w:sz="0" w:space="0" w:color="auto"/>
        <w:bottom w:val="none" w:sz="0" w:space="0" w:color="auto"/>
        <w:right w:val="none" w:sz="0" w:space="0" w:color="auto"/>
      </w:divBdr>
    </w:div>
    <w:div w:id="1564099075">
      <w:bodyDiv w:val="1"/>
      <w:marLeft w:val="0"/>
      <w:marRight w:val="0"/>
      <w:marTop w:val="0"/>
      <w:marBottom w:val="0"/>
      <w:divBdr>
        <w:top w:val="none" w:sz="0" w:space="0" w:color="auto"/>
        <w:left w:val="none" w:sz="0" w:space="0" w:color="auto"/>
        <w:bottom w:val="none" w:sz="0" w:space="0" w:color="auto"/>
        <w:right w:val="none" w:sz="0" w:space="0" w:color="auto"/>
      </w:divBdr>
    </w:div>
    <w:div w:id="1601061408">
      <w:bodyDiv w:val="1"/>
      <w:marLeft w:val="0"/>
      <w:marRight w:val="0"/>
      <w:marTop w:val="0"/>
      <w:marBottom w:val="0"/>
      <w:divBdr>
        <w:top w:val="none" w:sz="0" w:space="0" w:color="auto"/>
        <w:left w:val="none" w:sz="0" w:space="0" w:color="auto"/>
        <w:bottom w:val="none" w:sz="0" w:space="0" w:color="auto"/>
        <w:right w:val="none" w:sz="0" w:space="0" w:color="auto"/>
      </w:divBdr>
    </w:div>
    <w:div w:id="1660690102">
      <w:bodyDiv w:val="1"/>
      <w:marLeft w:val="0"/>
      <w:marRight w:val="0"/>
      <w:marTop w:val="0"/>
      <w:marBottom w:val="0"/>
      <w:divBdr>
        <w:top w:val="none" w:sz="0" w:space="0" w:color="auto"/>
        <w:left w:val="none" w:sz="0" w:space="0" w:color="auto"/>
        <w:bottom w:val="none" w:sz="0" w:space="0" w:color="auto"/>
        <w:right w:val="none" w:sz="0" w:space="0" w:color="auto"/>
      </w:divBdr>
    </w:div>
    <w:div w:id="1756317947">
      <w:bodyDiv w:val="1"/>
      <w:marLeft w:val="0"/>
      <w:marRight w:val="0"/>
      <w:marTop w:val="0"/>
      <w:marBottom w:val="0"/>
      <w:divBdr>
        <w:top w:val="none" w:sz="0" w:space="0" w:color="auto"/>
        <w:left w:val="none" w:sz="0" w:space="0" w:color="auto"/>
        <w:bottom w:val="none" w:sz="0" w:space="0" w:color="auto"/>
        <w:right w:val="none" w:sz="0" w:space="0" w:color="auto"/>
      </w:divBdr>
    </w:div>
    <w:div w:id="1845239326">
      <w:bodyDiv w:val="1"/>
      <w:marLeft w:val="0"/>
      <w:marRight w:val="0"/>
      <w:marTop w:val="0"/>
      <w:marBottom w:val="0"/>
      <w:divBdr>
        <w:top w:val="none" w:sz="0" w:space="0" w:color="auto"/>
        <w:left w:val="none" w:sz="0" w:space="0" w:color="auto"/>
        <w:bottom w:val="none" w:sz="0" w:space="0" w:color="auto"/>
        <w:right w:val="none" w:sz="0" w:space="0" w:color="auto"/>
      </w:divBdr>
    </w:div>
    <w:div w:id="1898396183">
      <w:bodyDiv w:val="1"/>
      <w:marLeft w:val="0"/>
      <w:marRight w:val="0"/>
      <w:marTop w:val="0"/>
      <w:marBottom w:val="0"/>
      <w:divBdr>
        <w:top w:val="none" w:sz="0" w:space="0" w:color="auto"/>
        <w:left w:val="none" w:sz="0" w:space="0" w:color="auto"/>
        <w:bottom w:val="none" w:sz="0" w:space="0" w:color="auto"/>
        <w:right w:val="none" w:sz="0" w:space="0" w:color="auto"/>
      </w:divBdr>
    </w:div>
    <w:div w:id="212252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B9060-5619-4769-B46A-47879617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shoffner</cp:lastModifiedBy>
  <cp:revision>3</cp:revision>
  <cp:lastPrinted>2011-12-14T16:43:00Z</cp:lastPrinted>
  <dcterms:created xsi:type="dcterms:W3CDTF">2011-12-22T20:10:00Z</dcterms:created>
  <dcterms:modified xsi:type="dcterms:W3CDTF">2011-12-22T20:13:00Z</dcterms:modified>
</cp:coreProperties>
</file>