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0F4" w:rsidRDefault="00FF50F4" w:rsidP="00FF50F4">
      <w:pPr>
        <w:pStyle w:val="Title"/>
        <w:tabs>
          <w:tab w:val="clear" w:pos="360"/>
          <w:tab w:val="left" w:pos="0"/>
        </w:tabs>
      </w:pPr>
      <w:r>
        <w:t>BEFORE THE</w:t>
      </w:r>
    </w:p>
    <w:p w:rsidR="00FF50F4" w:rsidRDefault="00FF50F4" w:rsidP="00FF50F4">
      <w:pPr>
        <w:tabs>
          <w:tab w:val="left" w:pos="0"/>
        </w:tabs>
        <w:spacing w:line="233"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FF50F4" w:rsidRDefault="00FF50F4" w:rsidP="00FF50F4">
      <w:pPr>
        <w:tabs>
          <w:tab w:val="left" w:pos="0"/>
        </w:tabs>
        <w:spacing w:line="233" w:lineRule="auto"/>
        <w:jc w:val="both"/>
        <w:rPr>
          <w:b/>
        </w:rPr>
      </w:pPr>
    </w:p>
    <w:p w:rsidR="00FF50F4" w:rsidRDefault="00FF50F4" w:rsidP="00FF50F4">
      <w:pPr>
        <w:tabs>
          <w:tab w:val="left" w:pos="0"/>
        </w:tabs>
        <w:spacing w:line="233" w:lineRule="auto"/>
        <w:jc w:val="both"/>
        <w:rPr>
          <w:b/>
        </w:rPr>
      </w:pPr>
    </w:p>
    <w:p w:rsidR="00FF50F4" w:rsidRDefault="00FF50F4" w:rsidP="00FF50F4">
      <w:pPr>
        <w:tabs>
          <w:tab w:val="left" w:pos="0"/>
        </w:tabs>
        <w:spacing w:line="233" w:lineRule="auto"/>
        <w:jc w:val="both"/>
        <w:rPr>
          <w:b/>
        </w:rPr>
      </w:pPr>
    </w:p>
    <w:p w:rsidR="003B7EEB" w:rsidRDefault="003B7EEB" w:rsidP="003B7EEB">
      <w:pPr>
        <w:tabs>
          <w:tab w:val="left" w:pos="0"/>
        </w:tabs>
        <w:spacing w:line="233" w:lineRule="auto"/>
        <w:jc w:val="both"/>
      </w:pPr>
      <w:r>
        <w:t>Pennsylvania Public Utility Commission,</w:t>
      </w:r>
      <w:r>
        <w:tab/>
      </w:r>
      <w:r>
        <w:tab/>
      </w:r>
      <w:r w:rsidRPr="00560DC5">
        <w:t>:</w:t>
      </w:r>
    </w:p>
    <w:p w:rsidR="003B7EEB" w:rsidRDefault="003B7EEB" w:rsidP="003B7EEB">
      <w:pPr>
        <w:tabs>
          <w:tab w:val="left" w:pos="0"/>
        </w:tabs>
        <w:spacing w:line="233" w:lineRule="auto"/>
        <w:jc w:val="both"/>
        <w:rPr>
          <w:b/>
        </w:rPr>
      </w:pPr>
      <w:r>
        <w:t>Bureau of Transportation and Safety</w:t>
      </w:r>
      <w:r>
        <w:tab/>
      </w:r>
      <w:r>
        <w:tab/>
      </w:r>
      <w:r>
        <w:tab/>
        <w:t>:</w:t>
      </w:r>
    </w:p>
    <w:p w:rsidR="003B7EEB" w:rsidRPr="00560DC5" w:rsidRDefault="003B7EEB" w:rsidP="003B7EEB">
      <w:pPr>
        <w:tabs>
          <w:tab w:val="left" w:pos="0"/>
        </w:tabs>
        <w:spacing w:line="233" w:lineRule="auto"/>
        <w:jc w:val="both"/>
      </w:pPr>
      <w:r>
        <w:rPr>
          <w:b/>
        </w:rPr>
        <w:tab/>
      </w:r>
      <w:r>
        <w:rPr>
          <w:b/>
        </w:rPr>
        <w:tab/>
      </w:r>
      <w:r>
        <w:rPr>
          <w:b/>
        </w:rPr>
        <w:tab/>
      </w:r>
      <w:r>
        <w:rPr>
          <w:b/>
        </w:rPr>
        <w:tab/>
      </w:r>
      <w:r>
        <w:rPr>
          <w:b/>
        </w:rPr>
        <w:tab/>
      </w:r>
      <w:r>
        <w:rPr>
          <w:b/>
        </w:rPr>
        <w:tab/>
      </w:r>
      <w:r>
        <w:rPr>
          <w:b/>
        </w:rPr>
        <w:tab/>
      </w:r>
      <w:r w:rsidRPr="00560DC5">
        <w:t>:</w:t>
      </w:r>
    </w:p>
    <w:p w:rsidR="003B7EEB" w:rsidRDefault="003B7EEB" w:rsidP="003B7EEB">
      <w:pPr>
        <w:tabs>
          <w:tab w:val="left" w:pos="0"/>
        </w:tabs>
        <w:spacing w:line="233" w:lineRule="auto"/>
        <w:jc w:val="both"/>
      </w:pPr>
      <w:r>
        <w:tab/>
        <w:t>v.</w:t>
      </w:r>
      <w:r>
        <w:tab/>
      </w:r>
      <w:r>
        <w:tab/>
      </w:r>
      <w:r>
        <w:tab/>
      </w:r>
      <w:r>
        <w:tab/>
      </w:r>
      <w:r>
        <w:tab/>
      </w:r>
      <w:r>
        <w:tab/>
      </w:r>
      <w:r w:rsidRPr="00560DC5">
        <w:t>:</w:t>
      </w:r>
      <w:r>
        <w:rPr>
          <w:b/>
        </w:rPr>
        <w:tab/>
      </w:r>
      <w:r>
        <w:rPr>
          <w:b/>
        </w:rPr>
        <w:tab/>
      </w:r>
      <w:r>
        <w:t>C-2011-2182793</w:t>
      </w:r>
    </w:p>
    <w:p w:rsidR="003B7EEB" w:rsidRPr="00560DC5" w:rsidRDefault="003B7EEB" w:rsidP="003B7EEB">
      <w:pPr>
        <w:tabs>
          <w:tab w:val="left" w:pos="0"/>
        </w:tabs>
        <w:spacing w:line="233" w:lineRule="auto"/>
        <w:jc w:val="both"/>
      </w:pPr>
      <w:r>
        <w:tab/>
      </w:r>
      <w:r>
        <w:tab/>
      </w:r>
      <w:r>
        <w:tab/>
      </w:r>
      <w:r>
        <w:tab/>
      </w:r>
      <w:r>
        <w:tab/>
      </w:r>
      <w:r>
        <w:tab/>
      </w:r>
      <w:r>
        <w:tab/>
      </w:r>
      <w:r w:rsidRPr="00560DC5">
        <w:t>:</w:t>
      </w:r>
    </w:p>
    <w:p w:rsidR="003B7EEB" w:rsidRDefault="003B7EEB" w:rsidP="003B7EEB">
      <w:pPr>
        <w:tabs>
          <w:tab w:val="left" w:pos="0"/>
        </w:tabs>
        <w:spacing w:line="233" w:lineRule="auto"/>
        <w:jc w:val="both"/>
      </w:pPr>
      <w:r>
        <w:t>Yellow Cab Company of Pittsburgh</w:t>
      </w:r>
      <w:r>
        <w:tab/>
      </w:r>
      <w:r>
        <w:tab/>
      </w:r>
      <w:r>
        <w:tab/>
      </w:r>
      <w:r w:rsidRPr="00560DC5">
        <w:t>:</w:t>
      </w:r>
    </w:p>
    <w:p w:rsidR="000A15DB" w:rsidRDefault="000A15DB" w:rsidP="00FF50F4">
      <w:pPr>
        <w:tabs>
          <w:tab w:val="left" w:pos="0"/>
        </w:tabs>
        <w:spacing w:line="233" w:lineRule="auto"/>
        <w:jc w:val="both"/>
      </w:pPr>
    </w:p>
    <w:p w:rsidR="00A566DD" w:rsidRDefault="00A566DD" w:rsidP="00FF50F4">
      <w:pPr>
        <w:tabs>
          <w:tab w:val="left" w:pos="0"/>
        </w:tabs>
        <w:spacing w:line="233" w:lineRule="auto"/>
        <w:jc w:val="both"/>
      </w:pPr>
    </w:p>
    <w:p w:rsidR="00E85D64" w:rsidRDefault="00E85D64"/>
    <w:p w:rsidR="00927ED9" w:rsidRDefault="00975F23" w:rsidP="00540E48">
      <w:pPr>
        <w:spacing w:line="240" w:lineRule="auto"/>
        <w:jc w:val="center"/>
        <w:rPr>
          <w:b/>
          <w:u w:val="single"/>
        </w:rPr>
      </w:pPr>
      <w:r>
        <w:rPr>
          <w:b/>
          <w:u w:val="single"/>
        </w:rPr>
        <w:t>INITIAL</w:t>
      </w:r>
      <w:r w:rsidR="003763E0">
        <w:rPr>
          <w:b/>
          <w:u w:val="single"/>
        </w:rPr>
        <w:t xml:space="preserve"> DECISION</w:t>
      </w:r>
    </w:p>
    <w:p w:rsidR="00540E48" w:rsidRPr="003F3C6F" w:rsidRDefault="00540E48" w:rsidP="00540E48">
      <w:pPr>
        <w:spacing w:line="240" w:lineRule="auto"/>
        <w:jc w:val="center"/>
        <w:rPr>
          <w:b/>
          <w:u w:val="single"/>
        </w:rPr>
      </w:pPr>
    </w:p>
    <w:p w:rsidR="000A15DB" w:rsidRDefault="000A15DB" w:rsidP="003763E0">
      <w:pPr>
        <w:spacing w:line="240" w:lineRule="auto"/>
        <w:jc w:val="center"/>
      </w:pPr>
    </w:p>
    <w:p w:rsidR="00E85D64" w:rsidRPr="003763E0" w:rsidRDefault="003763E0" w:rsidP="003763E0">
      <w:pPr>
        <w:spacing w:line="240" w:lineRule="auto"/>
        <w:jc w:val="center"/>
      </w:pPr>
      <w:r w:rsidRPr="003763E0">
        <w:t>Before</w:t>
      </w:r>
    </w:p>
    <w:p w:rsidR="003763E0" w:rsidRPr="003763E0" w:rsidRDefault="003763E0" w:rsidP="003763E0">
      <w:pPr>
        <w:spacing w:line="240" w:lineRule="auto"/>
        <w:jc w:val="center"/>
      </w:pPr>
      <w:r w:rsidRPr="003763E0">
        <w:t>Mary D. Long</w:t>
      </w:r>
    </w:p>
    <w:p w:rsidR="00DF68B2" w:rsidRDefault="00DF68B2" w:rsidP="002F3B2D">
      <w:pPr>
        <w:spacing w:line="240" w:lineRule="auto"/>
        <w:contextualSpacing/>
        <w:jc w:val="center"/>
      </w:pPr>
      <w:r w:rsidRPr="0063357B">
        <w:t>Administrative Law Judge</w:t>
      </w:r>
    </w:p>
    <w:p w:rsidR="00975F23" w:rsidRDefault="00975F23" w:rsidP="002F3B2D">
      <w:pPr>
        <w:spacing w:line="240" w:lineRule="auto"/>
        <w:contextualSpacing/>
        <w:jc w:val="center"/>
      </w:pPr>
    </w:p>
    <w:p w:rsidR="002F3B2D" w:rsidRDefault="002F3B2D" w:rsidP="002F3B2D">
      <w:pPr>
        <w:spacing w:line="240" w:lineRule="auto"/>
      </w:pPr>
    </w:p>
    <w:p w:rsidR="003B7EEB" w:rsidRDefault="003B7EEB" w:rsidP="003B7EEB">
      <w:r>
        <w:tab/>
      </w:r>
      <w:r>
        <w:tab/>
        <w:t xml:space="preserve">This </w:t>
      </w:r>
      <w:r w:rsidR="004F729D">
        <w:t>decision sustains</w:t>
      </w:r>
      <w:r>
        <w:t xml:space="preserve"> a complaint filed by the Commission’s Bureau of Investigation and Enforcement against Yellow Cab Company</w:t>
      </w:r>
      <w:r w:rsidR="004F729D">
        <w:t>, and assesses a civil penalty of $1,000 because a lease driver in the employ of the carrier had been operating a taxi while his driver’s license was suspended</w:t>
      </w:r>
      <w:r>
        <w:t>.</w:t>
      </w:r>
    </w:p>
    <w:p w:rsidR="003B7EEB" w:rsidRDefault="003B7EEB" w:rsidP="003B7EEB"/>
    <w:p w:rsidR="003B7EEB" w:rsidRDefault="003B7EEB" w:rsidP="003B7EEB">
      <w:pPr>
        <w:jc w:val="center"/>
        <w:rPr>
          <w:u w:val="single"/>
        </w:rPr>
      </w:pPr>
      <w:r w:rsidRPr="00452ED4">
        <w:rPr>
          <w:u w:val="single"/>
        </w:rPr>
        <w:t xml:space="preserve">HISTORY OF </w:t>
      </w:r>
      <w:r w:rsidR="002A7E6F">
        <w:rPr>
          <w:u w:val="single"/>
        </w:rPr>
        <w:t xml:space="preserve">THE </w:t>
      </w:r>
      <w:r w:rsidRPr="00452ED4">
        <w:rPr>
          <w:u w:val="single"/>
        </w:rPr>
        <w:t>PROCEEDINGS</w:t>
      </w:r>
    </w:p>
    <w:p w:rsidR="003B7EEB" w:rsidRPr="00452ED4" w:rsidRDefault="003B7EEB" w:rsidP="003B7EEB">
      <w:pPr>
        <w:jc w:val="center"/>
        <w:rPr>
          <w:u w:val="single"/>
        </w:rPr>
      </w:pPr>
    </w:p>
    <w:p w:rsidR="003B7EEB" w:rsidRDefault="003B7EEB" w:rsidP="003B7EEB">
      <w:r>
        <w:tab/>
      </w:r>
      <w:r>
        <w:tab/>
        <w:t>On April 27, 2011, the Bureau of Transportation and Safety, now known as the Bureau of Investigation and Enforcement (BIE)</w:t>
      </w:r>
      <w:r w:rsidR="007A52DB">
        <w:t>,</w:t>
      </w:r>
      <w:r>
        <w:t xml:space="preserve"> filed a complaint against Yellow Cab Company of Pittsburgh, alleging that one of Yellow Cab’s drivers had been operating a motor vehicle after the suspension of his driving privileges in violation of 52 Pa. Code §§ 29.502 and 29.12.  BIE requested a fine in the amount of $1,000. </w:t>
      </w:r>
    </w:p>
    <w:p w:rsidR="003B7EEB" w:rsidRDefault="003B7EEB" w:rsidP="003B7EEB"/>
    <w:p w:rsidR="003B7EEB" w:rsidRDefault="003B7EEB" w:rsidP="003B7EEB">
      <w:r>
        <w:tab/>
      </w:r>
      <w:r>
        <w:tab/>
        <w:t xml:space="preserve">Yellow Cab filed an Answer and New Matter on May 25, 2011.  Yellow Cab did not deny that the driver was operating a vehicle while his driving privileges were suspended. </w:t>
      </w:r>
      <w:r w:rsidR="002B4D14">
        <w:t xml:space="preserve"> </w:t>
      </w:r>
      <w:r>
        <w:t xml:space="preserve">However, Yellow Cab took the position that it had no knowledge of the suspension of the </w:t>
      </w:r>
      <w:r>
        <w:lastRenderedPageBreak/>
        <w:t>driver’s operating privileges, that it had reasonable procedures in place to verify driving status, and that it was in full compliance with the Commission’s regulations concerning driver history searches.</w:t>
      </w:r>
    </w:p>
    <w:p w:rsidR="003B7EEB" w:rsidRDefault="003B7EEB" w:rsidP="003B7EEB"/>
    <w:p w:rsidR="003B7EEB" w:rsidRDefault="003B7EEB" w:rsidP="003B7EEB">
      <w:r>
        <w:tab/>
      </w:r>
      <w:r>
        <w:tab/>
        <w:t xml:space="preserve">This matter was assigned to me </w:t>
      </w:r>
      <w:r w:rsidR="007A52DB">
        <w:t>by notice dated July 21, 2011</w:t>
      </w:r>
      <w:r>
        <w:t xml:space="preserve">. </w:t>
      </w:r>
      <w:r w:rsidR="002A7E6F">
        <w:t xml:space="preserve"> </w:t>
      </w:r>
      <w:r>
        <w:t>On July 22, 2011, I issued my customary prehearing order.  The hearing was convened as scheduled</w:t>
      </w:r>
      <w:r w:rsidR="007A52DB">
        <w:t xml:space="preserve"> on September 13, 2011</w:t>
      </w:r>
      <w:r>
        <w:t xml:space="preserve">. </w:t>
      </w:r>
      <w:r w:rsidR="002A7E6F">
        <w:t xml:space="preserve"> </w:t>
      </w:r>
      <w:r>
        <w:t xml:space="preserve">BIE was represented by John Herzog, Esquire.  Yellow Cab was represented by Ray Middleman, Esquire.  The parties stipulated to many of the facts in the complaint on the record. </w:t>
      </w:r>
      <w:r w:rsidR="002B4D14">
        <w:t xml:space="preserve"> </w:t>
      </w:r>
      <w:r>
        <w:t>Additionally</w:t>
      </w:r>
      <w:r w:rsidR="003F3F86">
        <w:t>, Yellow</w:t>
      </w:r>
      <w:r>
        <w:t xml:space="preserve"> Cab presented the testimony of two witnesses.  At the close of the hearing the parties agreed that post-hearing briefs were not necessary, but each made </w:t>
      </w:r>
      <w:r w:rsidR="00C408A2">
        <w:t xml:space="preserve">a </w:t>
      </w:r>
      <w:r>
        <w:t xml:space="preserve">closing argument and filed a legal memorandum. </w:t>
      </w:r>
      <w:r w:rsidR="002B4D14">
        <w:t xml:space="preserve"> </w:t>
      </w:r>
      <w:r>
        <w:t>The hearing generated a transcript of 49 pages.  By order dated October 21, 201</w:t>
      </w:r>
      <w:r w:rsidR="00EF457F">
        <w:t>1</w:t>
      </w:r>
      <w:r>
        <w:t xml:space="preserve"> the record was closed. </w:t>
      </w:r>
      <w:r w:rsidR="002B4D14">
        <w:t xml:space="preserve"> </w:t>
      </w:r>
      <w:r>
        <w:t>After full consideration of this record, I make the following:</w:t>
      </w:r>
    </w:p>
    <w:p w:rsidR="003B7EEB" w:rsidRDefault="003B7EEB" w:rsidP="003B7EEB"/>
    <w:p w:rsidR="003B7EEB" w:rsidRDefault="003B7EEB" w:rsidP="003B7EEB">
      <w:pPr>
        <w:jc w:val="center"/>
        <w:rPr>
          <w:u w:val="single"/>
        </w:rPr>
      </w:pPr>
      <w:r w:rsidRPr="00452ED4">
        <w:rPr>
          <w:u w:val="single"/>
        </w:rPr>
        <w:t>FINDINGS OF FACT</w:t>
      </w:r>
    </w:p>
    <w:p w:rsidR="003B7EEB" w:rsidRPr="00452ED4" w:rsidRDefault="003B7EEB" w:rsidP="003B7EEB">
      <w:pPr>
        <w:jc w:val="center"/>
        <w:rPr>
          <w:u w:val="single"/>
        </w:rPr>
      </w:pPr>
    </w:p>
    <w:p w:rsidR="003B7EEB" w:rsidRDefault="003B7EEB" w:rsidP="003B7EEB">
      <w:pPr>
        <w:pStyle w:val="ListParagraph"/>
        <w:ind w:left="0" w:firstLine="1440"/>
        <w:contextualSpacing/>
      </w:pPr>
      <w:r>
        <w:t>Yellow Cab Company of Pittsburgh maintains its principal place of business at 1825 Liverpool Street, Pittsburgh, Pennsylvania, Allegheny County.  Yellow Cab was issued a certificate of public convenience for call or demand service on August 21, 1946 at Application Docket No. A-00049926.</w:t>
      </w:r>
    </w:p>
    <w:p w:rsidR="003B7EEB" w:rsidRDefault="003B7EEB" w:rsidP="003B7EEB">
      <w:pPr>
        <w:pStyle w:val="ListParagraph"/>
        <w:numPr>
          <w:ilvl w:val="0"/>
          <w:numId w:val="0"/>
        </w:numPr>
        <w:ind w:left="1440"/>
      </w:pPr>
    </w:p>
    <w:p w:rsidR="003B7EEB" w:rsidRDefault="003B7EEB" w:rsidP="003B7EEB">
      <w:pPr>
        <w:pStyle w:val="ListParagraph"/>
        <w:ind w:left="0" w:firstLine="1440"/>
        <w:contextualSpacing/>
      </w:pPr>
      <w:r>
        <w:t xml:space="preserve">During the period </w:t>
      </w:r>
      <w:r w:rsidR="007A52DB">
        <w:t xml:space="preserve">of 165 days </w:t>
      </w:r>
      <w:r>
        <w:t xml:space="preserve">from December 29, 2009, through June 11, 2010, a driver employed by Yellow Cab, Mr. John Fischer, operated a vehicle while his driving privileges were suspended on 31 separate days, providing a total of 193 individual trips. </w:t>
      </w:r>
      <w:r w:rsidR="002B4D14">
        <w:t xml:space="preserve"> </w:t>
      </w:r>
      <w:r>
        <w:t>(N.T. 4; Complaint ¶ 3)</w:t>
      </w:r>
    </w:p>
    <w:p w:rsidR="003B7EEB" w:rsidRDefault="003B7EEB" w:rsidP="003B7EEB">
      <w:pPr>
        <w:pStyle w:val="ListParagraph"/>
        <w:numPr>
          <w:ilvl w:val="0"/>
          <w:numId w:val="0"/>
        </w:numPr>
        <w:ind w:left="1440"/>
      </w:pPr>
    </w:p>
    <w:p w:rsidR="003B7EEB" w:rsidRDefault="003B7EEB" w:rsidP="003B7EEB">
      <w:pPr>
        <w:pStyle w:val="ListParagraph"/>
        <w:ind w:left="0" w:firstLine="1440"/>
        <w:contextualSpacing/>
      </w:pPr>
      <w:r>
        <w:t xml:space="preserve">Mr. Fischer began driving for Yellow Cab as a lease driver in September 2009. </w:t>
      </w:r>
      <w:r w:rsidR="002B4D14">
        <w:t xml:space="preserve"> </w:t>
      </w:r>
      <w:r>
        <w:t>(N.T. 23)</w:t>
      </w:r>
    </w:p>
    <w:p w:rsidR="003B7EEB" w:rsidRDefault="003B7EEB" w:rsidP="003B7EEB">
      <w:pPr>
        <w:pStyle w:val="ListParagraph"/>
        <w:numPr>
          <w:ilvl w:val="0"/>
          <w:numId w:val="0"/>
        </w:numPr>
        <w:ind w:left="1440"/>
      </w:pPr>
    </w:p>
    <w:p w:rsidR="003B7EEB" w:rsidRDefault="003B7EEB" w:rsidP="003B7EEB">
      <w:pPr>
        <w:pStyle w:val="ListParagraph"/>
        <w:ind w:left="0" w:firstLine="1440"/>
        <w:contextualSpacing/>
      </w:pPr>
      <w:r>
        <w:t>Mr. Fischer’s driving privileges were suspended by the Pennsylvania Department of Transportation (</w:t>
      </w:r>
      <w:proofErr w:type="spellStart"/>
      <w:r>
        <w:t>PennDOT</w:t>
      </w:r>
      <w:proofErr w:type="spellEnd"/>
      <w:r>
        <w:t xml:space="preserve">) from December 23, 2009 through June 24, 2010. </w:t>
      </w:r>
      <w:r w:rsidR="002B4D14">
        <w:t xml:space="preserve"> </w:t>
      </w:r>
      <w:r>
        <w:t>(N.T. 4-5; Complaint ¶ 3)</w:t>
      </w:r>
    </w:p>
    <w:p w:rsidR="003B7EEB" w:rsidRDefault="003B7EEB" w:rsidP="003B7EEB">
      <w:pPr>
        <w:pStyle w:val="ListParagraph"/>
        <w:numPr>
          <w:ilvl w:val="0"/>
          <w:numId w:val="0"/>
        </w:numPr>
        <w:ind w:left="1440"/>
      </w:pPr>
    </w:p>
    <w:p w:rsidR="003B7EEB" w:rsidRDefault="003B7EEB" w:rsidP="003B7EEB">
      <w:pPr>
        <w:pStyle w:val="ListParagraph"/>
        <w:ind w:left="0" w:firstLine="1440"/>
        <w:contextualSpacing/>
      </w:pPr>
      <w:r>
        <w:t>Mr. Fischer was charged with a moving violation involving a stop sign.</w:t>
      </w:r>
      <w:r w:rsidR="00292ECF">
        <w:t xml:space="preserve"> </w:t>
      </w:r>
      <w:r>
        <w:t xml:space="preserve"> The violation occurred when he was in his private vehicle and was going to pick up his wife.</w:t>
      </w:r>
      <w:r w:rsidR="002B4D14">
        <w:t xml:space="preserve"> </w:t>
      </w:r>
      <w:r>
        <w:t xml:space="preserve"> (N.T. 7)</w:t>
      </w:r>
    </w:p>
    <w:p w:rsidR="003B7EEB" w:rsidRDefault="003B7EEB" w:rsidP="003B7EEB">
      <w:pPr>
        <w:pStyle w:val="ListParagraph"/>
        <w:numPr>
          <w:ilvl w:val="0"/>
          <w:numId w:val="0"/>
        </w:numPr>
        <w:ind w:left="1440"/>
      </w:pPr>
    </w:p>
    <w:p w:rsidR="003B7EEB" w:rsidRDefault="003B7EEB" w:rsidP="003B7EEB">
      <w:pPr>
        <w:pStyle w:val="ListParagraph"/>
        <w:ind w:left="0" w:firstLine="1440"/>
        <w:contextualSpacing/>
      </w:pPr>
      <w:r>
        <w:t xml:space="preserve">He thought he had paid the citation and had taken care of the matter. </w:t>
      </w:r>
      <w:r w:rsidR="002B4D14">
        <w:t xml:space="preserve"> </w:t>
      </w:r>
      <w:r>
        <w:t>(N.T. 7)</w:t>
      </w:r>
    </w:p>
    <w:p w:rsidR="003B7EEB" w:rsidRDefault="003B7EEB" w:rsidP="003B7EEB">
      <w:pPr>
        <w:pStyle w:val="ListParagraph"/>
        <w:numPr>
          <w:ilvl w:val="0"/>
          <w:numId w:val="0"/>
        </w:numPr>
        <w:ind w:left="1440"/>
      </w:pPr>
    </w:p>
    <w:p w:rsidR="003B7EEB" w:rsidRDefault="003B7EEB" w:rsidP="003B7EEB">
      <w:pPr>
        <w:pStyle w:val="ListParagraph"/>
        <w:ind w:left="0" w:firstLine="1440"/>
        <w:contextualSpacing/>
      </w:pPr>
      <w:r>
        <w:t xml:space="preserve">He learned that his driving privileges had been suspended for failing to respond to the ticket when Yellow Cab’s safety director came to his house. </w:t>
      </w:r>
      <w:r w:rsidR="002B4D14">
        <w:t xml:space="preserve"> </w:t>
      </w:r>
      <w:r>
        <w:t>(N.T. 8-9)</w:t>
      </w:r>
    </w:p>
    <w:p w:rsidR="003B7EEB" w:rsidRDefault="003B7EEB" w:rsidP="003B7EEB">
      <w:pPr>
        <w:pStyle w:val="ListParagraph"/>
        <w:numPr>
          <w:ilvl w:val="0"/>
          <w:numId w:val="0"/>
        </w:numPr>
        <w:ind w:left="1440"/>
      </w:pPr>
    </w:p>
    <w:p w:rsidR="003B7EEB" w:rsidRDefault="003B7EEB" w:rsidP="003B7EEB">
      <w:pPr>
        <w:pStyle w:val="ListParagraph"/>
        <w:ind w:left="0" w:firstLine="1440"/>
        <w:contextualSpacing/>
      </w:pPr>
      <w:r>
        <w:t>Yellow Cab learned of Mr. Fischer’s suspension as a result of an annual inspection of their operation that was undertaken by the Commission in May 2010.</w:t>
      </w:r>
    </w:p>
    <w:p w:rsidR="003B7EEB" w:rsidRDefault="003B7EEB" w:rsidP="003B7EEB">
      <w:pPr>
        <w:pStyle w:val="ListParagraph"/>
        <w:numPr>
          <w:ilvl w:val="0"/>
          <w:numId w:val="0"/>
        </w:numPr>
        <w:ind w:left="1440"/>
      </w:pPr>
    </w:p>
    <w:p w:rsidR="003B7EEB" w:rsidRDefault="003B7EEB" w:rsidP="003B7EEB">
      <w:pPr>
        <w:pStyle w:val="ListParagraph"/>
        <w:ind w:left="0" w:firstLine="1440"/>
        <w:contextualSpacing/>
      </w:pPr>
      <w:r>
        <w:t xml:space="preserve">The safety director told him that he could no longer drive for Yellow Cab until his driving privileges had been reinstated. </w:t>
      </w:r>
      <w:r w:rsidR="002B4D14">
        <w:t xml:space="preserve"> </w:t>
      </w:r>
      <w:r>
        <w:t>(N.T. 9, 12)</w:t>
      </w:r>
    </w:p>
    <w:p w:rsidR="003B7EEB" w:rsidRDefault="003B7EEB" w:rsidP="003B7EEB">
      <w:pPr>
        <w:pStyle w:val="ListParagraph"/>
        <w:numPr>
          <w:ilvl w:val="0"/>
          <w:numId w:val="0"/>
        </w:numPr>
        <w:ind w:left="1440"/>
      </w:pPr>
    </w:p>
    <w:p w:rsidR="003B7EEB" w:rsidRDefault="003B7EEB" w:rsidP="003B7EEB">
      <w:pPr>
        <w:pStyle w:val="ListParagraph"/>
        <w:ind w:left="0" w:firstLine="1440"/>
        <w:contextualSpacing/>
      </w:pPr>
      <w:r>
        <w:t xml:space="preserve">Shortly thereafter, Mr. Fischer took care of his obligation to pay his fine and his driving privileges were reinstated. </w:t>
      </w:r>
      <w:r w:rsidR="002B4D14">
        <w:t xml:space="preserve"> </w:t>
      </w:r>
      <w:r>
        <w:t>(N.T. 9)</w:t>
      </w:r>
    </w:p>
    <w:p w:rsidR="003B7EEB" w:rsidRDefault="003B7EEB" w:rsidP="003B7EEB">
      <w:pPr>
        <w:pStyle w:val="ListParagraph"/>
        <w:numPr>
          <w:ilvl w:val="0"/>
          <w:numId w:val="0"/>
        </w:numPr>
        <w:ind w:left="1440"/>
      </w:pPr>
    </w:p>
    <w:p w:rsidR="003B7EEB" w:rsidRDefault="003B7EEB" w:rsidP="003B7EEB">
      <w:pPr>
        <w:pStyle w:val="ListParagraph"/>
        <w:ind w:left="0" w:firstLine="1440"/>
        <w:contextualSpacing/>
      </w:pPr>
      <w:r>
        <w:t xml:space="preserve">Yellow Cab has the ability to check the validity of a driver’s license instantaneously, or close to instantaneously. </w:t>
      </w:r>
      <w:r w:rsidR="00292ECF">
        <w:t xml:space="preserve"> </w:t>
      </w:r>
      <w:r>
        <w:t xml:space="preserve">The Pennsylvania Department of Transportation charges $7.00 per inquiry for this service. </w:t>
      </w:r>
      <w:r w:rsidR="002B4D14">
        <w:t xml:space="preserve"> </w:t>
      </w:r>
      <w:r>
        <w:t>(N.T. 14-15)</w:t>
      </w:r>
    </w:p>
    <w:p w:rsidR="003B7EEB" w:rsidRDefault="003B7EEB" w:rsidP="003B7EEB">
      <w:pPr>
        <w:pStyle w:val="ListParagraph"/>
        <w:numPr>
          <w:ilvl w:val="0"/>
          <w:numId w:val="0"/>
        </w:numPr>
        <w:ind w:left="1440"/>
      </w:pPr>
    </w:p>
    <w:p w:rsidR="003B7EEB" w:rsidRDefault="003B7EEB" w:rsidP="003B7EEB">
      <w:pPr>
        <w:pStyle w:val="ListParagraph"/>
        <w:ind w:left="0" w:firstLine="1440"/>
        <w:contextualSpacing/>
      </w:pPr>
      <w:r>
        <w:t xml:space="preserve">It would cost approximately $2,000 per day to check every cab driver’s license every day. </w:t>
      </w:r>
      <w:r w:rsidR="002B4D14">
        <w:t xml:space="preserve"> </w:t>
      </w:r>
      <w:r>
        <w:t>(N.T. 15)</w:t>
      </w:r>
    </w:p>
    <w:p w:rsidR="003B7EEB" w:rsidRDefault="003B7EEB" w:rsidP="003B7EEB">
      <w:pPr>
        <w:pStyle w:val="ListParagraph"/>
        <w:numPr>
          <w:ilvl w:val="0"/>
          <w:numId w:val="0"/>
        </w:numPr>
        <w:ind w:left="1440"/>
      </w:pPr>
    </w:p>
    <w:p w:rsidR="003B7EEB" w:rsidRDefault="003B7EEB" w:rsidP="003B7EEB">
      <w:pPr>
        <w:pStyle w:val="ListParagraph"/>
        <w:ind w:left="0" w:firstLine="1440"/>
        <w:contextualSpacing/>
      </w:pPr>
      <w:r>
        <w:t xml:space="preserve">Yellow Cab has several procedures for checking the status of a driver’s operating privileges: pre-interview, annual, random and post-accident. </w:t>
      </w:r>
      <w:r w:rsidR="002B4D14">
        <w:t xml:space="preserve"> </w:t>
      </w:r>
      <w:r>
        <w:t>(N.T. 17)</w:t>
      </w:r>
    </w:p>
    <w:p w:rsidR="003B7EEB" w:rsidRDefault="003B7EEB" w:rsidP="003B7EEB">
      <w:pPr>
        <w:pStyle w:val="ListParagraph"/>
        <w:numPr>
          <w:ilvl w:val="0"/>
          <w:numId w:val="0"/>
        </w:numPr>
        <w:ind w:left="1440"/>
      </w:pPr>
    </w:p>
    <w:p w:rsidR="003B7EEB" w:rsidRDefault="003B7EEB" w:rsidP="003B7EEB">
      <w:pPr>
        <w:pStyle w:val="ListParagraph"/>
        <w:ind w:left="0" w:firstLine="1440"/>
        <w:contextualSpacing/>
      </w:pPr>
      <w:r>
        <w:t xml:space="preserve">The pre-interview license check is done while an individual is being considered for a position as a lease driver.  Yellow Cab also performs an annual check of every driver’s operating privileges via the </w:t>
      </w:r>
      <w:proofErr w:type="spellStart"/>
      <w:r>
        <w:t>PennDOT</w:t>
      </w:r>
      <w:proofErr w:type="spellEnd"/>
      <w:r>
        <w:t xml:space="preserve"> system. </w:t>
      </w:r>
      <w:r w:rsidR="002B4D14">
        <w:t xml:space="preserve"> </w:t>
      </w:r>
      <w:r>
        <w:t>(N.T. 17)</w:t>
      </w:r>
    </w:p>
    <w:p w:rsidR="003B7EEB" w:rsidRDefault="003B7EEB" w:rsidP="003B7EEB">
      <w:pPr>
        <w:pStyle w:val="ListParagraph"/>
        <w:numPr>
          <w:ilvl w:val="0"/>
          <w:numId w:val="0"/>
        </w:numPr>
        <w:ind w:left="1440"/>
      </w:pPr>
    </w:p>
    <w:p w:rsidR="003B7EEB" w:rsidRDefault="003B7EEB" w:rsidP="003B7EEB">
      <w:pPr>
        <w:pStyle w:val="ListParagraph"/>
        <w:ind w:left="0" w:firstLine="1440"/>
        <w:contextualSpacing/>
      </w:pPr>
      <w:r>
        <w:t xml:space="preserve">A certain number of driver’s licenses are also checked randomly every month via the </w:t>
      </w:r>
      <w:proofErr w:type="spellStart"/>
      <w:r>
        <w:t>PennDOT</w:t>
      </w:r>
      <w:proofErr w:type="spellEnd"/>
      <w:r>
        <w:t xml:space="preserve"> system.  (N.T. 18, 24-25)</w:t>
      </w:r>
    </w:p>
    <w:p w:rsidR="003B7EEB" w:rsidRDefault="003B7EEB" w:rsidP="003B7EEB">
      <w:pPr>
        <w:pStyle w:val="ListParagraph"/>
        <w:numPr>
          <w:ilvl w:val="0"/>
          <w:numId w:val="0"/>
        </w:numPr>
        <w:ind w:left="1440"/>
      </w:pPr>
    </w:p>
    <w:p w:rsidR="003B7EEB" w:rsidRDefault="003B7EEB" w:rsidP="003B7EEB">
      <w:pPr>
        <w:jc w:val="center"/>
        <w:rPr>
          <w:u w:val="single"/>
        </w:rPr>
      </w:pPr>
      <w:r w:rsidRPr="00267A62">
        <w:rPr>
          <w:u w:val="single"/>
        </w:rPr>
        <w:t>DISCUSSION</w:t>
      </w:r>
    </w:p>
    <w:p w:rsidR="003B7EEB" w:rsidRPr="00267A62" w:rsidRDefault="003B7EEB" w:rsidP="003B7EEB">
      <w:pPr>
        <w:jc w:val="center"/>
        <w:rPr>
          <w:u w:val="single"/>
        </w:rPr>
      </w:pPr>
    </w:p>
    <w:p w:rsidR="003B7EEB" w:rsidRDefault="003B7EEB" w:rsidP="003B7EEB">
      <w:r>
        <w:tab/>
      </w:r>
      <w:r>
        <w:tab/>
        <w:t>The burden of proof in this matter lies with the Bureau of Transportation and Safety (BTS), now known as the Bureau of Investigation and Enforcement (BIE).</w:t>
      </w:r>
      <w:r>
        <w:rPr>
          <w:rStyle w:val="FootnoteReference"/>
        </w:rPr>
        <w:footnoteReference w:id="1"/>
      </w:r>
      <w:r>
        <w:t xml:space="preserve"> </w:t>
      </w:r>
      <w:r w:rsidR="004B7B80">
        <w:t xml:space="preserve"> </w:t>
      </w:r>
      <w:r>
        <w:t>Accordingly, BIE must establish the facts alleged in its complaint by a preponderance of the evidence.</w:t>
      </w:r>
      <w:r>
        <w:rPr>
          <w:rStyle w:val="FootnoteReference"/>
        </w:rPr>
        <w:footnoteReference w:id="2"/>
      </w:r>
    </w:p>
    <w:p w:rsidR="003B7EEB" w:rsidRDefault="003B7EEB" w:rsidP="003B7EEB"/>
    <w:p w:rsidR="003B7EEB" w:rsidRDefault="003B7EEB" w:rsidP="003B7EEB">
      <w:r>
        <w:tab/>
      </w:r>
      <w:r>
        <w:tab/>
        <w:t>The salient facts are not in dispute:  From December 29, 2009 through June 11, 2010, a driver employed by Yellow Cab operated a vehicle while his driving privileges were suspended on 31 separate days over a period of 165 days, providing a total of 193 individual trips.  The question which must be decided is whether these facts support a conclusion that Yellow Cab violated Sections 29.502 and 29.12</w:t>
      </w:r>
      <w:r>
        <w:rPr>
          <w:rStyle w:val="FootnoteReference"/>
        </w:rPr>
        <w:footnoteReference w:id="3"/>
      </w:r>
      <w:r>
        <w:t xml:space="preserve"> of the Commission’s regulations, and if so whether a civil penalty in the amount of $1,000 is appropriate.  </w:t>
      </w:r>
    </w:p>
    <w:p w:rsidR="003B7EEB" w:rsidRDefault="003B7EEB" w:rsidP="003B7EEB"/>
    <w:p w:rsidR="0049657A" w:rsidRDefault="0049657A">
      <w:pPr>
        <w:spacing w:after="200"/>
      </w:pPr>
      <w:r>
        <w:br w:type="page"/>
      </w:r>
    </w:p>
    <w:p w:rsidR="003B7EEB" w:rsidRDefault="003B7EEB" w:rsidP="003B7EEB">
      <w:r>
        <w:tab/>
      </w:r>
      <w:r>
        <w:tab/>
        <w:t xml:space="preserve">Section 29.502 provides that: </w:t>
      </w:r>
    </w:p>
    <w:p w:rsidR="003B7EEB" w:rsidRDefault="003B7EEB" w:rsidP="003B7EEB">
      <w:pPr>
        <w:pStyle w:val="Indentedquote0"/>
        <w:spacing w:after="0"/>
      </w:pPr>
      <w:r w:rsidRPr="00C83DC5">
        <w:t xml:space="preserve">A common or contract carrier may not permit a person to operate a vehicle in its authorized service unless that person has a current, valid driver’s license. </w:t>
      </w:r>
    </w:p>
    <w:p w:rsidR="003B7EEB" w:rsidRDefault="003B7EEB" w:rsidP="003B7EEB">
      <w:pPr>
        <w:pStyle w:val="Indentedquote0"/>
        <w:spacing w:after="0"/>
      </w:pPr>
    </w:p>
    <w:p w:rsidR="003B7EEB" w:rsidRDefault="003B7EEB" w:rsidP="003B7EEB">
      <w:r>
        <w:t>In the view of BIE, the fact that Yellow Cab’s driver was operating a taxi when his license was under suspension is enough to conclude that Yellow Cab permitted a driver to operate a vehicle without a valid license in violation of Section 29.502.  BIE takes the position that the measures taken by Yellow Cab to ensure that its drivers have current and valid driver’s licenses are immaterial.  Yellow Cab, in contrast, argues that it has a reasonable program for taking measures to ensure that its drivers hold proper operating privileges and therefore it did not “permit” Mr.</w:t>
      </w:r>
      <w:r w:rsidR="008975C6">
        <w:t> </w:t>
      </w:r>
      <w:r>
        <w:t xml:space="preserve">Fischer to operate a taxi with a suspended license. </w:t>
      </w:r>
    </w:p>
    <w:p w:rsidR="003B7EEB" w:rsidRDefault="003B7EEB" w:rsidP="003B7EEB"/>
    <w:p w:rsidR="003B7EEB" w:rsidRDefault="002730F8" w:rsidP="003B7EEB">
      <w:r>
        <w:tab/>
      </w:r>
      <w:r>
        <w:tab/>
        <w:t xml:space="preserve">In their legal memoranda, both BIE and Yellow Cab discuss the application of two Commission decisions:  In </w:t>
      </w:r>
      <w:r>
        <w:rPr>
          <w:i/>
        </w:rPr>
        <w:t>PUC v. Pittsburgh Limousine, Inc. t/d/b/a Royal Limousine</w:t>
      </w:r>
      <w:r>
        <w:t>,</w:t>
      </w:r>
      <w:r>
        <w:rPr>
          <w:rStyle w:val="FootnoteReference"/>
        </w:rPr>
        <w:footnoteReference w:id="4"/>
      </w:r>
      <w:r>
        <w:t xml:space="preserve"> and </w:t>
      </w:r>
    </w:p>
    <w:p w:rsidR="002730F8" w:rsidRDefault="002730F8" w:rsidP="002730F8">
      <w:r>
        <w:rPr>
          <w:i/>
        </w:rPr>
        <w:t>PUC v. Atlantic Coast Express, Inc. t/d/b/a A.C.E. Transportation Services</w:t>
      </w:r>
      <w:r>
        <w:t>.</w:t>
      </w:r>
      <w:r>
        <w:rPr>
          <w:rStyle w:val="FootnoteReference"/>
        </w:rPr>
        <w:footnoteReference w:id="5"/>
      </w:r>
      <w:r>
        <w:t xml:space="preserve">  </w:t>
      </w:r>
    </w:p>
    <w:p w:rsidR="002730F8" w:rsidRDefault="002730F8" w:rsidP="002730F8"/>
    <w:p w:rsidR="003B7EEB" w:rsidRDefault="003B7EEB" w:rsidP="002730F8">
      <w:pPr>
        <w:ind w:firstLine="1440"/>
      </w:pPr>
      <w:r>
        <w:t xml:space="preserve">In </w:t>
      </w:r>
      <w:r>
        <w:rPr>
          <w:i/>
        </w:rPr>
        <w:t>PUC v. Pittsburgh Limousine, Inc. t/d/b/a Royal Limousine</w:t>
      </w:r>
      <w:r>
        <w:t>, BTS charged Pittsburgh Limousine with permitting drivers to operate motor vehicles after their licenses had been suspended.  Pittsburgh Limousine’s only license check program involved sending a copy of the driver’s picture to its insurance company prior to the individual’s employment as a driver and the insurance company was supposed to check the status of the driver’s license.  The Commission discovered that two drivers were operating vehicles on suspended licenses even though the insurance company file revealed that the individual’s driving privileges were valid.  The Commission held that the fine was necessary in order to prevent future violations.  The Commission also found that the carrier’s excuse for failing to ensure that its drivers had valid licenses by relying upon its insurance company to run motor vehicle checks was insufficient because the insurance company’s procedure was inaccurate and failed to reveal the suspended licenses:</w:t>
      </w:r>
    </w:p>
    <w:p w:rsidR="003B7EEB" w:rsidRDefault="003B7EEB" w:rsidP="003B7EEB">
      <w:pPr>
        <w:ind w:firstLine="720"/>
      </w:pPr>
    </w:p>
    <w:p w:rsidR="003B7EEB" w:rsidRDefault="003B7EEB" w:rsidP="003B7EEB">
      <w:pPr>
        <w:pStyle w:val="Indentedquote0"/>
        <w:spacing w:after="0"/>
      </w:pPr>
      <w:r>
        <w:t xml:space="preserve">It is uncontested that the violations occurred. </w:t>
      </w:r>
      <w:r w:rsidR="008975C6">
        <w:t xml:space="preserve"> </w:t>
      </w:r>
      <w:r>
        <w:t>Permitting an unlicensed driver to operate a taxicab in public utility service unquestionably jeopardizes the safety of the travelling public.  It is the respondent’s responsibility to establish and implement a system of checks and balances that effectively deals with this problem and to assure that it is capable of operating a business in accordance with the Commission rules and regulations.</w:t>
      </w:r>
      <w:r>
        <w:rPr>
          <w:rStyle w:val="FootnoteReference"/>
        </w:rPr>
        <w:footnoteReference w:id="6"/>
      </w:r>
    </w:p>
    <w:p w:rsidR="002F3B2D" w:rsidRDefault="002F3B2D" w:rsidP="003B7EEB">
      <w:pPr>
        <w:pStyle w:val="Indentedquote0"/>
        <w:spacing w:after="0"/>
      </w:pPr>
    </w:p>
    <w:p w:rsidR="003B7EEB" w:rsidRDefault="003B7EEB" w:rsidP="003B7EEB">
      <w:pPr>
        <w:pStyle w:val="Indentedquote0"/>
        <w:spacing w:after="0"/>
      </w:pPr>
    </w:p>
    <w:p w:rsidR="003B7EEB" w:rsidRDefault="003B7EEB" w:rsidP="003B7EEB">
      <w:pPr>
        <w:ind w:firstLine="720"/>
      </w:pPr>
      <w:r>
        <w:tab/>
        <w:t>The Commission also declined to reduce the fine amount proposed by BTS of $200 per driver, per month, up to $1000 per driver.  In reaching this conclusion, the Commission considered that the carrier had approximately 16 complaints in the past three and half years and had consistently ignored the Commission’s requirements.  Accordingly, the Commission sustained the complaint and directed the company to pay a fine of $1,600.</w:t>
      </w:r>
    </w:p>
    <w:p w:rsidR="003B7EEB" w:rsidRDefault="003B7EEB" w:rsidP="003B7EEB">
      <w:pPr>
        <w:ind w:firstLine="720"/>
      </w:pPr>
    </w:p>
    <w:p w:rsidR="003B7EEB" w:rsidRDefault="003B7EEB" w:rsidP="003B7EEB">
      <w:pPr>
        <w:ind w:firstLine="720"/>
      </w:pPr>
      <w:r>
        <w:tab/>
        <w:t xml:space="preserve">The following year the Commission rendered a similar decision in </w:t>
      </w:r>
      <w:r>
        <w:rPr>
          <w:i/>
        </w:rPr>
        <w:t>PUC v. Atlantic Coast Express, Inc. t/d/b/a A.C.E. Transportation Services</w:t>
      </w:r>
      <w:r>
        <w:t>.</w:t>
      </w:r>
      <w:r>
        <w:rPr>
          <w:rStyle w:val="FootnoteReference"/>
        </w:rPr>
        <w:footnoteReference w:id="7"/>
      </w:r>
      <w:r>
        <w:t xml:space="preserve">  In that case, the presiding administrative law judge had granted a motion for judgment on the pleadings where BTS had filed a complaint against a carrier for, among other things, permitting several drivers to operate taxicabs without a valid driver’s license.</w:t>
      </w:r>
      <w:r>
        <w:rPr>
          <w:rStyle w:val="FootnoteReference"/>
        </w:rPr>
        <w:footnoteReference w:id="8"/>
      </w:r>
      <w:r>
        <w:t xml:space="preserve"> </w:t>
      </w:r>
      <w:r w:rsidR="008975C6">
        <w:t xml:space="preserve"> </w:t>
      </w:r>
      <w:r>
        <w:t xml:space="preserve">An inspection by a Commission enforcement officer revealed that one driver had had his privileges suspended by the Virginia Department of Motor </w:t>
      </w:r>
      <w:r w:rsidR="00783908">
        <w:t>V</w:t>
      </w:r>
      <w:r>
        <w:t xml:space="preserve">ehicles in 1999, and the other driver had an expired driver’s license.  The carrier’s method of ensuring that its drivers had valid licenses was simply to rely on the representations by the drivers themselves. </w:t>
      </w:r>
      <w:r w:rsidR="008975C6">
        <w:t xml:space="preserve"> </w:t>
      </w:r>
      <w:r>
        <w:t>The carrier alleged that both drivers had been dismissed and sought a reduction of the fine requested by BTS.  Based solely upon the pleadings, the ALJ found that the carrier’s claim of ignorance was not reasonable:</w:t>
      </w:r>
    </w:p>
    <w:p w:rsidR="003B7EEB" w:rsidRDefault="003B7EEB" w:rsidP="003B7EEB">
      <w:pPr>
        <w:ind w:firstLine="720"/>
      </w:pPr>
    </w:p>
    <w:p w:rsidR="002F3B2D" w:rsidRDefault="003B7EEB" w:rsidP="003B7EEB">
      <w:pPr>
        <w:pStyle w:val="Indentedquote0"/>
        <w:spacing w:after="0"/>
      </w:pPr>
      <w:r>
        <w:t>ACE’s claim that it was unaware of the drivers’ lack of licenses is not a reasonable excuse, but evidence of further dereliction on the part of ACE.</w:t>
      </w:r>
      <w:r w:rsidR="008975C6">
        <w:t xml:space="preserve"> </w:t>
      </w:r>
      <w:r>
        <w:t xml:space="preserve"> If, as ACE’s answer suggests, ACE simply asked the drivers in question if they held valid licenses, without even asking to see the licenses and noting expiration dates, or checking with the issuing motor vehicle departments to determine if the drivers were telling the truth, then ACE deserves to pay the full amount of these penalties.</w:t>
      </w:r>
      <w:r>
        <w:rPr>
          <w:rStyle w:val="FootnoteReference"/>
        </w:rPr>
        <w:footnoteReference w:id="9"/>
      </w:r>
    </w:p>
    <w:p w:rsidR="003B7EEB" w:rsidRDefault="003B7EEB" w:rsidP="003B7EEB">
      <w:pPr>
        <w:pStyle w:val="Indentedquote0"/>
        <w:spacing w:after="0"/>
      </w:pPr>
      <w:r>
        <w:t xml:space="preserve">  </w:t>
      </w:r>
    </w:p>
    <w:p w:rsidR="003B7EEB" w:rsidRDefault="003B7EEB" w:rsidP="003B7EEB">
      <w:pPr>
        <w:pStyle w:val="Indentedquote0"/>
        <w:spacing w:after="0"/>
      </w:pPr>
    </w:p>
    <w:p w:rsidR="003B7EEB" w:rsidRDefault="003B7EEB" w:rsidP="003B7EEB">
      <w:r>
        <w:t xml:space="preserve">The ALJ also found that a similar complaint for similar violations had been lodged by BTS not long before and concluded that it was appropriate to grant the motion for judgment on the pleadings and sustain the complaint. </w:t>
      </w:r>
      <w:r w:rsidR="008975C6">
        <w:t xml:space="preserve"> </w:t>
      </w:r>
      <w:r>
        <w:t>The Commission agreed.</w:t>
      </w:r>
      <w:r>
        <w:rPr>
          <w:rStyle w:val="FootnoteReference"/>
        </w:rPr>
        <w:footnoteReference w:id="10"/>
      </w:r>
    </w:p>
    <w:p w:rsidR="003B7EEB" w:rsidRDefault="003B7EEB" w:rsidP="003B7EEB"/>
    <w:p w:rsidR="002730F8" w:rsidRDefault="003B7EEB" w:rsidP="002730F8">
      <w:r>
        <w:tab/>
      </w:r>
      <w:r w:rsidR="002730F8">
        <w:tab/>
        <w:t xml:space="preserve">In BIE’s view, these cases support its position that Section 29.502 is a “strict liability” regulation.  That is, a carrier is in violation of the regulation regardless of the procedures it uses to verify the driving privileges of its cab drivers.  These decisions both hold a carrier responsible for the operation of taxis by drivers who did not have current and valid operating privileges even though the carrier was not aware that those operating privileges had been suspended.  However, both carriers had non-existent or minimal license check procedures.  Accordingly, Yellow Cab contends </w:t>
      </w:r>
      <w:r w:rsidR="00F235C4">
        <w:t xml:space="preserve">that in contrast to the negligent carriers in </w:t>
      </w:r>
      <w:r w:rsidR="00F235C4" w:rsidRPr="00F235C4">
        <w:rPr>
          <w:i/>
        </w:rPr>
        <w:t>ACE</w:t>
      </w:r>
      <w:r w:rsidR="00F235C4">
        <w:t xml:space="preserve"> and </w:t>
      </w:r>
      <w:r w:rsidR="00F235C4" w:rsidRPr="00F235C4">
        <w:rPr>
          <w:i/>
        </w:rPr>
        <w:t>Royal Limousine</w:t>
      </w:r>
      <w:r w:rsidR="00F235C4">
        <w:t xml:space="preserve">, </w:t>
      </w:r>
      <w:r w:rsidR="002730F8">
        <w:t>it has a reasonable process in place to check the validity of licenses</w:t>
      </w:r>
      <w:r w:rsidR="00B91779">
        <w:t xml:space="preserve"> and</w:t>
      </w:r>
      <w:r w:rsidR="002730F8">
        <w:t xml:space="preserve"> it should not be liable for a civil penalty here.</w:t>
      </w:r>
    </w:p>
    <w:p w:rsidR="0003121F" w:rsidRDefault="0003121F" w:rsidP="002730F8"/>
    <w:p w:rsidR="0003121F" w:rsidRDefault="0003121F" w:rsidP="002730F8">
      <w:r>
        <w:tab/>
      </w:r>
      <w:r>
        <w:tab/>
        <w:t>I might agree with Yellow Cab</w:t>
      </w:r>
      <w:r w:rsidR="00CE34C1">
        <w:t xml:space="preserve"> that its license check procedure is reasonable</w:t>
      </w:r>
      <w:r>
        <w:t xml:space="preserve"> but for the Commission’s decision in </w:t>
      </w:r>
      <w:r>
        <w:rPr>
          <w:i/>
        </w:rPr>
        <w:t>Bureau of Transportation and Safety v. Yellow Cab Company of Pittsburgh.</w:t>
      </w:r>
      <w:r w:rsidRPr="00CE34C1">
        <w:rPr>
          <w:rStyle w:val="FootnoteReference"/>
        </w:rPr>
        <w:footnoteReference w:id="11"/>
      </w:r>
      <w:r w:rsidRPr="00CE34C1">
        <w:t xml:space="preserve"> </w:t>
      </w:r>
      <w:r>
        <w:t xml:space="preserve"> Facing similar violations by Yellow Cab, namely </w:t>
      </w:r>
      <w:r w:rsidR="007975D0">
        <w:t>that drivers were discovered by BTS operating</w:t>
      </w:r>
      <w:r>
        <w:t xml:space="preserve"> taxis while their licenses were suspended, the ALJ expressed concern that the Commission had set forth no guidelines for carriers to employ in the design of a procedure for checking the validity of licenses. </w:t>
      </w:r>
      <w:r w:rsidR="002D351A">
        <w:t xml:space="preserve"> </w:t>
      </w:r>
      <w:r>
        <w:t>The ALJ further found that the system of license checks</w:t>
      </w:r>
      <w:r w:rsidR="007975D0">
        <w:t xml:space="preserve"> in place at the time</w:t>
      </w:r>
      <w:r>
        <w:t xml:space="preserve"> -- namely upon employment, annually, after an accident and randomly --  were reasonable, and the complaint should be dismissed.  On review, the Commission strongly disagreed:</w:t>
      </w:r>
    </w:p>
    <w:p w:rsidR="00C91137" w:rsidRDefault="00C91137" w:rsidP="002730F8"/>
    <w:p w:rsidR="00C91137" w:rsidRDefault="00C91137" w:rsidP="008E54FE">
      <w:pPr>
        <w:pStyle w:val="IndentedQuote"/>
      </w:pPr>
      <w:r>
        <w:t>Contrary to the ALJ’s rational</w:t>
      </w:r>
      <w:r w:rsidR="00631BD2">
        <w:t>e</w:t>
      </w:r>
      <w:r>
        <w:t>, Yellow Cab’s system of check</w:t>
      </w:r>
      <w:r w:rsidR="00B91779">
        <w:t>s</w:t>
      </w:r>
      <w:r>
        <w:t xml:space="preserve"> and balances does not insulate it from prosecution.  Permitting an unlicensed driver to operate a taxicab in public utility service unquest</w:t>
      </w:r>
      <w:r w:rsidR="00631BD2">
        <w:t xml:space="preserve">ionably jeopardizes the safety </w:t>
      </w:r>
      <w:r>
        <w:t>of the traveling public and violates the Public Utility Code and Comm</w:t>
      </w:r>
      <w:r w:rsidR="00631BD2">
        <w:t>i</w:t>
      </w:r>
      <w:r>
        <w:t>ssion regulations, regardless of Yellow Cab’s system of checks and balances that effectively deals with this problem.  The Commission will not micromanage Yellow Cab’s affairs. Suffice it to say that the Commission has a zero tolerance policy on safety issues, as reflected in the preclusive intent of our regulations.</w:t>
      </w:r>
      <w:r>
        <w:rPr>
          <w:rStyle w:val="FootnoteReference"/>
        </w:rPr>
        <w:footnoteReference w:id="12"/>
      </w:r>
    </w:p>
    <w:p w:rsidR="00D208ED" w:rsidRDefault="00D208ED" w:rsidP="008E54FE">
      <w:pPr>
        <w:spacing w:after="120"/>
      </w:pPr>
    </w:p>
    <w:p w:rsidR="00EE3692" w:rsidRDefault="00D208ED" w:rsidP="008E54FE">
      <w:pPr>
        <w:spacing w:after="120"/>
      </w:pPr>
      <w:r>
        <w:tab/>
      </w:r>
      <w:r>
        <w:tab/>
      </w:r>
      <w:r w:rsidR="00EE3692">
        <w:t xml:space="preserve">Section 29.502 was promulgated by the Commission in 2006, after the </w:t>
      </w:r>
      <w:r w:rsidR="00EE3692" w:rsidRPr="00EE3692">
        <w:rPr>
          <w:i/>
        </w:rPr>
        <w:t>Yellow Cab</w:t>
      </w:r>
      <w:r w:rsidR="00EE3692">
        <w:t xml:space="preserve"> decision.  </w:t>
      </w:r>
      <w:r>
        <w:t xml:space="preserve">Yellow Cab argues that the use of the word “may” in Section 29.502, rather than the more directive </w:t>
      </w:r>
      <w:r w:rsidR="00B91779">
        <w:t>“‘must’</w:t>
      </w:r>
      <w:r>
        <w:t xml:space="preserve"> in the context of the section at issue leaves an inference that the carrier must have knowledge of the invalid license status in order to violat</w:t>
      </w:r>
      <w:r w:rsidR="00B91779">
        <w:t>e</w:t>
      </w:r>
      <w:r>
        <w:t xml:space="preserve"> Section 29.502.”  </w:t>
      </w:r>
      <w:r w:rsidR="00152F6F">
        <w:t>The Commission has rejected this notion on many occasions and was certainly aware of the issue of knowledge by a carrier when it promulgated the regulation</w:t>
      </w:r>
      <w:r w:rsidR="00EE3692">
        <w:t>:</w:t>
      </w:r>
    </w:p>
    <w:p w:rsidR="00EE3692" w:rsidRDefault="00EE3692" w:rsidP="00EE3692">
      <w:pPr>
        <w:pStyle w:val="Indentedquote0"/>
        <w:spacing w:after="0"/>
      </w:pPr>
    </w:p>
    <w:p w:rsidR="00EE3692" w:rsidRDefault="00EE3692" w:rsidP="00EE3692">
      <w:pPr>
        <w:pStyle w:val="Indentedquote0"/>
        <w:spacing w:after="0"/>
      </w:pPr>
      <w:r>
        <w:t xml:space="preserve">As previously noted, it is the carrier’s responsibility to ensure its drivers are properly licensed.  While this may cause </w:t>
      </w:r>
    </w:p>
    <w:p w:rsidR="00EE3692" w:rsidRDefault="00EE3692" w:rsidP="00EE3692">
      <w:pPr>
        <w:pStyle w:val="Indentedquote0"/>
        <w:spacing w:after="0"/>
      </w:pPr>
      <w:r>
        <w:t>some difficulties, reasonable steps must be taken by carriers to ensure proper licensing.</w:t>
      </w:r>
      <w:r>
        <w:rPr>
          <w:rStyle w:val="FootnoteReference"/>
        </w:rPr>
        <w:footnoteReference w:id="13"/>
      </w:r>
    </w:p>
    <w:p w:rsidR="00EE3692" w:rsidRDefault="00EE3692" w:rsidP="00EE3692"/>
    <w:p w:rsidR="00CD027D" w:rsidRDefault="00EE3692" w:rsidP="00EE3692">
      <w:r>
        <w:t xml:space="preserve">While there remains little explicit guidance to indicate what the Commission considers “reasonable measures to ensure that their drivers have valid operating privileges,” the </w:t>
      </w:r>
      <w:r>
        <w:rPr>
          <w:i/>
        </w:rPr>
        <w:t>Yellow Cab</w:t>
      </w:r>
      <w:r>
        <w:t xml:space="preserve"> decision above should have put </w:t>
      </w:r>
      <w:r w:rsidRPr="00EE3692">
        <w:rPr>
          <w:i/>
        </w:rPr>
        <w:t>this</w:t>
      </w:r>
      <w:r>
        <w:t xml:space="preserve"> carrier on notice that its system of license checks was not considered reasonable by the Commission where it allowed a driver to operate a taxi with a suspended license undetected.  Yellow Cab was again sanctioned for failing to detect a driver with an expired license in 2002, but has apparently done nothing new to implement more </w:t>
      </w:r>
    </w:p>
    <w:p w:rsidR="00CD027D" w:rsidRDefault="00CD027D">
      <w:pPr>
        <w:spacing w:after="200"/>
      </w:pPr>
      <w:r>
        <w:br w:type="page"/>
      </w:r>
    </w:p>
    <w:p w:rsidR="00EE3692" w:rsidRDefault="00EE3692" w:rsidP="00EE3692">
      <w:r>
        <w:t>effective procedures.</w:t>
      </w:r>
      <w:r>
        <w:rPr>
          <w:rStyle w:val="FootnoteReference"/>
        </w:rPr>
        <w:footnoteReference w:id="14"/>
      </w:r>
      <w:r>
        <w:t xml:space="preserve">  The only difference between the procedure in place in 2011 and</w:t>
      </w:r>
      <w:r w:rsidR="00B91779">
        <w:t xml:space="preserve"> the</w:t>
      </w:r>
      <w:r>
        <w:t xml:space="preserve"> procedure</w:t>
      </w:r>
      <w:r w:rsidR="00B91779">
        <w:t>s</w:t>
      </w:r>
      <w:r>
        <w:t xml:space="preserve"> in place in 1999 and 2002, is that Yellow Cab now has access to immediate feedback from </w:t>
      </w:r>
      <w:proofErr w:type="spellStart"/>
      <w:r>
        <w:t>PennDOT</w:t>
      </w:r>
      <w:proofErr w:type="spellEnd"/>
      <w:r>
        <w:t xml:space="preserve"> rather than waiting for receipt of a tape for the results of its driver’s license checks.</w:t>
      </w:r>
      <w:r>
        <w:rPr>
          <w:rStyle w:val="FootnoteReference"/>
        </w:rPr>
        <w:footnoteReference w:id="15"/>
      </w:r>
      <w:r>
        <w:t xml:space="preserve">  In short, it is disingenuous for Yellow Cab to contend that it thought that its license check procedure was reasonable under the regulations when it had clear direction from the Commission that its procedures were not.  </w:t>
      </w:r>
    </w:p>
    <w:p w:rsidR="00EE3692" w:rsidRDefault="00EE3692" w:rsidP="00C91137"/>
    <w:p w:rsidR="00D208ED" w:rsidRDefault="00152F6F" w:rsidP="00C91137">
      <w:r>
        <w:t xml:space="preserve"> </w:t>
      </w:r>
      <w:r w:rsidR="00635761">
        <w:tab/>
      </w:r>
      <w:r w:rsidR="00B91779">
        <w:tab/>
      </w:r>
      <w:r>
        <w:t>As was made clear in the 1999 Yellow Cab decision and other enforcement decisions, the Commission has a “zero tolerance” policy which underpins its safety regulations of transportation utilities.</w:t>
      </w:r>
      <w:r w:rsidR="00D630FD">
        <w:t xml:space="preserve">  The language of Section 29.502 mirrors the language used by the Commission in the 1999 </w:t>
      </w:r>
      <w:r w:rsidR="00D630FD" w:rsidRPr="00635761">
        <w:rPr>
          <w:i/>
        </w:rPr>
        <w:t>Yellow Cab</w:t>
      </w:r>
      <w:r w:rsidR="00D630FD">
        <w:t xml:space="preserve"> decision. </w:t>
      </w:r>
      <w:r w:rsidR="00B91779">
        <w:t xml:space="preserve"> </w:t>
      </w:r>
      <w:r w:rsidR="00D630FD">
        <w:t>Yellow Cab has not pointed to any authority which would suggest that the Commission intended a different meaning of Section 29.502 than the zero tolerance described in the decisions prior to its promulgation.  Therefore Yellow Cab’s argument is rejected.</w:t>
      </w:r>
      <w:r>
        <w:t xml:space="preserve">  </w:t>
      </w:r>
    </w:p>
    <w:p w:rsidR="00635761" w:rsidRDefault="00635761" w:rsidP="00C91137"/>
    <w:p w:rsidR="002730F8" w:rsidRDefault="00635761" w:rsidP="007245E5">
      <w:r>
        <w:tab/>
      </w:r>
      <w:r w:rsidR="00B91779">
        <w:tab/>
      </w:r>
      <w:r>
        <w:t>Finally, in view of Yellow Cab’s prior history of failing to detect drivers with suspended licenses and its failure to improve its license check procedure, the fine of $1,000 is reasonable.</w:t>
      </w:r>
    </w:p>
    <w:p w:rsidR="003B7EEB" w:rsidRDefault="003B7EEB" w:rsidP="003B7EEB">
      <w:bookmarkStart w:id="0" w:name="_GoBack"/>
      <w:bookmarkEnd w:id="0"/>
    </w:p>
    <w:p w:rsidR="003B7EEB" w:rsidRDefault="003B7EEB" w:rsidP="003B7EEB">
      <w:pPr>
        <w:jc w:val="center"/>
        <w:rPr>
          <w:u w:val="single"/>
        </w:rPr>
      </w:pPr>
      <w:r w:rsidRPr="002F3B2D">
        <w:rPr>
          <w:u w:val="single"/>
        </w:rPr>
        <w:t>CONCLUSIONS OF LAW</w:t>
      </w:r>
    </w:p>
    <w:p w:rsidR="002F3B2D" w:rsidRPr="002F3B2D" w:rsidRDefault="002F3B2D" w:rsidP="003B7EEB">
      <w:pPr>
        <w:jc w:val="center"/>
        <w:rPr>
          <w:u w:val="single"/>
        </w:rPr>
      </w:pPr>
    </w:p>
    <w:p w:rsidR="003B7EEB" w:rsidRDefault="003B7EEB" w:rsidP="003B7EEB">
      <w:r>
        <w:tab/>
      </w:r>
      <w:r w:rsidR="002F3B2D">
        <w:tab/>
      </w:r>
      <w:r>
        <w:t>1.</w:t>
      </w:r>
      <w:r>
        <w:tab/>
        <w:t>The Public Utility Commission has jurisdiction over the parties and subject</w:t>
      </w:r>
      <w:r w:rsidR="00C408A2">
        <w:t xml:space="preserve"> </w:t>
      </w:r>
      <w:r>
        <w:t>matter of this complaint.</w:t>
      </w:r>
    </w:p>
    <w:p w:rsidR="003B7EEB" w:rsidRDefault="003B7EEB" w:rsidP="003B7EEB"/>
    <w:p w:rsidR="003B7EEB" w:rsidRDefault="003B7EEB" w:rsidP="003B7EEB">
      <w:r>
        <w:tab/>
      </w:r>
      <w:r w:rsidR="002F3B2D">
        <w:tab/>
      </w:r>
      <w:r>
        <w:t>2.</w:t>
      </w:r>
      <w:r>
        <w:tab/>
        <w:t xml:space="preserve"> The Bureau of Transportation and Safety, now known as the Bureau of Investigation and Enforcement</w:t>
      </w:r>
      <w:r w:rsidR="00CA2FB7">
        <w:t>,</w:t>
      </w:r>
      <w:r>
        <w:t xml:space="preserve"> bears the burden of proof.</w:t>
      </w:r>
    </w:p>
    <w:p w:rsidR="003B7EEB" w:rsidRDefault="003B7EEB" w:rsidP="003B7EEB"/>
    <w:p w:rsidR="003B7EEB" w:rsidRDefault="003B7EEB" w:rsidP="003B7EEB">
      <w:r>
        <w:tab/>
      </w:r>
      <w:r w:rsidR="002F3B2D">
        <w:tab/>
      </w:r>
      <w:r w:rsidR="00E41110">
        <w:t>3</w:t>
      </w:r>
      <w:r w:rsidR="007C7CD9">
        <w:t>.</w:t>
      </w:r>
      <w:r w:rsidR="007C7CD9">
        <w:tab/>
        <w:t xml:space="preserve">Yellow Cab </w:t>
      </w:r>
      <w:r>
        <w:t>violate</w:t>
      </w:r>
      <w:r w:rsidR="007C7CD9">
        <w:t>d</w:t>
      </w:r>
      <w:r>
        <w:t xml:space="preserve"> Section 29.502 or 29.12 of the Commission’s regulations.</w:t>
      </w:r>
      <w:r w:rsidR="0049657A">
        <w:t xml:space="preserve">  52 Pa. Code §§ 29.502 and 29.12. </w:t>
      </w:r>
    </w:p>
    <w:p w:rsidR="007245E5" w:rsidRDefault="007245E5" w:rsidP="003B7EEB"/>
    <w:p w:rsidR="007245E5" w:rsidRDefault="007245E5" w:rsidP="003B7EEB">
      <w:r>
        <w:tab/>
      </w:r>
      <w:r>
        <w:tab/>
        <w:t>4.</w:t>
      </w:r>
      <w:r>
        <w:tab/>
        <w:t>A civil penalty of $1,000 for violation of Sections 29.502 and 29.12 in this case is reasonable.</w:t>
      </w:r>
    </w:p>
    <w:p w:rsidR="003B7EEB" w:rsidRDefault="003B7EEB" w:rsidP="003B7EEB"/>
    <w:p w:rsidR="00FC1459" w:rsidRDefault="00FC1459" w:rsidP="00FC1459">
      <w:pPr>
        <w:jc w:val="center"/>
        <w:rPr>
          <w:u w:val="single"/>
        </w:rPr>
      </w:pPr>
      <w:r>
        <w:rPr>
          <w:u w:val="single"/>
        </w:rPr>
        <w:t>ORDER</w:t>
      </w:r>
    </w:p>
    <w:p w:rsidR="00FC1459" w:rsidRDefault="00FC1459" w:rsidP="00FC1459">
      <w:pPr>
        <w:jc w:val="center"/>
        <w:rPr>
          <w:u w:val="single"/>
        </w:rPr>
      </w:pPr>
    </w:p>
    <w:p w:rsidR="003B7EEB" w:rsidRDefault="002F3B2D" w:rsidP="003B7EEB">
      <w:r>
        <w:tab/>
      </w:r>
      <w:r>
        <w:tab/>
      </w:r>
      <w:r w:rsidR="003B7EEB">
        <w:t>THEREFORE,</w:t>
      </w:r>
    </w:p>
    <w:p w:rsidR="002F3B2D" w:rsidRDefault="002F3B2D" w:rsidP="003B7EEB"/>
    <w:p w:rsidR="003B7EEB" w:rsidRDefault="002F3B2D" w:rsidP="003B7EEB">
      <w:r>
        <w:tab/>
      </w:r>
      <w:r>
        <w:tab/>
      </w:r>
      <w:r w:rsidR="003B7EEB">
        <w:t>IT IS ORDERED:</w:t>
      </w:r>
    </w:p>
    <w:p w:rsidR="003B7EEB" w:rsidRDefault="003B7EEB" w:rsidP="003B7EEB"/>
    <w:p w:rsidR="003B7EEB" w:rsidRDefault="003B7EEB" w:rsidP="003B7EEB">
      <w:r>
        <w:tab/>
      </w:r>
      <w:r w:rsidR="002F3B2D">
        <w:tab/>
      </w:r>
      <w:r>
        <w:t>1.</w:t>
      </w:r>
      <w:r>
        <w:tab/>
        <w:t xml:space="preserve">That the complaint of the Bureau of Transportation and Safety, now known as the Bureau of Investigation and Enforcement, against Yellow Cab Company of Pittsburgh at PUC Docket No. C-2011-2182793, </w:t>
      </w:r>
      <w:r w:rsidR="00060482">
        <w:t>is sustained</w:t>
      </w:r>
      <w:r>
        <w:t>.</w:t>
      </w:r>
    </w:p>
    <w:p w:rsidR="003B7EEB" w:rsidRDefault="003B7EEB" w:rsidP="003B7EEB"/>
    <w:p w:rsidR="003B7EEB" w:rsidRDefault="003B7EEB" w:rsidP="003B7EEB">
      <w:r>
        <w:tab/>
      </w:r>
      <w:r w:rsidR="002F3B2D">
        <w:tab/>
      </w:r>
      <w:r>
        <w:t>2.</w:t>
      </w:r>
      <w:r>
        <w:tab/>
      </w:r>
      <w:r w:rsidR="00060482">
        <w:t xml:space="preserve">That Yellow Cab Company of Pittsburgh must remit, within 30 days </w:t>
      </w:r>
      <w:r w:rsidR="008A3844">
        <w:t>after</w:t>
      </w:r>
      <w:r w:rsidR="00060482">
        <w:t xml:space="preserve"> service of the Commission’s order, monetary penalties to the Pennsylvania Public Utility Commission in the amount of $1,000.  A check or money order must be sent to the Commission at the following address:</w:t>
      </w:r>
    </w:p>
    <w:p w:rsidR="00060482" w:rsidRDefault="00060482" w:rsidP="007245E5">
      <w:pPr>
        <w:spacing w:line="240" w:lineRule="auto"/>
        <w:jc w:val="center"/>
      </w:pPr>
      <w:r>
        <w:t>Pennsylvania Public Utility Commission</w:t>
      </w:r>
    </w:p>
    <w:p w:rsidR="00060482" w:rsidRDefault="00060482" w:rsidP="007245E5">
      <w:pPr>
        <w:spacing w:line="240" w:lineRule="auto"/>
        <w:jc w:val="center"/>
      </w:pPr>
      <w:r>
        <w:t>P.O. Box 3265</w:t>
      </w:r>
    </w:p>
    <w:p w:rsidR="00060482" w:rsidRDefault="00060482" w:rsidP="007245E5">
      <w:pPr>
        <w:spacing w:line="240" w:lineRule="auto"/>
        <w:jc w:val="center"/>
      </w:pPr>
      <w:r>
        <w:t>Harrisburg, Pennsylvania 17105-3265</w:t>
      </w:r>
    </w:p>
    <w:p w:rsidR="00060482" w:rsidRDefault="00060482" w:rsidP="003B7EEB"/>
    <w:p w:rsidR="00060482" w:rsidRDefault="00060482" w:rsidP="003B7EEB">
      <w:r>
        <w:tab/>
      </w:r>
      <w:r>
        <w:tab/>
        <w:t>3.</w:t>
      </w:r>
      <w:r>
        <w:tab/>
        <w:t>That Yellow Cab Company must cease and desist from further violations of the Public Utility Code, as amended</w:t>
      </w:r>
      <w:r w:rsidR="00B91779">
        <w:t>,</w:t>
      </w:r>
      <w:r>
        <w:t xml:space="preserve"> 66 Pa. C.S. §§ 101-3316, and of the Commission</w:t>
      </w:r>
      <w:r w:rsidR="00B91779">
        <w:t>’</w:t>
      </w:r>
      <w:r>
        <w:t>s regulations at 52 Pa. Code § 1.1</w:t>
      </w:r>
      <w:r w:rsidR="00B91779">
        <w:t>,</w:t>
      </w:r>
      <w:r>
        <w:t xml:space="preserve"> </w:t>
      </w:r>
      <w:r w:rsidRPr="00F5079D">
        <w:rPr>
          <w:i/>
        </w:rPr>
        <w:t>et seq</w:t>
      </w:r>
      <w:r>
        <w:t>.</w:t>
      </w:r>
    </w:p>
    <w:p w:rsidR="00060482" w:rsidRDefault="00060482" w:rsidP="003B7EEB"/>
    <w:p w:rsidR="00CD027D" w:rsidRDefault="00CD027D">
      <w:pPr>
        <w:spacing w:after="200"/>
      </w:pPr>
      <w:r>
        <w:br w:type="page"/>
      </w:r>
    </w:p>
    <w:p w:rsidR="00060482" w:rsidRDefault="00060482" w:rsidP="003B7EEB">
      <w:r>
        <w:tab/>
      </w:r>
      <w:r>
        <w:tab/>
        <w:t>4.</w:t>
      </w:r>
      <w:r>
        <w:tab/>
        <w:t xml:space="preserve">That the complaint at PUC Docket No. C-2011-2182793 be marked closed. </w:t>
      </w:r>
    </w:p>
    <w:p w:rsidR="002F3B2D" w:rsidRPr="003F720B" w:rsidRDefault="002F3B2D" w:rsidP="003B7EEB"/>
    <w:p w:rsidR="004229FB" w:rsidRDefault="004229FB" w:rsidP="00EA58A8"/>
    <w:p w:rsidR="00855EE7" w:rsidRPr="00A03D6F" w:rsidRDefault="00855EE7" w:rsidP="00855EE7">
      <w:pPr>
        <w:tabs>
          <w:tab w:val="left" w:pos="0"/>
        </w:tabs>
        <w:spacing w:line="240" w:lineRule="auto"/>
        <w:jc w:val="both"/>
      </w:pPr>
      <w:r w:rsidRPr="00A03D6F">
        <w:t xml:space="preserve">Date:  </w:t>
      </w:r>
      <w:r w:rsidR="00060482">
        <w:rPr>
          <w:u w:val="single"/>
        </w:rPr>
        <w:t xml:space="preserve">December </w:t>
      </w:r>
      <w:r w:rsidR="00B91779">
        <w:rPr>
          <w:u w:val="single"/>
        </w:rPr>
        <w:t>13</w:t>
      </w:r>
      <w:r>
        <w:rPr>
          <w:u w:val="single"/>
        </w:rPr>
        <w:t>, 2011</w:t>
      </w:r>
      <w:r w:rsidRPr="00A03D6F">
        <w:tab/>
      </w:r>
      <w:r w:rsidRPr="00A03D6F">
        <w:tab/>
      </w:r>
      <w:r w:rsidRPr="00A03D6F">
        <w:tab/>
      </w:r>
      <w:r w:rsidRPr="00A03D6F">
        <w:tab/>
        <w:t>_______________________________</w:t>
      </w:r>
    </w:p>
    <w:p w:rsidR="00855EE7" w:rsidRPr="00A03D6F" w:rsidRDefault="00855EE7" w:rsidP="00855EE7">
      <w:pPr>
        <w:tabs>
          <w:tab w:val="left" w:pos="0"/>
        </w:tabs>
        <w:spacing w:line="240" w:lineRule="auto"/>
        <w:jc w:val="both"/>
      </w:pPr>
      <w:r w:rsidRPr="00A03D6F">
        <w:tab/>
      </w:r>
      <w:r w:rsidRPr="00A03D6F">
        <w:tab/>
      </w:r>
      <w:r w:rsidRPr="00A03D6F">
        <w:tab/>
      </w:r>
      <w:r w:rsidRPr="00A03D6F">
        <w:tab/>
      </w:r>
      <w:r w:rsidRPr="00A03D6F">
        <w:tab/>
      </w:r>
      <w:r w:rsidRPr="00A03D6F">
        <w:tab/>
      </w:r>
      <w:r w:rsidRPr="00A03D6F">
        <w:tab/>
      </w:r>
      <w:r>
        <w:t>Mary D. Long</w:t>
      </w:r>
    </w:p>
    <w:p w:rsidR="003F3C6F" w:rsidRDefault="00855EE7" w:rsidP="00855EE7">
      <w:pPr>
        <w:tabs>
          <w:tab w:val="left" w:pos="0"/>
        </w:tabs>
        <w:spacing w:line="240" w:lineRule="auto"/>
        <w:jc w:val="both"/>
      </w:pPr>
      <w:r w:rsidRPr="00A03D6F">
        <w:tab/>
      </w:r>
      <w:r w:rsidRPr="00A03D6F">
        <w:tab/>
      </w:r>
      <w:r w:rsidRPr="00A03D6F">
        <w:tab/>
      </w:r>
      <w:r w:rsidRPr="00A03D6F">
        <w:tab/>
      </w:r>
      <w:r w:rsidRPr="00A03D6F">
        <w:tab/>
      </w:r>
      <w:r w:rsidRPr="00A03D6F">
        <w:tab/>
      </w:r>
      <w:r w:rsidRPr="00A03D6F">
        <w:tab/>
        <w:t>Administrative Law Judge</w:t>
      </w:r>
    </w:p>
    <w:sectPr w:rsidR="003F3C6F" w:rsidSect="009F2FA4">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DD2" w:rsidRDefault="00477DD2" w:rsidP="003F3C6F">
      <w:pPr>
        <w:spacing w:line="240" w:lineRule="auto"/>
      </w:pPr>
      <w:r>
        <w:separator/>
      </w:r>
    </w:p>
  </w:endnote>
  <w:endnote w:type="continuationSeparator" w:id="0">
    <w:p w:rsidR="00477DD2" w:rsidRDefault="00477DD2" w:rsidP="003F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439405"/>
      <w:docPartObj>
        <w:docPartGallery w:val="Page Numbers (Bottom of Page)"/>
        <w:docPartUnique/>
      </w:docPartObj>
    </w:sdtPr>
    <w:sdtEndPr>
      <w:rPr>
        <w:sz w:val="22"/>
        <w:szCs w:val="22"/>
      </w:rPr>
    </w:sdtEndPr>
    <w:sdtContent>
      <w:p w:rsidR="005913C3" w:rsidRDefault="00E00F96">
        <w:pPr>
          <w:pStyle w:val="Footer"/>
          <w:jc w:val="center"/>
        </w:pPr>
        <w:r w:rsidRPr="00A2234C">
          <w:rPr>
            <w:sz w:val="20"/>
          </w:rPr>
          <w:fldChar w:fldCharType="begin"/>
        </w:r>
        <w:r w:rsidR="005913C3" w:rsidRPr="00A2234C">
          <w:rPr>
            <w:sz w:val="20"/>
          </w:rPr>
          <w:instrText xml:space="preserve"> PAGE   \* MERGEFORMAT </w:instrText>
        </w:r>
        <w:r w:rsidRPr="00A2234C">
          <w:rPr>
            <w:sz w:val="20"/>
          </w:rPr>
          <w:fldChar w:fldCharType="separate"/>
        </w:r>
        <w:r w:rsidR="00FC1459">
          <w:rPr>
            <w:noProof/>
            <w:sz w:val="20"/>
          </w:rPr>
          <w:t>8</w:t>
        </w:r>
        <w:r w:rsidRPr="00A2234C">
          <w:rPr>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32439401"/>
      <w:docPartObj>
        <w:docPartGallery w:val="Page Numbers (Bottom of Page)"/>
        <w:docPartUnique/>
      </w:docPartObj>
    </w:sdtPr>
    <w:sdtEndPr/>
    <w:sdtContent>
      <w:p w:rsidR="00617E16" w:rsidRPr="00617E16" w:rsidRDefault="00477DD2">
        <w:pPr>
          <w:pStyle w:val="Footer"/>
          <w:jc w:val="center"/>
          <w:rPr>
            <w:sz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DD2" w:rsidRDefault="00477DD2" w:rsidP="003F3C6F">
      <w:pPr>
        <w:spacing w:line="240" w:lineRule="auto"/>
      </w:pPr>
      <w:r>
        <w:separator/>
      </w:r>
    </w:p>
  </w:footnote>
  <w:footnote w:type="continuationSeparator" w:id="0">
    <w:p w:rsidR="00477DD2" w:rsidRDefault="00477DD2" w:rsidP="00A0161B">
      <w:pPr>
        <w:spacing w:line="240" w:lineRule="auto"/>
      </w:pPr>
      <w:r>
        <w:separator/>
      </w:r>
    </w:p>
    <w:p w:rsidR="00477DD2" w:rsidRDefault="00477DD2" w:rsidP="003F3C6F">
      <w:pPr>
        <w:spacing w:line="240" w:lineRule="auto"/>
      </w:pPr>
    </w:p>
  </w:footnote>
  <w:footnote w:id="1">
    <w:p w:rsidR="003B7EEB" w:rsidRDefault="003B7EEB" w:rsidP="003B7EEB">
      <w:pPr>
        <w:pStyle w:val="FootnoteText"/>
      </w:pPr>
      <w:r>
        <w:rPr>
          <w:rStyle w:val="FootnoteReference"/>
        </w:rPr>
        <w:footnoteRef/>
      </w:r>
      <w:r>
        <w:t xml:space="preserve"> </w:t>
      </w:r>
      <w:r>
        <w:tab/>
        <w:t xml:space="preserve"> </w:t>
      </w:r>
      <w:r w:rsidRPr="0046250B">
        <w:rPr>
          <w:i/>
        </w:rPr>
        <w:t xml:space="preserve">Public Utility Commission v. Donald A. Fix, Jr., t/d/b/a </w:t>
      </w:r>
      <w:proofErr w:type="spellStart"/>
      <w:r w:rsidRPr="0046250B">
        <w:rPr>
          <w:i/>
        </w:rPr>
        <w:t>Hindman</w:t>
      </w:r>
      <w:proofErr w:type="spellEnd"/>
      <w:r w:rsidRPr="0046250B">
        <w:rPr>
          <w:i/>
        </w:rPr>
        <w:t xml:space="preserve"> Moving and Storage</w:t>
      </w:r>
      <w:r>
        <w:t xml:space="preserve">, </w:t>
      </w:r>
      <w:r w:rsidRPr="005C6E1C">
        <w:t>PUC Docket No</w:t>
      </w:r>
      <w:r>
        <w:t xml:space="preserve">. A-00112441C9902 (Commission Order entered March 2, 2000); </w:t>
      </w:r>
      <w:r w:rsidRPr="0046250B">
        <w:rPr>
          <w:i/>
        </w:rPr>
        <w:t xml:space="preserve">Public Utility Commission v. Donald A. Fix, Jr., t/d/b/a </w:t>
      </w:r>
      <w:proofErr w:type="spellStart"/>
      <w:r w:rsidRPr="0046250B">
        <w:rPr>
          <w:i/>
        </w:rPr>
        <w:t>Hindman</w:t>
      </w:r>
      <w:proofErr w:type="spellEnd"/>
      <w:r w:rsidRPr="0046250B">
        <w:rPr>
          <w:i/>
        </w:rPr>
        <w:t xml:space="preserve"> Moving and Storage</w:t>
      </w:r>
      <w:r>
        <w:t xml:space="preserve">, PUC Docket No. </w:t>
      </w:r>
      <w:proofErr w:type="gramStart"/>
      <w:r>
        <w:t>A-00112441C9701 (Commission Order entered April 10, 1998).</w:t>
      </w:r>
      <w:proofErr w:type="gramEnd"/>
    </w:p>
    <w:p w:rsidR="003B7EEB" w:rsidRPr="00AB3452" w:rsidRDefault="003B7EEB" w:rsidP="003B7EEB">
      <w:pPr>
        <w:pStyle w:val="FootnoteText"/>
      </w:pPr>
    </w:p>
  </w:footnote>
  <w:footnote w:id="2">
    <w:p w:rsidR="003B7EEB" w:rsidRDefault="003B7EEB" w:rsidP="003B7EEB">
      <w:pPr>
        <w:pStyle w:val="FootnoteText"/>
      </w:pPr>
      <w:r w:rsidRPr="00C81B96">
        <w:rPr>
          <w:rStyle w:val="FootnoteReference"/>
        </w:rPr>
        <w:footnoteRef/>
      </w:r>
      <w:r w:rsidRPr="00C81B96">
        <w:t xml:space="preserve"> </w:t>
      </w:r>
      <w:r>
        <w:tab/>
      </w:r>
      <w:proofErr w:type="gramStart"/>
      <w:r w:rsidRPr="00144E27">
        <w:rPr>
          <w:i/>
        </w:rPr>
        <w:t>Se-Ling Hosiery, Inc. v. Margulies</w:t>
      </w:r>
      <w:r w:rsidRPr="00C81B96">
        <w:t xml:space="preserve">, 364 Pa. 45, 70 A.2d 854 (1950); </w:t>
      </w:r>
      <w:r w:rsidRPr="00144E27">
        <w:rPr>
          <w:i/>
        </w:rPr>
        <w:t>Feinstein v. Philadelphia Suburban Water Company</w:t>
      </w:r>
      <w:r w:rsidRPr="00C81B96">
        <w:t>, 50 PA PUC 300 (1976).</w:t>
      </w:r>
      <w:proofErr w:type="gramEnd"/>
    </w:p>
    <w:p w:rsidR="003B7EEB" w:rsidRPr="00C81B96" w:rsidRDefault="003B7EEB" w:rsidP="003B7EEB">
      <w:pPr>
        <w:pStyle w:val="FootnoteText"/>
      </w:pPr>
    </w:p>
  </w:footnote>
  <w:footnote w:id="3">
    <w:p w:rsidR="003B7EEB" w:rsidRDefault="003B7EEB" w:rsidP="003B7EEB">
      <w:pPr>
        <w:pStyle w:val="FootnoteText"/>
      </w:pPr>
      <w:r>
        <w:rPr>
          <w:rStyle w:val="FootnoteReference"/>
        </w:rPr>
        <w:footnoteRef/>
      </w:r>
      <w:r>
        <w:t xml:space="preserve">  </w:t>
      </w:r>
      <w:r>
        <w:tab/>
        <w:t xml:space="preserve">Section 29.12 provides that common carriers must comply with all provisions of Title 66 and the Commission’s regulations and that failure to do so may result in the suspension or revocation of a carrier’s certificate of public convenience.  </w:t>
      </w:r>
      <w:proofErr w:type="gramStart"/>
      <w:r>
        <w:t>52 Pa. Code § 29.12.</w:t>
      </w:r>
      <w:proofErr w:type="gramEnd"/>
    </w:p>
  </w:footnote>
  <w:footnote w:id="4">
    <w:p w:rsidR="002730F8" w:rsidRDefault="002730F8" w:rsidP="002730F8">
      <w:pPr>
        <w:pStyle w:val="FootnoteText"/>
      </w:pPr>
      <w:r>
        <w:rPr>
          <w:rStyle w:val="FootnoteReference"/>
        </w:rPr>
        <w:footnoteRef/>
      </w:r>
      <w:r>
        <w:t xml:space="preserve">  </w:t>
      </w:r>
      <w:r>
        <w:tab/>
      </w:r>
      <w:proofErr w:type="gramStart"/>
      <w:r>
        <w:t>PUC Docket No.</w:t>
      </w:r>
      <w:proofErr w:type="gramEnd"/>
      <w:r>
        <w:t xml:space="preserve"> A-00107834C0101 (Commission order entered April 23, 2001).</w:t>
      </w:r>
    </w:p>
    <w:p w:rsidR="00CD027D" w:rsidRDefault="00CD027D" w:rsidP="002730F8">
      <w:pPr>
        <w:pStyle w:val="FootnoteText"/>
      </w:pPr>
    </w:p>
  </w:footnote>
  <w:footnote w:id="5">
    <w:p w:rsidR="002730F8" w:rsidRDefault="002730F8" w:rsidP="002730F8">
      <w:pPr>
        <w:pStyle w:val="FootnoteText"/>
      </w:pPr>
      <w:r>
        <w:rPr>
          <w:rStyle w:val="FootnoteReference"/>
        </w:rPr>
        <w:footnoteRef/>
      </w:r>
      <w:r>
        <w:t xml:space="preserve">  </w:t>
      </w:r>
      <w:r>
        <w:tab/>
      </w:r>
      <w:proofErr w:type="gramStart"/>
      <w:r>
        <w:t>PUC Docket No.</w:t>
      </w:r>
      <w:proofErr w:type="gramEnd"/>
      <w:r>
        <w:t xml:space="preserve"> A-00116394C0102 (Commission order entered April 12, 2002).</w:t>
      </w:r>
    </w:p>
    <w:p w:rsidR="002730F8" w:rsidRDefault="002730F8" w:rsidP="002730F8">
      <w:pPr>
        <w:pStyle w:val="FootnoteText"/>
      </w:pPr>
    </w:p>
  </w:footnote>
  <w:footnote w:id="6">
    <w:p w:rsidR="003B7EEB" w:rsidRDefault="003B7EEB" w:rsidP="003B7EEB">
      <w:pPr>
        <w:pStyle w:val="FootnoteText"/>
      </w:pPr>
      <w:r>
        <w:rPr>
          <w:rStyle w:val="FootnoteReference"/>
        </w:rPr>
        <w:footnoteRef/>
      </w:r>
      <w:r>
        <w:t xml:space="preserve">  </w:t>
      </w:r>
      <w:r>
        <w:tab/>
        <w:t>Slip op. at 2.</w:t>
      </w:r>
    </w:p>
    <w:p w:rsidR="003B7EEB" w:rsidRDefault="003B7EEB" w:rsidP="003B7EEB">
      <w:pPr>
        <w:pStyle w:val="FootnoteText"/>
      </w:pPr>
    </w:p>
  </w:footnote>
  <w:footnote w:id="7">
    <w:p w:rsidR="003B7EEB" w:rsidRDefault="003B7EEB" w:rsidP="003B7EEB">
      <w:pPr>
        <w:pStyle w:val="FootnoteText"/>
      </w:pPr>
      <w:r>
        <w:rPr>
          <w:rStyle w:val="FootnoteReference"/>
        </w:rPr>
        <w:footnoteRef/>
      </w:r>
      <w:r>
        <w:t xml:space="preserve">  </w:t>
      </w:r>
      <w:r>
        <w:tab/>
      </w:r>
      <w:proofErr w:type="gramStart"/>
      <w:r>
        <w:t>PUC Docket No.</w:t>
      </w:r>
      <w:proofErr w:type="gramEnd"/>
      <w:r>
        <w:t xml:space="preserve"> A-00116394C0102 (Commission order entered April 12, 2002).</w:t>
      </w:r>
    </w:p>
    <w:p w:rsidR="003B7EEB" w:rsidRDefault="003B7EEB" w:rsidP="003B7EEB">
      <w:pPr>
        <w:pStyle w:val="FootnoteText"/>
      </w:pPr>
    </w:p>
  </w:footnote>
  <w:footnote w:id="8">
    <w:p w:rsidR="003B7EEB" w:rsidRPr="00C6768D" w:rsidRDefault="003B7EEB" w:rsidP="003B7EEB">
      <w:pPr>
        <w:pStyle w:val="FootnoteText"/>
      </w:pPr>
      <w:r>
        <w:rPr>
          <w:rStyle w:val="FootnoteReference"/>
        </w:rPr>
        <w:footnoteRef/>
      </w:r>
      <w:r>
        <w:t xml:space="preserve">  </w:t>
      </w:r>
      <w:r>
        <w:tab/>
      </w:r>
      <w:r>
        <w:rPr>
          <w:i/>
        </w:rPr>
        <w:t>PUC v. Atlantic Coast Express, Inc. t/d/b/a A.C.E. Transportation Services,</w:t>
      </w:r>
      <w:r>
        <w:t xml:space="preserve"> PUC Docket No. A</w:t>
      </w:r>
      <w:r>
        <w:noBreakHyphen/>
        <w:t xml:space="preserve">00116394C0102 (Initial Decision </w:t>
      </w:r>
      <w:r w:rsidR="00321B55">
        <w:t xml:space="preserve">dated </w:t>
      </w:r>
      <w:r>
        <w:t>February 11, 2002).</w:t>
      </w:r>
    </w:p>
  </w:footnote>
  <w:footnote w:id="9">
    <w:p w:rsidR="003B7EEB" w:rsidRDefault="003B7EEB" w:rsidP="003B7EEB">
      <w:pPr>
        <w:pStyle w:val="FootnoteText"/>
      </w:pPr>
      <w:r>
        <w:rPr>
          <w:rStyle w:val="FootnoteReference"/>
        </w:rPr>
        <w:footnoteRef/>
      </w:r>
      <w:r>
        <w:t xml:space="preserve">  </w:t>
      </w:r>
      <w:r>
        <w:tab/>
      </w:r>
      <w:proofErr w:type="gramStart"/>
      <w:r>
        <w:rPr>
          <w:i/>
        </w:rPr>
        <w:t>Id.</w:t>
      </w:r>
      <w:r>
        <w:t>, slip op. at 5-6.</w:t>
      </w:r>
      <w:proofErr w:type="gramEnd"/>
    </w:p>
    <w:p w:rsidR="003B7EEB" w:rsidRPr="00EC744D" w:rsidRDefault="003B7EEB" w:rsidP="003B7EEB">
      <w:pPr>
        <w:pStyle w:val="FootnoteText"/>
      </w:pPr>
    </w:p>
  </w:footnote>
  <w:footnote w:id="10">
    <w:p w:rsidR="003B7EEB" w:rsidRDefault="003B7EEB" w:rsidP="003B7EEB">
      <w:pPr>
        <w:pStyle w:val="FootnoteText"/>
      </w:pPr>
      <w:r>
        <w:rPr>
          <w:rStyle w:val="FootnoteReference"/>
        </w:rPr>
        <w:footnoteRef/>
      </w:r>
      <w:r>
        <w:t xml:space="preserve">  </w:t>
      </w:r>
      <w:r>
        <w:tab/>
        <w:t>The Commission only reversed the portion of the ALJ’s Initial Decision which permitted the carrier to pay the fine in installments.</w:t>
      </w:r>
    </w:p>
    <w:p w:rsidR="003B7EEB" w:rsidRDefault="003B7EEB" w:rsidP="003B7EEB">
      <w:pPr>
        <w:pStyle w:val="FootnoteText"/>
      </w:pPr>
    </w:p>
  </w:footnote>
  <w:footnote w:id="11">
    <w:p w:rsidR="0003121F" w:rsidRDefault="0003121F">
      <w:pPr>
        <w:pStyle w:val="FootnoteText"/>
      </w:pPr>
      <w:r>
        <w:rPr>
          <w:rStyle w:val="FootnoteReference"/>
        </w:rPr>
        <w:footnoteRef/>
      </w:r>
      <w:r>
        <w:t xml:space="preserve">  </w:t>
      </w:r>
      <w:r>
        <w:tab/>
      </w:r>
      <w:proofErr w:type="gramStart"/>
      <w:r>
        <w:t>93 PUC 498</w:t>
      </w:r>
      <w:r w:rsidR="0049657A">
        <w:t xml:space="preserve"> (1999)</w:t>
      </w:r>
      <w:r>
        <w:t>.</w:t>
      </w:r>
      <w:proofErr w:type="gramEnd"/>
      <w:r>
        <w:t xml:space="preserve">  Neither BIE nor Yellow Cab cited or discussed this decision in their legal memoranda.</w:t>
      </w:r>
    </w:p>
  </w:footnote>
  <w:footnote w:id="12">
    <w:p w:rsidR="00C91137" w:rsidRDefault="00C91137">
      <w:pPr>
        <w:pStyle w:val="FootnoteText"/>
      </w:pPr>
      <w:r>
        <w:rPr>
          <w:rStyle w:val="FootnoteReference"/>
        </w:rPr>
        <w:footnoteRef/>
      </w:r>
      <w:r>
        <w:t xml:space="preserve"> </w:t>
      </w:r>
      <w:r w:rsidR="00172379">
        <w:tab/>
      </w:r>
      <w:proofErr w:type="gramStart"/>
      <w:r>
        <w:t>93 PUC at 500.</w:t>
      </w:r>
      <w:proofErr w:type="gramEnd"/>
    </w:p>
    <w:p w:rsidR="00172379" w:rsidRDefault="00172379">
      <w:pPr>
        <w:pStyle w:val="FootnoteText"/>
      </w:pPr>
    </w:p>
  </w:footnote>
  <w:footnote w:id="13">
    <w:p w:rsidR="00EE3692" w:rsidRDefault="00EE3692" w:rsidP="00EE3692">
      <w:pPr>
        <w:pStyle w:val="FootnoteText"/>
      </w:pPr>
      <w:r>
        <w:rPr>
          <w:rStyle w:val="FootnoteReference"/>
        </w:rPr>
        <w:footnoteRef/>
      </w:r>
      <w:r>
        <w:t xml:space="preserve"> </w:t>
      </w:r>
      <w:r>
        <w:tab/>
      </w:r>
      <w:r>
        <w:rPr>
          <w:i/>
        </w:rPr>
        <w:t>Final Rulemaking Amending 52 Pa. Code Chapters 29 and 31,</w:t>
      </w:r>
      <w:r>
        <w:t xml:space="preserve"> PUC Docket No. L-00020157 (Order entered August 16, 2005), at page 16.</w:t>
      </w:r>
    </w:p>
    <w:p w:rsidR="00EE3692" w:rsidRPr="007E3114" w:rsidRDefault="00EE3692" w:rsidP="00EE3692">
      <w:pPr>
        <w:pStyle w:val="FootnoteText"/>
      </w:pPr>
    </w:p>
  </w:footnote>
  <w:footnote w:id="14">
    <w:p w:rsidR="00EE3692" w:rsidRDefault="00EE3692" w:rsidP="00EE3692">
      <w:pPr>
        <w:pStyle w:val="FootnoteText"/>
        <w:rPr>
          <w:i/>
        </w:rPr>
      </w:pPr>
      <w:r>
        <w:rPr>
          <w:rStyle w:val="FootnoteReference"/>
        </w:rPr>
        <w:footnoteRef/>
      </w:r>
      <w:r>
        <w:t xml:space="preserve">  </w:t>
      </w:r>
      <w:r>
        <w:tab/>
      </w:r>
      <w:r>
        <w:rPr>
          <w:i/>
        </w:rPr>
        <w:t>See also Bureau of Transportation and Safety v. Yellow Cab Company of Pittsburgh</w:t>
      </w:r>
      <w:r>
        <w:t>, PUC Docket No. A</w:t>
      </w:r>
      <w:r w:rsidR="00B91779">
        <w:noBreakHyphen/>
      </w:r>
      <w:r>
        <w:t xml:space="preserve">0049926C0101, et al (Initial Decision </w:t>
      </w:r>
      <w:r w:rsidR="00B91779">
        <w:t xml:space="preserve">dated </w:t>
      </w:r>
      <w:r>
        <w:t>June 3, 2002), slip op. at 20-21, Final Order entered August 5, 2002 (noting that no mitigation of a penalty for allowing a driver to operate a taxi with an expired license where Yellow Cab had been warned that its failure to implement more effective procedures for verifying the validity of driver</w:t>
      </w:r>
      <w:r w:rsidR="00B91779">
        <w:t>’</w:t>
      </w:r>
      <w:r>
        <w:t>s licenses would result in more serious penalties).</w:t>
      </w:r>
      <w:r>
        <w:rPr>
          <w:i/>
        </w:rPr>
        <w:t xml:space="preserve"> </w:t>
      </w:r>
    </w:p>
    <w:p w:rsidR="00EE3692" w:rsidRPr="005376AA" w:rsidRDefault="00EE3692" w:rsidP="00EE3692">
      <w:pPr>
        <w:pStyle w:val="FootnoteText"/>
        <w:rPr>
          <w:i/>
        </w:rPr>
      </w:pPr>
    </w:p>
  </w:footnote>
  <w:footnote w:id="15">
    <w:p w:rsidR="00EE3692" w:rsidRDefault="00EE3692" w:rsidP="00EE3692">
      <w:pPr>
        <w:pStyle w:val="FootnoteText"/>
      </w:pPr>
      <w:r>
        <w:rPr>
          <w:rStyle w:val="FootnoteReference"/>
        </w:rPr>
        <w:footnoteRef/>
      </w:r>
      <w:r>
        <w:t xml:space="preserve"> </w:t>
      </w:r>
      <w:r>
        <w:tab/>
        <w:t xml:space="preserve">Indeed, in the 1999 case, James D. </w:t>
      </w:r>
      <w:proofErr w:type="spellStart"/>
      <w:r>
        <w:t>Campolongo</w:t>
      </w:r>
      <w:proofErr w:type="spellEnd"/>
      <w:r>
        <w:t xml:space="preserve"> offered virtually identical testimony concerning Yellow Cab’s license check procedures, including that daily license checks at $7.00 per inquiry would be prohibitively expensive.  (See Findings of Fact 47-53 at 93 PUC 498, 510 and testimony of Jerry </w:t>
      </w:r>
      <w:proofErr w:type="spellStart"/>
      <w:r>
        <w:t>Campolongo</w:t>
      </w:r>
      <w:proofErr w:type="spellEnd"/>
      <w:r>
        <w:t xml:space="preserve"> at N.T. 14-18; 24-25)</w:t>
      </w:r>
      <w:r w:rsidR="00B91779">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7662838"/>
    <w:lvl w:ilvl="0">
      <w:start w:val="1"/>
      <w:numFmt w:val="decimal"/>
      <w:pStyle w:val="ListNumber"/>
      <w:lvlText w:val="%1."/>
      <w:lvlJc w:val="left"/>
      <w:pPr>
        <w:tabs>
          <w:tab w:val="num" w:pos="360"/>
        </w:tabs>
        <w:ind w:left="360" w:hanging="360"/>
      </w:pPr>
    </w:lvl>
  </w:abstractNum>
  <w:abstractNum w:abstractNumId="1">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AB1600"/>
    <w:multiLevelType w:val="hybridMultilevel"/>
    <w:tmpl w:val="874283D0"/>
    <w:lvl w:ilvl="0" w:tplc="61988D6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38869B3"/>
    <w:multiLevelType w:val="hybridMultilevel"/>
    <w:tmpl w:val="048EFC0E"/>
    <w:lvl w:ilvl="0" w:tplc="9FA885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734C1E"/>
    <w:multiLevelType w:val="hybridMultilevel"/>
    <w:tmpl w:val="2C066412"/>
    <w:lvl w:ilvl="0" w:tplc="3FCA947C">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5B2A33A9"/>
    <w:multiLevelType w:val="multilevel"/>
    <w:tmpl w:val="55B21D02"/>
    <w:lvl w:ilvl="0">
      <w:start w:val="1"/>
      <w:numFmt w:val="upperRoman"/>
      <w:pStyle w:val="Pleading1L1"/>
      <w:lvlText w:val="%1."/>
      <w:lvlJc w:val="left"/>
      <w:pPr>
        <w:tabs>
          <w:tab w:val="num" w:pos="720"/>
        </w:tabs>
        <w:ind w:left="720" w:hanging="720"/>
      </w:pPr>
      <w:rPr>
        <w:rFonts w:ascii="Times New Roman" w:hAnsi="Times New Roman" w:hint="default"/>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Restart w:val="0"/>
      <w:pStyle w:val="Pleading1L2"/>
      <w:lvlText w:val="%2."/>
      <w:lvlJc w:val="left"/>
      <w:pPr>
        <w:tabs>
          <w:tab w:val="num" w:pos="1440"/>
        </w:tabs>
        <w:ind w:left="0" w:firstLine="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leading1L3"/>
      <w:lvlText w:val="%3."/>
      <w:lvlJc w:val="left"/>
      <w:pPr>
        <w:tabs>
          <w:tab w:val="num" w:pos="1680"/>
        </w:tabs>
        <w:ind w:left="-480" w:firstLine="144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pStyle w:val="Pleading1L4"/>
      <w:lvlText w:val="%4."/>
      <w:lvlJc w:val="left"/>
      <w:pPr>
        <w:tabs>
          <w:tab w:val="num" w:pos="2880"/>
        </w:tabs>
        <w:ind w:left="720" w:firstLine="144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Pleading1L5"/>
      <w:lvlText w:val="(%5)"/>
      <w:lvlJc w:val="left"/>
      <w:pPr>
        <w:tabs>
          <w:tab w:val="num" w:pos="3600"/>
        </w:tabs>
        <w:ind w:left="1440" w:firstLine="144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798704F2"/>
    <w:multiLevelType w:val="hybridMultilevel"/>
    <w:tmpl w:val="430226EC"/>
    <w:lvl w:ilvl="0" w:tplc="907E9FA2">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2"/>
  </w:num>
  <w:num w:numId="2">
    <w:abstractNumId w:val="1"/>
  </w:num>
  <w:num w:numId="3">
    <w:abstractNumId w:val="4"/>
  </w:num>
  <w:num w:numId="4">
    <w:abstractNumId w:val="5"/>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GrammaticalErrors/>
  <w:proofState w:spelling="clean" w:grammar="clean"/>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D64"/>
    <w:rsid w:val="00000FF5"/>
    <w:rsid w:val="0001124B"/>
    <w:rsid w:val="0001297E"/>
    <w:rsid w:val="00015065"/>
    <w:rsid w:val="0001597C"/>
    <w:rsid w:val="00023638"/>
    <w:rsid w:val="0003121F"/>
    <w:rsid w:val="00036C6D"/>
    <w:rsid w:val="000437A0"/>
    <w:rsid w:val="00055BAD"/>
    <w:rsid w:val="00060482"/>
    <w:rsid w:val="000610CD"/>
    <w:rsid w:val="0007317F"/>
    <w:rsid w:val="00081581"/>
    <w:rsid w:val="00081BFA"/>
    <w:rsid w:val="00083F2E"/>
    <w:rsid w:val="000863BB"/>
    <w:rsid w:val="0008685B"/>
    <w:rsid w:val="00090258"/>
    <w:rsid w:val="00091068"/>
    <w:rsid w:val="00091509"/>
    <w:rsid w:val="00092BAD"/>
    <w:rsid w:val="000A15DB"/>
    <w:rsid w:val="000A339B"/>
    <w:rsid w:val="000B44E4"/>
    <w:rsid w:val="000C0663"/>
    <w:rsid w:val="000C2755"/>
    <w:rsid w:val="000C2C16"/>
    <w:rsid w:val="000C55DE"/>
    <w:rsid w:val="000D3668"/>
    <w:rsid w:val="000D4B38"/>
    <w:rsid w:val="000D4FEF"/>
    <w:rsid w:val="000D67FD"/>
    <w:rsid w:val="000E0263"/>
    <w:rsid w:val="000F7742"/>
    <w:rsid w:val="00103863"/>
    <w:rsid w:val="00103967"/>
    <w:rsid w:val="001050F9"/>
    <w:rsid w:val="00105B01"/>
    <w:rsid w:val="0010637D"/>
    <w:rsid w:val="001104AE"/>
    <w:rsid w:val="00111CC2"/>
    <w:rsid w:val="001169EA"/>
    <w:rsid w:val="00120592"/>
    <w:rsid w:val="00122C66"/>
    <w:rsid w:val="0012503E"/>
    <w:rsid w:val="001310B9"/>
    <w:rsid w:val="001337BF"/>
    <w:rsid w:val="001375AF"/>
    <w:rsid w:val="001429E4"/>
    <w:rsid w:val="00144E27"/>
    <w:rsid w:val="00146F7F"/>
    <w:rsid w:val="001529F7"/>
    <w:rsid w:val="00152F6F"/>
    <w:rsid w:val="00155A74"/>
    <w:rsid w:val="0016449B"/>
    <w:rsid w:val="00172379"/>
    <w:rsid w:val="001837A1"/>
    <w:rsid w:val="001905C6"/>
    <w:rsid w:val="00192509"/>
    <w:rsid w:val="001945B1"/>
    <w:rsid w:val="001A21E9"/>
    <w:rsid w:val="001A4218"/>
    <w:rsid w:val="001B03C8"/>
    <w:rsid w:val="001B176C"/>
    <w:rsid w:val="001B7189"/>
    <w:rsid w:val="001C051F"/>
    <w:rsid w:val="001C102B"/>
    <w:rsid w:val="001C34AC"/>
    <w:rsid w:val="001D1DD6"/>
    <w:rsid w:val="001E2D14"/>
    <w:rsid w:val="001E2E94"/>
    <w:rsid w:val="001E4DAF"/>
    <w:rsid w:val="001F0F09"/>
    <w:rsid w:val="00207814"/>
    <w:rsid w:val="0021039D"/>
    <w:rsid w:val="002105DE"/>
    <w:rsid w:val="00214485"/>
    <w:rsid w:val="0022168C"/>
    <w:rsid w:val="00230108"/>
    <w:rsid w:val="002326C8"/>
    <w:rsid w:val="00240673"/>
    <w:rsid w:val="0024243A"/>
    <w:rsid w:val="00246040"/>
    <w:rsid w:val="002522D4"/>
    <w:rsid w:val="00253CF9"/>
    <w:rsid w:val="00256848"/>
    <w:rsid w:val="00257FC3"/>
    <w:rsid w:val="002676FF"/>
    <w:rsid w:val="00272ABD"/>
    <w:rsid w:val="002730F8"/>
    <w:rsid w:val="002743EB"/>
    <w:rsid w:val="0028123B"/>
    <w:rsid w:val="00292ECF"/>
    <w:rsid w:val="002A1E5C"/>
    <w:rsid w:val="002A634F"/>
    <w:rsid w:val="002A7E6F"/>
    <w:rsid w:val="002B4D14"/>
    <w:rsid w:val="002B5A13"/>
    <w:rsid w:val="002C4338"/>
    <w:rsid w:val="002C7BDE"/>
    <w:rsid w:val="002D0C73"/>
    <w:rsid w:val="002D351A"/>
    <w:rsid w:val="002D6283"/>
    <w:rsid w:val="002E27F0"/>
    <w:rsid w:val="002E6068"/>
    <w:rsid w:val="002F3B2D"/>
    <w:rsid w:val="00302C11"/>
    <w:rsid w:val="00303A0A"/>
    <w:rsid w:val="0031267B"/>
    <w:rsid w:val="00317BD9"/>
    <w:rsid w:val="00321B55"/>
    <w:rsid w:val="00324EE3"/>
    <w:rsid w:val="003335F7"/>
    <w:rsid w:val="00341861"/>
    <w:rsid w:val="00345EC4"/>
    <w:rsid w:val="00350632"/>
    <w:rsid w:val="00351E8B"/>
    <w:rsid w:val="003525A4"/>
    <w:rsid w:val="00355EA7"/>
    <w:rsid w:val="003560A8"/>
    <w:rsid w:val="00357ED9"/>
    <w:rsid w:val="00366D20"/>
    <w:rsid w:val="003763E0"/>
    <w:rsid w:val="00376808"/>
    <w:rsid w:val="00385106"/>
    <w:rsid w:val="003857A1"/>
    <w:rsid w:val="00396E05"/>
    <w:rsid w:val="003A1B83"/>
    <w:rsid w:val="003A39FA"/>
    <w:rsid w:val="003A41DA"/>
    <w:rsid w:val="003A79AB"/>
    <w:rsid w:val="003B7EEB"/>
    <w:rsid w:val="003C10B2"/>
    <w:rsid w:val="003C3039"/>
    <w:rsid w:val="003C3A97"/>
    <w:rsid w:val="003C7C56"/>
    <w:rsid w:val="003D284F"/>
    <w:rsid w:val="003D5372"/>
    <w:rsid w:val="003E0746"/>
    <w:rsid w:val="003E5896"/>
    <w:rsid w:val="003F3C6F"/>
    <w:rsid w:val="003F3F86"/>
    <w:rsid w:val="003F6452"/>
    <w:rsid w:val="00404BB0"/>
    <w:rsid w:val="00404CFD"/>
    <w:rsid w:val="00413370"/>
    <w:rsid w:val="00416C25"/>
    <w:rsid w:val="0041757F"/>
    <w:rsid w:val="004229FB"/>
    <w:rsid w:val="004270FC"/>
    <w:rsid w:val="00427DD7"/>
    <w:rsid w:val="00437C6C"/>
    <w:rsid w:val="00443033"/>
    <w:rsid w:val="00443DD5"/>
    <w:rsid w:val="00444146"/>
    <w:rsid w:val="00446FCB"/>
    <w:rsid w:val="00461358"/>
    <w:rsid w:val="00470A03"/>
    <w:rsid w:val="00477DD2"/>
    <w:rsid w:val="00485074"/>
    <w:rsid w:val="00491DB0"/>
    <w:rsid w:val="004931F6"/>
    <w:rsid w:val="0049657A"/>
    <w:rsid w:val="00496C77"/>
    <w:rsid w:val="004B7B80"/>
    <w:rsid w:val="004B7DCB"/>
    <w:rsid w:val="004C00F7"/>
    <w:rsid w:val="004C509C"/>
    <w:rsid w:val="004C79EE"/>
    <w:rsid w:val="004D1F03"/>
    <w:rsid w:val="004D3935"/>
    <w:rsid w:val="004D7BCA"/>
    <w:rsid w:val="004E174F"/>
    <w:rsid w:val="004E323B"/>
    <w:rsid w:val="004E7ABB"/>
    <w:rsid w:val="004F729D"/>
    <w:rsid w:val="00501D89"/>
    <w:rsid w:val="00502C0C"/>
    <w:rsid w:val="0050399E"/>
    <w:rsid w:val="005103B0"/>
    <w:rsid w:val="0051125D"/>
    <w:rsid w:val="00516A01"/>
    <w:rsid w:val="00521712"/>
    <w:rsid w:val="005221D7"/>
    <w:rsid w:val="00522979"/>
    <w:rsid w:val="00535E8C"/>
    <w:rsid w:val="005376AA"/>
    <w:rsid w:val="00540E48"/>
    <w:rsid w:val="00541D97"/>
    <w:rsid w:val="005425B0"/>
    <w:rsid w:val="0054772F"/>
    <w:rsid w:val="00560D36"/>
    <w:rsid w:val="005614F5"/>
    <w:rsid w:val="00564DC5"/>
    <w:rsid w:val="0056511D"/>
    <w:rsid w:val="005724EB"/>
    <w:rsid w:val="00572B83"/>
    <w:rsid w:val="005843DF"/>
    <w:rsid w:val="005913C3"/>
    <w:rsid w:val="00594CBA"/>
    <w:rsid w:val="005A312C"/>
    <w:rsid w:val="005A62B6"/>
    <w:rsid w:val="005B0008"/>
    <w:rsid w:val="005B0567"/>
    <w:rsid w:val="005B5FE1"/>
    <w:rsid w:val="005C4045"/>
    <w:rsid w:val="005D28CA"/>
    <w:rsid w:val="005E0F71"/>
    <w:rsid w:val="005E483C"/>
    <w:rsid w:val="005F2EBA"/>
    <w:rsid w:val="005F5E4D"/>
    <w:rsid w:val="005F6194"/>
    <w:rsid w:val="00601CED"/>
    <w:rsid w:val="00611926"/>
    <w:rsid w:val="00611CC3"/>
    <w:rsid w:val="00617E16"/>
    <w:rsid w:val="00622E30"/>
    <w:rsid w:val="00630551"/>
    <w:rsid w:val="00631BD2"/>
    <w:rsid w:val="00635761"/>
    <w:rsid w:val="00641549"/>
    <w:rsid w:val="006433AA"/>
    <w:rsid w:val="00646DFB"/>
    <w:rsid w:val="0065080A"/>
    <w:rsid w:val="00656869"/>
    <w:rsid w:val="00657CF3"/>
    <w:rsid w:val="006602A5"/>
    <w:rsid w:val="006629ED"/>
    <w:rsid w:val="00662BC4"/>
    <w:rsid w:val="00673072"/>
    <w:rsid w:val="00673B7D"/>
    <w:rsid w:val="006772F0"/>
    <w:rsid w:val="00681321"/>
    <w:rsid w:val="006840FF"/>
    <w:rsid w:val="00686C47"/>
    <w:rsid w:val="00687C61"/>
    <w:rsid w:val="00696D25"/>
    <w:rsid w:val="006A5198"/>
    <w:rsid w:val="006C04DC"/>
    <w:rsid w:val="006C0548"/>
    <w:rsid w:val="006D47EB"/>
    <w:rsid w:val="006D5C0F"/>
    <w:rsid w:val="006D741B"/>
    <w:rsid w:val="006E7356"/>
    <w:rsid w:val="006F363F"/>
    <w:rsid w:val="006F4CAA"/>
    <w:rsid w:val="006F66D2"/>
    <w:rsid w:val="006F75EE"/>
    <w:rsid w:val="006F78AD"/>
    <w:rsid w:val="0070171B"/>
    <w:rsid w:val="00702CAA"/>
    <w:rsid w:val="00705BA6"/>
    <w:rsid w:val="00711324"/>
    <w:rsid w:val="00711A7D"/>
    <w:rsid w:val="00715495"/>
    <w:rsid w:val="00721222"/>
    <w:rsid w:val="00721434"/>
    <w:rsid w:val="007245E5"/>
    <w:rsid w:val="00724CC5"/>
    <w:rsid w:val="00732B9E"/>
    <w:rsid w:val="00737210"/>
    <w:rsid w:val="00741B94"/>
    <w:rsid w:val="00743EFC"/>
    <w:rsid w:val="0074525C"/>
    <w:rsid w:val="0075143F"/>
    <w:rsid w:val="00755A99"/>
    <w:rsid w:val="0076730C"/>
    <w:rsid w:val="00774973"/>
    <w:rsid w:val="0078002A"/>
    <w:rsid w:val="00782F5D"/>
    <w:rsid w:val="00783908"/>
    <w:rsid w:val="0078681E"/>
    <w:rsid w:val="00792A30"/>
    <w:rsid w:val="007975D0"/>
    <w:rsid w:val="007A4346"/>
    <w:rsid w:val="007A52DB"/>
    <w:rsid w:val="007A7E94"/>
    <w:rsid w:val="007B02A3"/>
    <w:rsid w:val="007C3513"/>
    <w:rsid w:val="007C4DCD"/>
    <w:rsid w:val="007C7CD9"/>
    <w:rsid w:val="007E44F4"/>
    <w:rsid w:val="007E59FD"/>
    <w:rsid w:val="007F0CEF"/>
    <w:rsid w:val="007F5BAB"/>
    <w:rsid w:val="008024E7"/>
    <w:rsid w:val="00802D4A"/>
    <w:rsid w:val="0081003D"/>
    <w:rsid w:val="008230AA"/>
    <w:rsid w:val="00823844"/>
    <w:rsid w:val="00825B08"/>
    <w:rsid w:val="00831834"/>
    <w:rsid w:val="008348AD"/>
    <w:rsid w:val="00835F0D"/>
    <w:rsid w:val="008539B0"/>
    <w:rsid w:val="00855EE7"/>
    <w:rsid w:val="008646FB"/>
    <w:rsid w:val="0086640D"/>
    <w:rsid w:val="0086782E"/>
    <w:rsid w:val="00867DE5"/>
    <w:rsid w:val="008712E3"/>
    <w:rsid w:val="00887FCD"/>
    <w:rsid w:val="008901EE"/>
    <w:rsid w:val="00890CE3"/>
    <w:rsid w:val="00896515"/>
    <w:rsid w:val="008975C6"/>
    <w:rsid w:val="008A3844"/>
    <w:rsid w:val="008B4037"/>
    <w:rsid w:val="008C6598"/>
    <w:rsid w:val="008C65E2"/>
    <w:rsid w:val="008C74C9"/>
    <w:rsid w:val="008C7E05"/>
    <w:rsid w:val="008E081B"/>
    <w:rsid w:val="008E37C7"/>
    <w:rsid w:val="008E4522"/>
    <w:rsid w:val="008E54FE"/>
    <w:rsid w:val="008F0A29"/>
    <w:rsid w:val="008F2CBB"/>
    <w:rsid w:val="008F5457"/>
    <w:rsid w:val="009016BE"/>
    <w:rsid w:val="009046FD"/>
    <w:rsid w:val="00911CE8"/>
    <w:rsid w:val="00914542"/>
    <w:rsid w:val="00917947"/>
    <w:rsid w:val="0092169E"/>
    <w:rsid w:val="00925CB9"/>
    <w:rsid w:val="00927ED9"/>
    <w:rsid w:val="00941A50"/>
    <w:rsid w:val="009475FB"/>
    <w:rsid w:val="009501EC"/>
    <w:rsid w:val="00955913"/>
    <w:rsid w:val="00955CF8"/>
    <w:rsid w:val="00956EDE"/>
    <w:rsid w:val="00961C4B"/>
    <w:rsid w:val="00970434"/>
    <w:rsid w:val="00974C25"/>
    <w:rsid w:val="00975F23"/>
    <w:rsid w:val="00985630"/>
    <w:rsid w:val="00986E79"/>
    <w:rsid w:val="0099100F"/>
    <w:rsid w:val="00996414"/>
    <w:rsid w:val="009A02EE"/>
    <w:rsid w:val="009A4582"/>
    <w:rsid w:val="009A46E7"/>
    <w:rsid w:val="009A54B4"/>
    <w:rsid w:val="009B38D3"/>
    <w:rsid w:val="009C44A8"/>
    <w:rsid w:val="009C4751"/>
    <w:rsid w:val="009C6F44"/>
    <w:rsid w:val="009E0192"/>
    <w:rsid w:val="009E5506"/>
    <w:rsid w:val="009E7330"/>
    <w:rsid w:val="009E7E70"/>
    <w:rsid w:val="009F0116"/>
    <w:rsid w:val="009F03B9"/>
    <w:rsid w:val="009F1F55"/>
    <w:rsid w:val="009F2FA4"/>
    <w:rsid w:val="009F57C0"/>
    <w:rsid w:val="00A0161B"/>
    <w:rsid w:val="00A0260C"/>
    <w:rsid w:val="00A07AA1"/>
    <w:rsid w:val="00A12AF6"/>
    <w:rsid w:val="00A13013"/>
    <w:rsid w:val="00A17F02"/>
    <w:rsid w:val="00A2078D"/>
    <w:rsid w:val="00A21414"/>
    <w:rsid w:val="00A2234C"/>
    <w:rsid w:val="00A2289C"/>
    <w:rsid w:val="00A27267"/>
    <w:rsid w:val="00A27E30"/>
    <w:rsid w:val="00A334C3"/>
    <w:rsid w:val="00A35649"/>
    <w:rsid w:val="00A367CD"/>
    <w:rsid w:val="00A368EC"/>
    <w:rsid w:val="00A40037"/>
    <w:rsid w:val="00A42E20"/>
    <w:rsid w:val="00A46D93"/>
    <w:rsid w:val="00A47DC6"/>
    <w:rsid w:val="00A503E7"/>
    <w:rsid w:val="00A52D68"/>
    <w:rsid w:val="00A53A53"/>
    <w:rsid w:val="00A54AF7"/>
    <w:rsid w:val="00A566DD"/>
    <w:rsid w:val="00A60413"/>
    <w:rsid w:val="00A654DC"/>
    <w:rsid w:val="00A72287"/>
    <w:rsid w:val="00A7357D"/>
    <w:rsid w:val="00A74D0D"/>
    <w:rsid w:val="00A76192"/>
    <w:rsid w:val="00A82D57"/>
    <w:rsid w:val="00A95553"/>
    <w:rsid w:val="00A96847"/>
    <w:rsid w:val="00AA1F58"/>
    <w:rsid w:val="00AA7F67"/>
    <w:rsid w:val="00AB0727"/>
    <w:rsid w:val="00AB1B9E"/>
    <w:rsid w:val="00AB3996"/>
    <w:rsid w:val="00AB42BD"/>
    <w:rsid w:val="00AC7910"/>
    <w:rsid w:val="00AD2CFB"/>
    <w:rsid w:val="00AD373A"/>
    <w:rsid w:val="00AD41BC"/>
    <w:rsid w:val="00AF536E"/>
    <w:rsid w:val="00B03564"/>
    <w:rsid w:val="00B06D1E"/>
    <w:rsid w:val="00B07D49"/>
    <w:rsid w:val="00B07E03"/>
    <w:rsid w:val="00B10E78"/>
    <w:rsid w:val="00B1230A"/>
    <w:rsid w:val="00B238E6"/>
    <w:rsid w:val="00B24D1E"/>
    <w:rsid w:val="00B313B2"/>
    <w:rsid w:val="00B4153D"/>
    <w:rsid w:val="00B4281E"/>
    <w:rsid w:val="00B5241F"/>
    <w:rsid w:val="00B5510C"/>
    <w:rsid w:val="00B611A1"/>
    <w:rsid w:val="00B626DC"/>
    <w:rsid w:val="00B64091"/>
    <w:rsid w:val="00B778C0"/>
    <w:rsid w:val="00B8235C"/>
    <w:rsid w:val="00B85D22"/>
    <w:rsid w:val="00B86ADE"/>
    <w:rsid w:val="00B91779"/>
    <w:rsid w:val="00B92D60"/>
    <w:rsid w:val="00BA2DD7"/>
    <w:rsid w:val="00BA3A30"/>
    <w:rsid w:val="00BA7659"/>
    <w:rsid w:val="00BB17C0"/>
    <w:rsid w:val="00BB1F1F"/>
    <w:rsid w:val="00BC2185"/>
    <w:rsid w:val="00BD3F16"/>
    <w:rsid w:val="00BD4B9C"/>
    <w:rsid w:val="00BE16A5"/>
    <w:rsid w:val="00BE1EEA"/>
    <w:rsid w:val="00BE2F5B"/>
    <w:rsid w:val="00BE6195"/>
    <w:rsid w:val="00BE6D1F"/>
    <w:rsid w:val="00BF3E49"/>
    <w:rsid w:val="00BF424E"/>
    <w:rsid w:val="00BF5020"/>
    <w:rsid w:val="00BF67BB"/>
    <w:rsid w:val="00C0296B"/>
    <w:rsid w:val="00C07890"/>
    <w:rsid w:val="00C1077D"/>
    <w:rsid w:val="00C1117D"/>
    <w:rsid w:val="00C1530F"/>
    <w:rsid w:val="00C23AE5"/>
    <w:rsid w:val="00C27062"/>
    <w:rsid w:val="00C27D05"/>
    <w:rsid w:val="00C3344B"/>
    <w:rsid w:val="00C336BD"/>
    <w:rsid w:val="00C33875"/>
    <w:rsid w:val="00C378B1"/>
    <w:rsid w:val="00C408A2"/>
    <w:rsid w:val="00C50177"/>
    <w:rsid w:val="00C54937"/>
    <w:rsid w:val="00C571CA"/>
    <w:rsid w:val="00C578F6"/>
    <w:rsid w:val="00C64975"/>
    <w:rsid w:val="00C730D6"/>
    <w:rsid w:val="00C829F5"/>
    <w:rsid w:val="00C84388"/>
    <w:rsid w:val="00C91137"/>
    <w:rsid w:val="00C940A5"/>
    <w:rsid w:val="00CA2FB7"/>
    <w:rsid w:val="00CA51C1"/>
    <w:rsid w:val="00CA7D87"/>
    <w:rsid w:val="00CB40F5"/>
    <w:rsid w:val="00CC0040"/>
    <w:rsid w:val="00CC1816"/>
    <w:rsid w:val="00CC274A"/>
    <w:rsid w:val="00CC54BC"/>
    <w:rsid w:val="00CD027D"/>
    <w:rsid w:val="00CD1821"/>
    <w:rsid w:val="00CE34C1"/>
    <w:rsid w:val="00CF413B"/>
    <w:rsid w:val="00CF4243"/>
    <w:rsid w:val="00CF4D64"/>
    <w:rsid w:val="00CF503C"/>
    <w:rsid w:val="00CF584A"/>
    <w:rsid w:val="00CF7470"/>
    <w:rsid w:val="00D06B3C"/>
    <w:rsid w:val="00D11993"/>
    <w:rsid w:val="00D208ED"/>
    <w:rsid w:val="00D218FF"/>
    <w:rsid w:val="00D3020A"/>
    <w:rsid w:val="00D302C2"/>
    <w:rsid w:val="00D30CF0"/>
    <w:rsid w:val="00D40023"/>
    <w:rsid w:val="00D430C9"/>
    <w:rsid w:val="00D4716F"/>
    <w:rsid w:val="00D51307"/>
    <w:rsid w:val="00D528C3"/>
    <w:rsid w:val="00D6049F"/>
    <w:rsid w:val="00D6156D"/>
    <w:rsid w:val="00D6201F"/>
    <w:rsid w:val="00D630FD"/>
    <w:rsid w:val="00D7482E"/>
    <w:rsid w:val="00D8033D"/>
    <w:rsid w:val="00D82772"/>
    <w:rsid w:val="00D82814"/>
    <w:rsid w:val="00D86D67"/>
    <w:rsid w:val="00D87121"/>
    <w:rsid w:val="00D93BF1"/>
    <w:rsid w:val="00D94619"/>
    <w:rsid w:val="00D95DD4"/>
    <w:rsid w:val="00DB0597"/>
    <w:rsid w:val="00DB0D71"/>
    <w:rsid w:val="00DC4DDA"/>
    <w:rsid w:val="00DC7B3E"/>
    <w:rsid w:val="00DD3811"/>
    <w:rsid w:val="00DD436D"/>
    <w:rsid w:val="00DD491F"/>
    <w:rsid w:val="00DD767C"/>
    <w:rsid w:val="00DD79C6"/>
    <w:rsid w:val="00DE0833"/>
    <w:rsid w:val="00DE63ED"/>
    <w:rsid w:val="00DE6F43"/>
    <w:rsid w:val="00DF1C23"/>
    <w:rsid w:val="00DF68B2"/>
    <w:rsid w:val="00DF7283"/>
    <w:rsid w:val="00E00F96"/>
    <w:rsid w:val="00E03926"/>
    <w:rsid w:val="00E123A4"/>
    <w:rsid w:val="00E152AC"/>
    <w:rsid w:val="00E164CE"/>
    <w:rsid w:val="00E179C6"/>
    <w:rsid w:val="00E24D16"/>
    <w:rsid w:val="00E277D1"/>
    <w:rsid w:val="00E41110"/>
    <w:rsid w:val="00E41FF0"/>
    <w:rsid w:val="00E444DD"/>
    <w:rsid w:val="00E45BC0"/>
    <w:rsid w:val="00E529BE"/>
    <w:rsid w:val="00E61541"/>
    <w:rsid w:val="00E63C6B"/>
    <w:rsid w:val="00E6747D"/>
    <w:rsid w:val="00E72F8F"/>
    <w:rsid w:val="00E7378C"/>
    <w:rsid w:val="00E80C9D"/>
    <w:rsid w:val="00E83162"/>
    <w:rsid w:val="00E85D64"/>
    <w:rsid w:val="00E948FD"/>
    <w:rsid w:val="00EA22C1"/>
    <w:rsid w:val="00EA58A8"/>
    <w:rsid w:val="00EB68DB"/>
    <w:rsid w:val="00EB7A6F"/>
    <w:rsid w:val="00EC6592"/>
    <w:rsid w:val="00EC7305"/>
    <w:rsid w:val="00ED0502"/>
    <w:rsid w:val="00ED0B1D"/>
    <w:rsid w:val="00ED2512"/>
    <w:rsid w:val="00ED6696"/>
    <w:rsid w:val="00ED6888"/>
    <w:rsid w:val="00EE2EAA"/>
    <w:rsid w:val="00EE3692"/>
    <w:rsid w:val="00EF457F"/>
    <w:rsid w:val="00EF7B3D"/>
    <w:rsid w:val="00F02536"/>
    <w:rsid w:val="00F10C36"/>
    <w:rsid w:val="00F14F89"/>
    <w:rsid w:val="00F235C4"/>
    <w:rsid w:val="00F32AFA"/>
    <w:rsid w:val="00F348F9"/>
    <w:rsid w:val="00F40D77"/>
    <w:rsid w:val="00F4646E"/>
    <w:rsid w:val="00F5079D"/>
    <w:rsid w:val="00F576D6"/>
    <w:rsid w:val="00F62473"/>
    <w:rsid w:val="00F629C1"/>
    <w:rsid w:val="00F62D60"/>
    <w:rsid w:val="00F63DA2"/>
    <w:rsid w:val="00F67D00"/>
    <w:rsid w:val="00F7740B"/>
    <w:rsid w:val="00F82022"/>
    <w:rsid w:val="00F85A41"/>
    <w:rsid w:val="00F92A4F"/>
    <w:rsid w:val="00F92FCA"/>
    <w:rsid w:val="00F93D90"/>
    <w:rsid w:val="00FA16D5"/>
    <w:rsid w:val="00FA5F25"/>
    <w:rsid w:val="00FA6164"/>
    <w:rsid w:val="00FA74CE"/>
    <w:rsid w:val="00FB0200"/>
    <w:rsid w:val="00FB7B50"/>
    <w:rsid w:val="00FC0EEC"/>
    <w:rsid w:val="00FC1459"/>
    <w:rsid w:val="00FC29DE"/>
    <w:rsid w:val="00FC49F7"/>
    <w:rsid w:val="00FE2DBB"/>
    <w:rsid w:val="00FE4C2F"/>
    <w:rsid w:val="00FE572A"/>
    <w:rsid w:val="00FE79D5"/>
    <w:rsid w:val="00FF306F"/>
    <w:rsid w:val="00FF45A2"/>
    <w:rsid w:val="00FF50F4"/>
    <w:rsid w:val="00FF5162"/>
    <w:rsid w:val="00FF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1BC"/>
    <w:pPr>
      <w:spacing w:after="0"/>
    </w:pPr>
    <w:rPr>
      <w:rFont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D6201F"/>
    <w:rPr>
      <w:rFonts w:ascii="Times New Roman" w:hAnsi="Times New Roman"/>
      <w:vertAlign w:val="superscript"/>
    </w:rPr>
  </w:style>
  <w:style w:type="paragraph" w:styleId="FootnoteText">
    <w:name w:val="footnote text"/>
    <w:aliases w:val="Car"/>
    <w:basedOn w:val="Normal"/>
    <w:link w:val="FootnoteTextChar"/>
    <w:autoRedefine/>
    <w:unhideWhenUsed/>
    <w:qFormat/>
    <w:rsid w:val="00BD3F16"/>
    <w:pPr>
      <w:spacing w:line="240" w:lineRule="auto"/>
    </w:pPr>
    <w:rPr>
      <w:sz w:val="20"/>
    </w:rPr>
  </w:style>
  <w:style w:type="character" w:customStyle="1" w:styleId="FootnoteTextChar">
    <w:name w:val="Footnote Text Char"/>
    <w:aliases w:val="Car Char"/>
    <w:basedOn w:val="DefaultParagraphFont"/>
    <w:link w:val="FootnoteText"/>
    <w:rsid w:val="00BD3F16"/>
    <w:rPr>
      <w:rFonts w:cs="Times New Roman"/>
      <w:sz w:val="20"/>
      <w:szCs w:val="20"/>
    </w:rPr>
  </w:style>
  <w:style w:type="paragraph" w:styleId="ListParagraph">
    <w:name w:val="List Paragraph"/>
    <w:basedOn w:val="Normal"/>
    <w:autoRedefine/>
    <w:uiPriority w:val="34"/>
    <w:qFormat/>
    <w:rsid w:val="00BD3F16"/>
    <w:pPr>
      <w:numPr>
        <w:numId w:val="8"/>
      </w:numPr>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semiHidden/>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paragraph" w:customStyle="1" w:styleId="IndentedQuote">
    <w:name w:val="Indented Quote"/>
    <w:basedOn w:val="Normal"/>
    <w:qFormat/>
    <w:rsid w:val="005F6194"/>
    <w:pPr>
      <w:spacing w:line="240" w:lineRule="auto"/>
      <w:ind w:left="720" w:right="720"/>
    </w:pPr>
    <w:rPr>
      <w:szCs w:val="24"/>
    </w:rPr>
  </w:style>
  <w:style w:type="paragraph" w:customStyle="1" w:styleId="Indentedquote0">
    <w:name w:val="Indented quote"/>
    <w:basedOn w:val="Normal"/>
    <w:qFormat/>
    <w:rsid w:val="00B03564"/>
    <w:pPr>
      <w:widowControl w:val="0"/>
      <w:autoSpaceDE w:val="0"/>
      <w:autoSpaceDN w:val="0"/>
      <w:adjustRightInd w:val="0"/>
      <w:spacing w:after="120" w:line="240" w:lineRule="auto"/>
      <w:ind w:left="1440" w:right="1440"/>
    </w:pPr>
    <w:rPr>
      <w:szCs w:val="24"/>
    </w:rPr>
  </w:style>
  <w:style w:type="paragraph" w:customStyle="1" w:styleId="TxBrp3">
    <w:name w:val="TxBr_p3"/>
    <w:basedOn w:val="Normal"/>
    <w:rsid w:val="00AB0727"/>
    <w:pPr>
      <w:widowControl w:val="0"/>
      <w:tabs>
        <w:tab w:val="left" w:pos="1474"/>
      </w:tabs>
      <w:autoSpaceDE w:val="0"/>
      <w:autoSpaceDN w:val="0"/>
      <w:adjustRightInd w:val="0"/>
      <w:spacing w:line="425" w:lineRule="atLeast"/>
      <w:ind w:firstLine="1474"/>
    </w:pPr>
    <w:rPr>
      <w:szCs w:val="24"/>
    </w:rPr>
  </w:style>
  <w:style w:type="paragraph" w:customStyle="1" w:styleId="Pleading1L1">
    <w:name w:val="Pleading1_L1"/>
    <w:basedOn w:val="Normal"/>
    <w:rsid w:val="00AB0727"/>
    <w:pPr>
      <w:numPr>
        <w:numId w:val="6"/>
      </w:numPr>
      <w:spacing w:line="480" w:lineRule="auto"/>
      <w:outlineLvl w:val="0"/>
    </w:pPr>
    <w:rPr>
      <w:b/>
      <w:caps/>
      <w:u w:val="single"/>
    </w:rPr>
  </w:style>
  <w:style w:type="paragraph" w:customStyle="1" w:styleId="Pleading1L2">
    <w:name w:val="Pleading1_L2"/>
    <w:basedOn w:val="Pleading1L1"/>
    <w:rsid w:val="00AB0727"/>
    <w:pPr>
      <w:numPr>
        <w:ilvl w:val="1"/>
      </w:numPr>
      <w:outlineLvl w:val="1"/>
    </w:pPr>
    <w:rPr>
      <w:b w:val="0"/>
      <w:caps w:val="0"/>
    </w:rPr>
  </w:style>
  <w:style w:type="paragraph" w:customStyle="1" w:styleId="Pleading1L3">
    <w:name w:val="Pleading1_L3"/>
    <w:basedOn w:val="Pleading1L2"/>
    <w:rsid w:val="00AB0727"/>
    <w:pPr>
      <w:numPr>
        <w:ilvl w:val="2"/>
      </w:numPr>
      <w:outlineLvl w:val="2"/>
    </w:pPr>
    <w:rPr>
      <w:szCs w:val="24"/>
      <w:u w:val="none"/>
    </w:rPr>
  </w:style>
  <w:style w:type="paragraph" w:customStyle="1" w:styleId="Pleading1L4">
    <w:name w:val="Pleading1_L4"/>
    <w:basedOn w:val="Pleading1L3"/>
    <w:rsid w:val="00AB0727"/>
    <w:pPr>
      <w:numPr>
        <w:ilvl w:val="3"/>
      </w:numPr>
      <w:outlineLvl w:val="3"/>
    </w:pPr>
  </w:style>
  <w:style w:type="paragraph" w:customStyle="1" w:styleId="Pleading1L5">
    <w:name w:val="Pleading1_L5"/>
    <w:basedOn w:val="Pleading1L4"/>
    <w:rsid w:val="00AB0727"/>
    <w:pPr>
      <w:numPr>
        <w:ilvl w:val="4"/>
      </w:numPr>
      <w:outlineLvl w:val="4"/>
    </w:pPr>
  </w:style>
  <w:style w:type="paragraph" w:customStyle="1" w:styleId="Pleading1L6">
    <w:name w:val="Pleading1_L6"/>
    <w:basedOn w:val="Pleading1L5"/>
    <w:rsid w:val="00AB0727"/>
    <w:pPr>
      <w:keepNext/>
      <w:keepLines/>
      <w:widowControl w:val="0"/>
      <w:numPr>
        <w:ilvl w:val="5"/>
      </w:numPr>
      <w:spacing w:after="240" w:line="240" w:lineRule="auto"/>
      <w:outlineLvl w:val="5"/>
    </w:pPr>
    <w:rPr>
      <w:sz w:val="20"/>
    </w:rPr>
  </w:style>
  <w:style w:type="paragraph" w:customStyle="1" w:styleId="Pleading1L7">
    <w:name w:val="Pleading1_L7"/>
    <w:basedOn w:val="Pleading1L6"/>
    <w:rsid w:val="00AB0727"/>
    <w:pPr>
      <w:numPr>
        <w:ilvl w:val="6"/>
      </w:numPr>
      <w:outlineLvl w:val="6"/>
    </w:pPr>
  </w:style>
  <w:style w:type="paragraph" w:customStyle="1" w:styleId="Pleading1L8">
    <w:name w:val="Pleading1_L8"/>
    <w:basedOn w:val="Pleading1L7"/>
    <w:rsid w:val="00AB0727"/>
    <w:pPr>
      <w:numPr>
        <w:ilvl w:val="7"/>
      </w:numPr>
      <w:outlineLvl w:val="7"/>
    </w:pPr>
  </w:style>
  <w:style w:type="paragraph" w:customStyle="1" w:styleId="Pleading1L9">
    <w:name w:val="Pleading1_L9"/>
    <w:basedOn w:val="Pleading1L8"/>
    <w:rsid w:val="00AB0727"/>
    <w:pPr>
      <w:numPr>
        <w:ilvl w:val="8"/>
      </w:numPr>
      <w:outlineLvl w:val="8"/>
    </w:pPr>
  </w:style>
  <w:style w:type="paragraph" w:styleId="ListNumber">
    <w:name w:val="List Number"/>
    <w:basedOn w:val="Normal"/>
    <w:rsid w:val="00AB0727"/>
    <w:pPr>
      <w:numPr>
        <w:numId w:val="7"/>
      </w:numPr>
      <w:tabs>
        <w:tab w:val="clear" w:pos="360"/>
      </w:tabs>
      <w:spacing w:line="480" w:lineRule="auto"/>
      <w:ind w:left="0" w:firstLine="7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1BC"/>
    <w:pPr>
      <w:spacing w:after="0"/>
    </w:pPr>
    <w:rPr>
      <w:rFont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D6201F"/>
    <w:rPr>
      <w:rFonts w:ascii="Times New Roman" w:hAnsi="Times New Roman"/>
      <w:vertAlign w:val="superscript"/>
    </w:rPr>
  </w:style>
  <w:style w:type="paragraph" w:styleId="FootnoteText">
    <w:name w:val="footnote text"/>
    <w:aliases w:val="Car"/>
    <w:basedOn w:val="Normal"/>
    <w:link w:val="FootnoteTextChar"/>
    <w:autoRedefine/>
    <w:unhideWhenUsed/>
    <w:qFormat/>
    <w:rsid w:val="00BD3F16"/>
    <w:pPr>
      <w:spacing w:line="240" w:lineRule="auto"/>
    </w:pPr>
    <w:rPr>
      <w:sz w:val="20"/>
    </w:rPr>
  </w:style>
  <w:style w:type="character" w:customStyle="1" w:styleId="FootnoteTextChar">
    <w:name w:val="Footnote Text Char"/>
    <w:aliases w:val="Car Char"/>
    <w:basedOn w:val="DefaultParagraphFont"/>
    <w:link w:val="FootnoteText"/>
    <w:rsid w:val="00BD3F16"/>
    <w:rPr>
      <w:rFonts w:cs="Times New Roman"/>
      <w:sz w:val="20"/>
      <w:szCs w:val="20"/>
    </w:rPr>
  </w:style>
  <w:style w:type="paragraph" w:styleId="ListParagraph">
    <w:name w:val="List Paragraph"/>
    <w:basedOn w:val="Normal"/>
    <w:autoRedefine/>
    <w:uiPriority w:val="34"/>
    <w:qFormat/>
    <w:rsid w:val="00BD3F16"/>
    <w:pPr>
      <w:numPr>
        <w:numId w:val="8"/>
      </w:numPr>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semiHidden/>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paragraph" w:customStyle="1" w:styleId="IndentedQuote">
    <w:name w:val="Indented Quote"/>
    <w:basedOn w:val="Normal"/>
    <w:qFormat/>
    <w:rsid w:val="005F6194"/>
    <w:pPr>
      <w:spacing w:line="240" w:lineRule="auto"/>
      <w:ind w:left="720" w:right="720"/>
    </w:pPr>
    <w:rPr>
      <w:szCs w:val="24"/>
    </w:rPr>
  </w:style>
  <w:style w:type="paragraph" w:customStyle="1" w:styleId="Indentedquote0">
    <w:name w:val="Indented quote"/>
    <w:basedOn w:val="Normal"/>
    <w:qFormat/>
    <w:rsid w:val="00B03564"/>
    <w:pPr>
      <w:widowControl w:val="0"/>
      <w:autoSpaceDE w:val="0"/>
      <w:autoSpaceDN w:val="0"/>
      <w:adjustRightInd w:val="0"/>
      <w:spacing w:after="120" w:line="240" w:lineRule="auto"/>
      <w:ind w:left="1440" w:right="1440"/>
    </w:pPr>
    <w:rPr>
      <w:szCs w:val="24"/>
    </w:rPr>
  </w:style>
  <w:style w:type="paragraph" w:customStyle="1" w:styleId="TxBrp3">
    <w:name w:val="TxBr_p3"/>
    <w:basedOn w:val="Normal"/>
    <w:rsid w:val="00AB0727"/>
    <w:pPr>
      <w:widowControl w:val="0"/>
      <w:tabs>
        <w:tab w:val="left" w:pos="1474"/>
      </w:tabs>
      <w:autoSpaceDE w:val="0"/>
      <w:autoSpaceDN w:val="0"/>
      <w:adjustRightInd w:val="0"/>
      <w:spacing w:line="425" w:lineRule="atLeast"/>
      <w:ind w:firstLine="1474"/>
    </w:pPr>
    <w:rPr>
      <w:szCs w:val="24"/>
    </w:rPr>
  </w:style>
  <w:style w:type="paragraph" w:customStyle="1" w:styleId="Pleading1L1">
    <w:name w:val="Pleading1_L1"/>
    <w:basedOn w:val="Normal"/>
    <w:rsid w:val="00AB0727"/>
    <w:pPr>
      <w:numPr>
        <w:numId w:val="6"/>
      </w:numPr>
      <w:spacing w:line="480" w:lineRule="auto"/>
      <w:outlineLvl w:val="0"/>
    </w:pPr>
    <w:rPr>
      <w:b/>
      <w:caps/>
      <w:u w:val="single"/>
    </w:rPr>
  </w:style>
  <w:style w:type="paragraph" w:customStyle="1" w:styleId="Pleading1L2">
    <w:name w:val="Pleading1_L2"/>
    <w:basedOn w:val="Pleading1L1"/>
    <w:rsid w:val="00AB0727"/>
    <w:pPr>
      <w:numPr>
        <w:ilvl w:val="1"/>
      </w:numPr>
      <w:outlineLvl w:val="1"/>
    </w:pPr>
    <w:rPr>
      <w:b w:val="0"/>
      <w:caps w:val="0"/>
    </w:rPr>
  </w:style>
  <w:style w:type="paragraph" w:customStyle="1" w:styleId="Pleading1L3">
    <w:name w:val="Pleading1_L3"/>
    <w:basedOn w:val="Pleading1L2"/>
    <w:rsid w:val="00AB0727"/>
    <w:pPr>
      <w:numPr>
        <w:ilvl w:val="2"/>
      </w:numPr>
      <w:outlineLvl w:val="2"/>
    </w:pPr>
    <w:rPr>
      <w:szCs w:val="24"/>
      <w:u w:val="none"/>
    </w:rPr>
  </w:style>
  <w:style w:type="paragraph" w:customStyle="1" w:styleId="Pleading1L4">
    <w:name w:val="Pleading1_L4"/>
    <w:basedOn w:val="Pleading1L3"/>
    <w:rsid w:val="00AB0727"/>
    <w:pPr>
      <w:numPr>
        <w:ilvl w:val="3"/>
      </w:numPr>
      <w:outlineLvl w:val="3"/>
    </w:pPr>
  </w:style>
  <w:style w:type="paragraph" w:customStyle="1" w:styleId="Pleading1L5">
    <w:name w:val="Pleading1_L5"/>
    <w:basedOn w:val="Pleading1L4"/>
    <w:rsid w:val="00AB0727"/>
    <w:pPr>
      <w:numPr>
        <w:ilvl w:val="4"/>
      </w:numPr>
      <w:outlineLvl w:val="4"/>
    </w:pPr>
  </w:style>
  <w:style w:type="paragraph" w:customStyle="1" w:styleId="Pleading1L6">
    <w:name w:val="Pleading1_L6"/>
    <w:basedOn w:val="Pleading1L5"/>
    <w:rsid w:val="00AB0727"/>
    <w:pPr>
      <w:keepNext/>
      <w:keepLines/>
      <w:widowControl w:val="0"/>
      <w:numPr>
        <w:ilvl w:val="5"/>
      </w:numPr>
      <w:spacing w:after="240" w:line="240" w:lineRule="auto"/>
      <w:outlineLvl w:val="5"/>
    </w:pPr>
    <w:rPr>
      <w:sz w:val="20"/>
    </w:rPr>
  </w:style>
  <w:style w:type="paragraph" w:customStyle="1" w:styleId="Pleading1L7">
    <w:name w:val="Pleading1_L7"/>
    <w:basedOn w:val="Pleading1L6"/>
    <w:rsid w:val="00AB0727"/>
    <w:pPr>
      <w:numPr>
        <w:ilvl w:val="6"/>
      </w:numPr>
      <w:outlineLvl w:val="6"/>
    </w:pPr>
  </w:style>
  <w:style w:type="paragraph" w:customStyle="1" w:styleId="Pleading1L8">
    <w:name w:val="Pleading1_L8"/>
    <w:basedOn w:val="Pleading1L7"/>
    <w:rsid w:val="00AB0727"/>
    <w:pPr>
      <w:numPr>
        <w:ilvl w:val="7"/>
      </w:numPr>
      <w:outlineLvl w:val="7"/>
    </w:pPr>
  </w:style>
  <w:style w:type="paragraph" w:customStyle="1" w:styleId="Pleading1L9">
    <w:name w:val="Pleading1_L9"/>
    <w:basedOn w:val="Pleading1L8"/>
    <w:rsid w:val="00AB0727"/>
    <w:pPr>
      <w:numPr>
        <w:ilvl w:val="8"/>
      </w:numPr>
      <w:outlineLvl w:val="8"/>
    </w:pPr>
  </w:style>
  <w:style w:type="paragraph" w:styleId="ListNumber">
    <w:name w:val="List Number"/>
    <w:basedOn w:val="Normal"/>
    <w:rsid w:val="00AB0727"/>
    <w:pPr>
      <w:numPr>
        <w:numId w:val="7"/>
      </w:numPr>
      <w:tabs>
        <w:tab w:val="clear" w:pos="360"/>
      </w:tabs>
      <w:spacing w:line="480" w:lineRule="auto"/>
      <w:ind w:left="0" w:firstLine="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358230">
      <w:bodyDiv w:val="1"/>
      <w:marLeft w:val="0"/>
      <w:marRight w:val="0"/>
      <w:marTop w:val="0"/>
      <w:marBottom w:val="0"/>
      <w:divBdr>
        <w:top w:val="none" w:sz="0" w:space="0" w:color="auto"/>
        <w:left w:val="none" w:sz="0" w:space="0" w:color="auto"/>
        <w:bottom w:val="none" w:sz="0" w:space="0" w:color="auto"/>
        <w:right w:val="none" w:sz="0" w:space="0" w:color="auto"/>
      </w:divBdr>
    </w:div>
    <w:div w:id="1186209296">
      <w:bodyDiv w:val="1"/>
      <w:marLeft w:val="0"/>
      <w:marRight w:val="0"/>
      <w:marTop w:val="0"/>
      <w:marBottom w:val="0"/>
      <w:divBdr>
        <w:top w:val="none" w:sz="0" w:space="0" w:color="auto"/>
        <w:left w:val="none" w:sz="0" w:space="0" w:color="auto"/>
        <w:bottom w:val="none" w:sz="0" w:space="0" w:color="auto"/>
        <w:right w:val="none" w:sz="0" w:space="0" w:color="auto"/>
      </w:divBdr>
    </w:div>
    <w:div w:id="142529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5A2C8-DAFD-46C7-95BF-B52B4328F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2461</Words>
  <Characters>14029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shoffner</cp:lastModifiedBy>
  <cp:revision>3</cp:revision>
  <cp:lastPrinted>2011-12-13T19:29:00Z</cp:lastPrinted>
  <dcterms:created xsi:type="dcterms:W3CDTF">2011-12-13T19:50:00Z</dcterms:created>
  <dcterms:modified xsi:type="dcterms:W3CDTF">2012-01-05T14:29:00Z</dcterms:modified>
</cp:coreProperties>
</file>