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4156A5" w:rsidP="00CE43B4">
      <w:pPr>
        <w:tabs>
          <w:tab w:val="left" w:pos="-720"/>
        </w:tabs>
        <w:suppressAutoHyphens/>
        <w:rPr>
          <w:b/>
          <w:bCs/>
          <w:spacing w:val="-3"/>
          <w:sz w:val="24"/>
          <w:szCs w:val="24"/>
        </w:rPr>
      </w:pPr>
      <w:proofErr w:type="spellStart"/>
      <w:r>
        <w:rPr>
          <w:bCs/>
          <w:spacing w:val="-3"/>
          <w:sz w:val="24"/>
          <w:szCs w:val="24"/>
        </w:rPr>
        <w:t>Mimose</w:t>
      </w:r>
      <w:proofErr w:type="spellEnd"/>
      <w:r>
        <w:rPr>
          <w:bCs/>
          <w:spacing w:val="-3"/>
          <w:sz w:val="24"/>
          <w:szCs w:val="24"/>
        </w:rPr>
        <w:t xml:space="preserve"> Innocent</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10333F">
        <w:rPr>
          <w:spacing w:val="-3"/>
          <w:sz w:val="24"/>
          <w:szCs w:val="24"/>
        </w:rPr>
        <w:tab/>
      </w:r>
      <w:r w:rsidR="00E46519">
        <w:rPr>
          <w:spacing w:val="-3"/>
          <w:sz w:val="24"/>
          <w:szCs w:val="24"/>
        </w:rPr>
        <w:tab/>
      </w:r>
      <w:r w:rsidR="004156A5">
        <w:rPr>
          <w:spacing w:val="-3"/>
          <w:sz w:val="24"/>
          <w:szCs w:val="24"/>
        </w:rPr>
        <w:t>F-2010-2184996</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4156A5" w:rsidP="00CE43B4">
      <w:pPr>
        <w:tabs>
          <w:tab w:val="left" w:pos="-720"/>
        </w:tabs>
        <w:suppressAutoHyphens/>
        <w:rPr>
          <w:spacing w:val="-3"/>
          <w:sz w:val="24"/>
          <w:szCs w:val="24"/>
        </w:rPr>
      </w:pPr>
      <w:r>
        <w:rPr>
          <w:spacing w:val="-3"/>
          <w:sz w:val="24"/>
          <w:szCs w:val="24"/>
        </w:rPr>
        <w:t>PPL Electric Utilities Corp</w:t>
      </w:r>
      <w:r w:rsidR="004B0A63">
        <w:rPr>
          <w:spacing w:val="-3"/>
          <w:sz w:val="24"/>
          <w:szCs w:val="24"/>
        </w:rPr>
        <w:t>oration</w:t>
      </w:r>
      <w:r>
        <w:rPr>
          <w:spacing w:val="-3"/>
          <w:sz w:val="24"/>
          <w:szCs w:val="24"/>
        </w:rPr>
        <w:tab/>
      </w:r>
      <w:r w:rsidR="005E3007">
        <w:rPr>
          <w:spacing w:val="-3"/>
          <w:sz w:val="24"/>
          <w:szCs w:val="24"/>
        </w:rPr>
        <w:tab/>
      </w:r>
      <w:r w:rsidR="005E3007">
        <w:rPr>
          <w:spacing w:val="-3"/>
          <w:sz w:val="24"/>
          <w:szCs w:val="24"/>
        </w:rPr>
        <w:tab/>
      </w:r>
      <w:r w:rsidR="00CE43B4" w:rsidRPr="00CE43B4">
        <w:rPr>
          <w:spacing w:val="-3"/>
          <w:sz w:val="24"/>
          <w:szCs w:val="24"/>
        </w:rPr>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bookmarkStart w:id="0" w:name="_GoBack"/>
      <w:bookmarkEnd w:id="0"/>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4156A5">
        <w:rPr>
          <w:sz w:val="24"/>
          <w:szCs w:val="24"/>
        </w:rPr>
        <w:t xml:space="preserve"> June 28, 2010</w:t>
      </w:r>
      <w:r w:rsidR="007965B0" w:rsidRPr="007965B0">
        <w:rPr>
          <w:sz w:val="24"/>
          <w:szCs w:val="24"/>
        </w:rPr>
        <w:t>,</w:t>
      </w:r>
      <w:r w:rsidR="00E46519">
        <w:rPr>
          <w:sz w:val="24"/>
          <w:szCs w:val="24"/>
        </w:rPr>
        <w:t xml:space="preserve"> </w:t>
      </w:r>
      <w:proofErr w:type="spellStart"/>
      <w:r w:rsidR="004156A5">
        <w:rPr>
          <w:sz w:val="24"/>
          <w:szCs w:val="24"/>
        </w:rPr>
        <w:t>Mimose</w:t>
      </w:r>
      <w:proofErr w:type="spellEnd"/>
      <w:r w:rsidR="004156A5">
        <w:rPr>
          <w:sz w:val="24"/>
          <w:szCs w:val="24"/>
        </w:rPr>
        <w:t xml:space="preserve"> Innocent</w:t>
      </w:r>
      <w:r w:rsidR="007965B0" w:rsidRPr="007965B0">
        <w:rPr>
          <w:sz w:val="24"/>
          <w:szCs w:val="24"/>
        </w:rPr>
        <w:t xml:space="preserve"> (Complainant) filed a Formal Complaint with the Pennsylvania Public Utility Commission against </w:t>
      </w:r>
      <w:r w:rsidR="004156A5">
        <w:rPr>
          <w:sz w:val="24"/>
          <w:szCs w:val="24"/>
        </w:rPr>
        <w:t xml:space="preserve">PPL Electric Utilities Corporation </w:t>
      </w:r>
      <w:r w:rsidR="007965B0" w:rsidRPr="007965B0">
        <w:rPr>
          <w:sz w:val="24"/>
          <w:szCs w:val="24"/>
        </w:rPr>
        <w:t>(</w:t>
      </w:r>
      <w:r w:rsidR="004156A5">
        <w:rPr>
          <w:sz w:val="24"/>
          <w:szCs w:val="24"/>
        </w:rPr>
        <w:t xml:space="preserve">PPL or </w:t>
      </w:r>
      <w:r w:rsidR="007965B0" w:rsidRPr="007965B0">
        <w:rPr>
          <w:sz w:val="24"/>
          <w:szCs w:val="24"/>
        </w:rPr>
        <w:t xml:space="preserve">Respondent) alleging </w:t>
      </w:r>
      <w:r w:rsidR="004156A5">
        <w:rPr>
          <w:sz w:val="24"/>
          <w:szCs w:val="24"/>
        </w:rPr>
        <w:t>that her electric bill was too high</w:t>
      </w:r>
      <w:r w:rsidR="007965B0" w:rsidRPr="007965B0">
        <w:rPr>
          <w:sz w:val="24"/>
          <w:szCs w:val="24"/>
        </w:rPr>
        <w:t xml:space="preserve">. </w:t>
      </w:r>
      <w:r w:rsidR="004156A5">
        <w:rPr>
          <w:sz w:val="24"/>
          <w:szCs w:val="24"/>
        </w:rPr>
        <w:t xml:space="preserve"> </w:t>
      </w:r>
      <w:r w:rsidR="007965B0" w:rsidRPr="007965B0">
        <w:rPr>
          <w:sz w:val="24"/>
          <w:szCs w:val="24"/>
        </w:rPr>
        <w:t xml:space="preserve">On </w:t>
      </w:r>
      <w:r w:rsidR="004156A5">
        <w:rPr>
          <w:sz w:val="24"/>
          <w:szCs w:val="24"/>
        </w:rPr>
        <w:t>July 21, 2010</w:t>
      </w:r>
      <w:r w:rsidR="007965B0" w:rsidRPr="007965B0">
        <w:rPr>
          <w:sz w:val="24"/>
          <w:szCs w:val="24"/>
        </w:rPr>
        <w:t xml:space="preserve">, Respondent filed an </w:t>
      </w:r>
      <w:r w:rsidR="007965B0" w:rsidRPr="007965B0">
        <w:rPr>
          <w:spacing w:val="-3"/>
          <w:sz w:val="24"/>
          <w:szCs w:val="24"/>
        </w:rPr>
        <w:t>Answer denying the material allegations of the Complaint.</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4156A5">
        <w:rPr>
          <w:sz w:val="24"/>
          <w:szCs w:val="24"/>
        </w:rPr>
        <w:t>July 11, 2011</w:t>
      </w:r>
      <w:r w:rsidRPr="007965B0">
        <w:rPr>
          <w:sz w:val="24"/>
          <w:szCs w:val="24"/>
        </w:rPr>
        <w:t xml:space="preserve">, the parties were notified that an Initial Hearing in this case was scheduled for the morning of </w:t>
      </w:r>
      <w:r w:rsidR="004156A5">
        <w:rPr>
          <w:sz w:val="24"/>
          <w:szCs w:val="24"/>
        </w:rPr>
        <w:t>September 12, 2011, and the matter was assigned to me</w:t>
      </w:r>
      <w:r w:rsidRPr="007965B0">
        <w:rPr>
          <w:sz w:val="24"/>
          <w:szCs w:val="24"/>
        </w:rPr>
        <w:t xml:space="preserve">.  </w:t>
      </w:r>
      <w:r w:rsidR="002C5DE3">
        <w:rPr>
          <w:sz w:val="24"/>
          <w:szCs w:val="24"/>
        </w:rPr>
        <w:t xml:space="preserve">The </w:t>
      </w:r>
      <w:r w:rsidR="00013700">
        <w:rPr>
          <w:sz w:val="24"/>
          <w:szCs w:val="24"/>
        </w:rPr>
        <w:t xml:space="preserve">hearing </w:t>
      </w:r>
      <w:r w:rsidR="002C5DE3">
        <w:rPr>
          <w:sz w:val="24"/>
          <w:szCs w:val="24"/>
        </w:rPr>
        <w:t xml:space="preserve">date was later changed to August 11, 2011.  </w:t>
      </w:r>
      <w:r w:rsidRPr="007965B0">
        <w:rPr>
          <w:sz w:val="24"/>
          <w:szCs w:val="24"/>
        </w:rPr>
        <w:t xml:space="preserve">A Prehearing Order was issued on </w:t>
      </w:r>
      <w:r w:rsidR="004156A5">
        <w:rPr>
          <w:sz w:val="24"/>
          <w:szCs w:val="24"/>
        </w:rPr>
        <w:t>July 13,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CD37A0">
      <w:pPr>
        <w:spacing w:line="360" w:lineRule="auto"/>
        <w:ind w:firstLine="1440"/>
        <w:rPr>
          <w:sz w:val="24"/>
          <w:szCs w:val="24"/>
        </w:rPr>
      </w:pPr>
      <w:r w:rsidRPr="007965B0">
        <w:rPr>
          <w:sz w:val="24"/>
          <w:szCs w:val="24"/>
        </w:rPr>
        <w:t xml:space="preserve">The hearing convened as scheduled.  </w:t>
      </w:r>
      <w:r w:rsidR="004156A5">
        <w:rPr>
          <w:sz w:val="24"/>
          <w:szCs w:val="24"/>
        </w:rPr>
        <w:t xml:space="preserve">The Complainant appeared </w:t>
      </w:r>
      <w:r w:rsidR="004156A5" w:rsidRPr="00D607C0">
        <w:rPr>
          <w:i/>
          <w:sz w:val="24"/>
          <w:szCs w:val="24"/>
        </w:rPr>
        <w:t xml:space="preserve">pro </w:t>
      </w:r>
      <w:proofErr w:type="gramStart"/>
      <w:r w:rsidR="004156A5" w:rsidRPr="00D607C0">
        <w:rPr>
          <w:i/>
          <w:sz w:val="24"/>
          <w:szCs w:val="24"/>
        </w:rPr>
        <w:t>se</w:t>
      </w:r>
      <w:r w:rsidR="004156A5">
        <w:rPr>
          <w:sz w:val="24"/>
          <w:szCs w:val="24"/>
        </w:rPr>
        <w:t>,</w:t>
      </w:r>
      <w:proofErr w:type="gramEnd"/>
      <w:r w:rsidR="004156A5">
        <w:rPr>
          <w:sz w:val="24"/>
          <w:szCs w:val="24"/>
        </w:rPr>
        <w:t xml:space="preserve"> the Respondent appeared represented by counsel.  The Complainant proffered one exhibit that was </w:t>
      </w:r>
      <w:r w:rsidR="004156A5">
        <w:rPr>
          <w:sz w:val="24"/>
          <w:szCs w:val="24"/>
        </w:rPr>
        <w:lastRenderedPageBreak/>
        <w:t>entered into the record; the Respondent proffered four exhibits that</w:t>
      </w:r>
      <w:r w:rsidR="00CD37A0">
        <w:rPr>
          <w:sz w:val="24"/>
          <w:szCs w:val="24"/>
        </w:rPr>
        <w:t xml:space="preserve"> were entered into the record.  </w:t>
      </w:r>
      <w:r w:rsidR="00EC41CE">
        <w:rPr>
          <w:sz w:val="24"/>
          <w:szCs w:val="24"/>
        </w:rPr>
        <w:t xml:space="preserve">The record closed on </w:t>
      </w:r>
      <w:r w:rsidR="004156A5">
        <w:rPr>
          <w:sz w:val="24"/>
          <w:szCs w:val="24"/>
        </w:rPr>
        <w:t>October 12, 2011</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2C5DE3" w:rsidP="00C419F9">
      <w:pPr>
        <w:numPr>
          <w:ilvl w:val="0"/>
          <w:numId w:val="18"/>
        </w:numPr>
        <w:tabs>
          <w:tab w:val="left" w:pos="2160"/>
        </w:tabs>
        <w:spacing w:line="360" w:lineRule="auto"/>
        <w:ind w:left="0" w:firstLine="1440"/>
        <w:rPr>
          <w:sz w:val="24"/>
          <w:szCs w:val="24"/>
        </w:rPr>
      </w:pPr>
      <w:r>
        <w:rPr>
          <w:sz w:val="24"/>
          <w:szCs w:val="24"/>
        </w:rPr>
        <w:t>The Complainant admits that she uses the electricity for which she has been charged.  Tr. 9.</w:t>
      </w:r>
    </w:p>
    <w:p w:rsidR="00013700" w:rsidRDefault="00013700" w:rsidP="00013700">
      <w:pPr>
        <w:spacing w:line="360" w:lineRule="auto"/>
        <w:ind w:left="1440"/>
        <w:rPr>
          <w:sz w:val="24"/>
          <w:szCs w:val="24"/>
        </w:rPr>
      </w:pPr>
      <w:r>
        <w:rPr>
          <w:sz w:val="24"/>
          <w:szCs w:val="24"/>
        </w:rPr>
        <w:t xml:space="preserve"> </w:t>
      </w:r>
    </w:p>
    <w:p w:rsidR="00013700" w:rsidRDefault="00013700" w:rsidP="00C419F9">
      <w:pPr>
        <w:numPr>
          <w:ilvl w:val="0"/>
          <w:numId w:val="18"/>
        </w:numPr>
        <w:tabs>
          <w:tab w:val="left" w:pos="2160"/>
        </w:tabs>
        <w:spacing w:line="360" w:lineRule="auto"/>
        <w:ind w:left="0" w:firstLine="1440"/>
        <w:rPr>
          <w:sz w:val="24"/>
          <w:szCs w:val="24"/>
        </w:rPr>
      </w:pPr>
      <w:r>
        <w:rPr>
          <w:sz w:val="24"/>
          <w:szCs w:val="24"/>
        </w:rPr>
        <w:t>The Respondent is a jurisdictional public utility.</w:t>
      </w:r>
    </w:p>
    <w:p w:rsidR="002C5DE3" w:rsidRDefault="002C5DE3" w:rsidP="002C5DE3">
      <w:pPr>
        <w:spacing w:line="360" w:lineRule="auto"/>
        <w:ind w:left="1440"/>
        <w:rPr>
          <w:sz w:val="24"/>
          <w:szCs w:val="24"/>
        </w:rPr>
      </w:pPr>
      <w:r>
        <w:rPr>
          <w:sz w:val="24"/>
          <w:szCs w:val="24"/>
        </w:rPr>
        <w:t xml:space="preserve"> </w:t>
      </w:r>
    </w:p>
    <w:p w:rsidR="002C5DE3" w:rsidRDefault="002C5DE3" w:rsidP="00C419F9">
      <w:pPr>
        <w:numPr>
          <w:ilvl w:val="0"/>
          <w:numId w:val="18"/>
        </w:numPr>
        <w:tabs>
          <w:tab w:val="left" w:pos="2160"/>
        </w:tabs>
        <w:spacing w:line="360" w:lineRule="auto"/>
        <w:ind w:left="0" w:firstLine="1440"/>
        <w:rPr>
          <w:sz w:val="24"/>
          <w:szCs w:val="24"/>
        </w:rPr>
      </w:pPr>
      <w:r>
        <w:rPr>
          <w:sz w:val="24"/>
          <w:szCs w:val="24"/>
        </w:rPr>
        <w:t>The Complainant earns $1,894.51 bi-weekly.  C-Exh.1</w:t>
      </w:r>
    </w:p>
    <w:p w:rsidR="002C5DE3" w:rsidRDefault="002C5DE3" w:rsidP="002C5DE3">
      <w:pPr>
        <w:pStyle w:val="ListParagraph"/>
        <w:rPr>
          <w:sz w:val="24"/>
          <w:szCs w:val="24"/>
        </w:rPr>
      </w:pPr>
    </w:p>
    <w:p w:rsidR="002C5DE3" w:rsidRDefault="009B2D1C" w:rsidP="00C419F9">
      <w:pPr>
        <w:numPr>
          <w:ilvl w:val="0"/>
          <w:numId w:val="18"/>
        </w:numPr>
        <w:tabs>
          <w:tab w:val="left" w:pos="2160"/>
        </w:tabs>
        <w:spacing w:line="360" w:lineRule="auto"/>
        <w:ind w:left="0" w:firstLine="1440"/>
        <w:rPr>
          <w:sz w:val="24"/>
          <w:szCs w:val="24"/>
        </w:rPr>
      </w:pPr>
      <w:r>
        <w:rPr>
          <w:sz w:val="24"/>
          <w:szCs w:val="24"/>
        </w:rPr>
        <w:t>There are two children in the home, plus the Complainant.  Tr. 12.</w:t>
      </w:r>
    </w:p>
    <w:p w:rsidR="005358D4" w:rsidRDefault="005358D4" w:rsidP="005358D4">
      <w:pPr>
        <w:pStyle w:val="ListParagraph"/>
        <w:rPr>
          <w:sz w:val="24"/>
          <w:szCs w:val="24"/>
        </w:rPr>
      </w:pPr>
    </w:p>
    <w:p w:rsidR="005358D4" w:rsidRDefault="005358D4" w:rsidP="00C419F9">
      <w:pPr>
        <w:numPr>
          <w:ilvl w:val="0"/>
          <w:numId w:val="18"/>
        </w:numPr>
        <w:tabs>
          <w:tab w:val="left" w:pos="2160"/>
        </w:tabs>
        <w:spacing w:line="360" w:lineRule="auto"/>
        <w:ind w:left="0" w:firstLine="1440"/>
        <w:rPr>
          <w:sz w:val="24"/>
          <w:szCs w:val="24"/>
        </w:rPr>
      </w:pPr>
      <w:r>
        <w:rPr>
          <w:sz w:val="24"/>
          <w:szCs w:val="24"/>
        </w:rPr>
        <w:t>The Complainant alleges no changes in circumstances.</w:t>
      </w:r>
    </w:p>
    <w:p w:rsidR="009B2D1C" w:rsidRDefault="009B2D1C" w:rsidP="009B2D1C">
      <w:pPr>
        <w:pStyle w:val="ListParagraph"/>
        <w:rPr>
          <w:sz w:val="24"/>
          <w:szCs w:val="24"/>
        </w:rPr>
      </w:pPr>
    </w:p>
    <w:p w:rsidR="009B2D1C" w:rsidRDefault="009B2D1C" w:rsidP="00C419F9">
      <w:pPr>
        <w:numPr>
          <w:ilvl w:val="0"/>
          <w:numId w:val="18"/>
        </w:numPr>
        <w:tabs>
          <w:tab w:val="left" w:pos="2160"/>
        </w:tabs>
        <w:spacing w:line="360" w:lineRule="auto"/>
        <w:ind w:left="0" w:firstLine="1440"/>
        <w:rPr>
          <w:sz w:val="24"/>
          <w:szCs w:val="24"/>
        </w:rPr>
      </w:pPr>
      <w:r>
        <w:rPr>
          <w:sz w:val="24"/>
          <w:szCs w:val="24"/>
        </w:rPr>
        <w:t>The Complainant receives no alimony or child support.</w:t>
      </w:r>
      <w:r w:rsidR="0022089A">
        <w:rPr>
          <w:sz w:val="24"/>
          <w:szCs w:val="24"/>
        </w:rPr>
        <w:t xml:space="preserve"> </w:t>
      </w:r>
      <w:r>
        <w:rPr>
          <w:sz w:val="24"/>
          <w:szCs w:val="24"/>
        </w:rPr>
        <w:t xml:space="preserve"> Tr. 12.</w:t>
      </w:r>
    </w:p>
    <w:p w:rsidR="009B2D1C" w:rsidRDefault="009B2D1C" w:rsidP="009B2D1C">
      <w:pPr>
        <w:pStyle w:val="ListParagraph"/>
        <w:rPr>
          <w:sz w:val="24"/>
          <w:szCs w:val="24"/>
        </w:rPr>
      </w:pPr>
    </w:p>
    <w:p w:rsidR="009B2D1C" w:rsidRDefault="009B2D1C" w:rsidP="00C419F9">
      <w:pPr>
        <w:numPr>
          <w:ilvl w:val="0"/>
          <w:numId w:val="18"/>
        </w:numPr>
        <w:tabs>
          <w:tab w:val="left" w:pos="2160"/>
        </w:tabs>
        <w:spacing w:line="360" w:lineRule="auto"/>
        <w:ind w:left="0" w:firstLine="1440"/>
        <w:rPr>
          <w:sz w:val="24"/>
          <w:szCs w:val="24"/>
        </w:rPr>
      </w:pPr>
      <w:r>
        <w:rPr>
          <w:sz w:val="24"/>
          <w:szCs w:val="24"/>
        </w:rPr>
        <w:t>The Complainant receives no public assistance.  Tr. 13.</w:t>
      </w:r>
    </w:p>
    <w:p w:rsidR="009B2D1C" w:rsidRDefault="009B2D1C" w:rsidP="009B2D1C">
      <w:pPr>
        <w:pStyle w:val="ListParagraph"/>
        <w:rPr>
          <w:sz w:val="24"/>
          <w:szCs w:val="24"/>
        </w:rPr>
      </w:pPr>
    </w:p>
    <w:p w:rsidR="009B2D1C" w:rsidRDefault="009B2D1C" w:rsidP="00C419F9">
      <w:pPr>
        <w:numPr>
          <w:ilvl w:val="0"/>
          <w:numId w:val="18"/>
        </w:numPr>
        <w:tabs>
          <w:tab w:val="left" w:pos="2160"/>
        </w:tabs>
        <w:spacing w:line="360" w:lineRule="auto"/>
        <w:ind w:left="0" w:firstLine="1440"/>
        <w:rPr>
          <w:sz w:val="24"/>
          <w:szCs w:val="24"/>
        </w:rPr>
      </w:pPr>
      <w:r>
        <w:rPr>
          <w:sz w:val="24"/>
          <w:szCs w:val="24"/>
        </w:rPr>
        <w:t>The Complainant’s home is a 3</w:t>
      </w:r>
      <w:r w:rsidR="00013700">
        <w:rPr>
          <w:sz w:val="24"/>
          <w:szCs w:val="24"/>
        </w:rPr>
        <w:t>,</w:t>
      </w:r>
      <w:r>
        <w:rPr>
          <w:sz w:val="24"/>
          <w:szCs w:val="24"/>
        </w:rPr>
        <w:t xml:space="preserve">000 </w:t>
      </w:r>
      <w:r w:rsidR="003B68D8">
        <w:rPr>
          <w:sz w:val="24"/>
          <w:szCs w:val="24"/>
        </w:rPr>
        <w:t xml:space="preserve">square </w:t>
      </w:r>
      <w:r>
        <w:rPr>
          <w:sz w:val="24"/>
          <w:szCs w:val="24"/>
        </w:rPr>
        <w:t>foot colonial.  Tr. 14.</w:t>
      </w:r>
    </w:p>
    <w:p w:rsidR="009B2D1C" w:rsidRDefault="009B2D1C" w:rsidP="009B2D1C">
      <w:pPr>
        <w:pStyle w:val="ListParagraph"/>
        <w:rPr>
          <w:sz w:val="24"/>
          <w:szCs w:val="24"/>
        </w:rPr>
      </w:pPr>
    </w:p>
    <w:p w:rsidR="009B2D1C" w:rsidRDefault="009B2D1C" w:rsidP="00C419F9">
      <w:pPr>
        <w:numPr>
          <w:ilvl w:val="0"/>
          <w:numId w:val="18"/>
        </w:numPr>
        <w:tabs>
          <w:tab w:val="left" w:pos="2160"/>
        </w:tabs>
        <w:spacing w:line="360" w:lineRule="auto"/>
        <w:ind w:left="0" w:firstLine="1440"/>
        <w:rPr>
          <w:sz w:val="24"/>
          <w:szCs w:val="24"/>
        </w:rPr>
      </w:pPr>
      <w:r>
        <w:rPr>
          <w:sz w:val="24"/>
          <w:szCs w:val="24"/>
        </w:rPr>
        <w:t>The Complainant is on budget billing at $355 per month.  Tr.</w:t>
      </w:r>
      <w:r w:rsidR="0095760E">
        <w:rPr>
          <w:sz w:val="24"/>
          <w:szCs w:val="24"/>
        </w:rPr>
        <w:t> </w:t>
      </w:r>
      <w:r>
        <w:rPr>
          <w:sz w:val="24"/>
          <w:szCs w:val="24"/>
        </w:rPr>
        <w:t>24,</w:t>
      </w:r>
      <w:r w:rsidR="0095760E">
        <w:rPr>
          <w:sz w:val="24"/>
          <w:szCs w:val="24"/>
        </w:rPr>
        <w:t> </w:t>
      </w:r>
      <w:r>
        <w:rPr>
          <w:sz w:val="24"/>
          <w:szCs w:val="24"/>
        </w:rPr>
        <w:t>25.</w:t>
      </w:r>
    </w:p>
    <w:p w:rsidR="009B2D1C" w:rsidRDefault="009B2D1C" w:rsidP="009B2D1C">
      <w:pPr>
        <w:pStyle w:val="ListParagraph"/>
        <w:rPr>
          <w:sz w:val="24"/>
          <w:szCs w:val="24"/>
        </w:rPr>
      </w:pPr>
    </w:p>
    <w:p w:rsidR="009B2D1C" w:rsidRDefault="009B2D1C" w:rsidP="00C419F9">
      <w:pPr>
        <w:numPr>
          <w:ilvl w:val="0"/>
          <w:numId w:val="18"/>
        </w:numPr>
        <w:tabs>
          <w:tab w:val="left" w:pos="2160"/>
        </w:tabs>
        <w:spacing w:line="360" w:lineRule="auto"/>
        <w:ind w:left="0" w:firstLine="1440"/>
        <w:rPr>
          <w:sz w:val="24"/>
          <w:szCs w:val="24"/>
        </w:rPr>
      </w:pPr>
      <w:r>
        <w:rPr>
          <w:sz w:val="24"/>
          <w:szCs w:val="24"/>
        </w:rPr>
        <w:t>As of July 11, 2011, the Complainant’s past due balance was $4</w:t>
      </w:r>
      <w:r w:rsidR="00DB63BE">
        <w:rPr>
          <w:sz w:val="24"/>
          <w:szCs w:val="24"/>
        </w:rPr>
        <w:t>,</w:t>
      </w:r>
      <w:r>
        <w:rPr>
          <w:sz w:val="24"/>
          <w:szCs w:val="24"/>
        </w:rPr>
        <w:t>616.30.</w:t>
      </w:r>
    </w:p>
    <w:p w:rsidR="009B2D1C" w:rsidRDefault="009B2D1C" w:rsidP="009B2D1C">
      <w:pPr>
        <w:pStyle w:val="ListParagraph"/>
        <w:rPr>
          <w:sz w:val="24"/>
          <w:szCs w:val="24"/>
        </w:rPr>
      </w:pPr>
    </w:p>
    <w:p w:rsidR="009B2D1C" w:rsidRDefault="009B2D1C" w:rsidP="00C419F9">
      <w:pPr>
        <w:numPr>
          <w:ilvl w:val="0"/>
          <w:numId w:val="18"/>
        </w:numPr>
        <w:tabs>
          <w:tab w:val="left" w:pos="2160"/>
        </w:tabs>
        <w:spacing w:line="360" w:lineRule="auto"/>
        <w:ind w:left="0" w:firstLine="1440"/>
        <w:rPr>
          <w:sz w:val="24"/>
          <w:szCs w:val="24"/>
        </w:rPr>
      </w:pPr>
      <w:r>
        <w:rPr>
          <w:sz w:val="24"/>
          <w:szCs w:val="24"/>
        </w:rPr>
        <w:t>As of the date of the hearing, the Complainant’s past due balance was $4</w:t>
      </w:r>
      <w:r w:rsidR="00445C8B">
        <w:rPr>
          <w:sz w:val="24"/>
          <w:szCs w:val="24"/>
        </w:rPr>
        <w:t>,</w:t>
      </w:r>
      <w:r>
        <w:rPr>
          <w:sz w:val="24"/>
          <w:szCs w:val="24"/>
        </w:rPr>
        <w:t>865.71.  Tr. 25.</w:t>
      </w:r>
    </w:p>
    <w:p w:rsidR="009B2D1C" w:rsidRDefault="009B2D1C" w:rsidP="009B2D1C">
      <w:pPr>
        <w:pStyle w:val="ListParagraph"/>
        <w:rPr>
          <w:sz w:val="24"/>
          <w:szCs w:val="24"/>
        </w:rPr>
      </w:pPr>
    </w:p>
    <w:p w:rsidR="009B2D1C" w:rsidRDefault="00D55A71" w:rsidP="00C419F9">
      <w:pPr>
        <w:numPr>
          <w:ilvl w:val="0"/>
          <w:numId w:val="18"/>
        </w:numPr>
        <w:tabs>
          <w:tab w:val="left" w:pos="2160"/>
        </w:tabs>
        <w:spacing w:line="360" w:lineRule="auto"/>
        <w:ind w:left="0" w:firstLine="1440"/>
        <w:rPr>
          <w:sz w:val="24"/>
          <w:szCs w:val="24"/>
        </w:rPr>
      </w:pPr>
      <w:r>
        <w:rPr>
          <w:sz w:val="24"/>
          <w:szCs w:val="24"/>
        </w:rPr>
        <w:t xml:space="preserve">Since 2003, the Complainant has defaulted on twenty-three payment arrangements.  PPL </w:t>
      </w:r>
      <w:proofErr w:type="spellStart"/>
      <w:r>
        <w:rPr>
          <w:sz w:val="24"/>
          <w:szCs w:val="24"/>
        </w:rPr>
        <w:t>Exh</w:t>
      </w:r>
      <w:proofErr w:type="spellEnd"/>
      <w:r>
        <w:rPr>
          <w:sz w:val="24"/>
          <w:szCs w:val="24"/>
        </w:rPr>
        <w:t>. 3.</w:t>
      </w:r>
    </w:p>
    <w:p w:rsidR="00D55A71" w:rsidRDefault="00D55A71" w:rsidP="00D55A71">
      <w:pPr>
        <w:pStyle w:val="ListParagraph"/>
        <w:rPr>
          <w:sz w:val="24"/>
          <w:szCs w:val="24"/>
        </w:rPr>
      </w:pPr>
    </w:p>
    <w:p w:rsidR="00D55A71" w:rsidRDefault="00D55A71" w:rsidP="00C419F9">
      <w:pPr>
        <w:numPr>
          <w:ilvl w:val="0"/>
          <w:numId w:val="18"/>
        </w:numPr>
        <w:tabs>
          <w:tab w:val="left" w:pos="2160"/>
        </w:tabs>
        <w:spacing w:line="360" w:lineRule="auto"/>
        <w:ind w:left="0" w:firstLine="1440"/>
        <w:rPr>
          <w:sz w:val="24"/>
          <w:szCs w:val="24"/>
        </w:rPr>
      </w:pPr>
      <w:r>
        <w:rPr>
          <w:sz w:val="24"/>
          <w:szCs w:val="24"/>
        </w:rPr>
        <w:t>The Complainant’s income puts her at Level 3.  Tr. 27.</w:t>
      </w:r>
    </w:p>
    <w:p w:rsidR="001822F1" w:rsidRDefault="001822F1" w:rsidP="00DE2348">
      <w:pPr>
        <w:spacing w:line="360" w:lineRule="auto"/>
        <w:jc w:val="center"/>
        <w:rPr>
          <w:sz w:val="24"/>
          <w:szCs w:val="24"/>
          <w:u w:val="single"/>
        </w:rPr>
      </w:pPr>
    </w:p>
    <w:p w:rsidR="00C419F9" w:rsidRDefault="00913C24" w:rsidP="005358D4">
      <w:pPr>
        <w:jc w:val="center"/>
        <w:rPr>
          <w:sz w:val="24"/>
          <w:szCs w:val="24"/>
          <w:u w:val="single"/>
        </w:rPr>
      </w:pPr>
      <w:r>
        <w:rPr>
          <w:sz w:val="24"/>
          <w:szCs w:val="24"/>
          <w:u w:val="single"/>
        </w:rPr>
        <w:br w:type="page"/>
      </w:r>
      <w:r w:rsidR="00C419F9">
        <w:rPr>
          <w:sz w:val="24"/>
          <w:szCs w:val="24"/>
          <w:u w:val="single"/>
        </w:rPr>
        <w:t>DISCUSSION</w:t>
      </w:r>
    </w:p>
    <w:p w:rsidR="00C419F9" w:rsidRDefault="00C419F9" w:rsidP="00DE2348">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D55A71">
        <w:rPr>
          <w:sz w:val="24"/>
          <w:szCs w:val="24"/>
        </w:rPr>
        <w:t>her</w:t>
      </w:r>
      <w:r w:rsidRPr="000B72BC">
        <w:rPr>
          <w:sz w:val="24"/>
          <w:szCs w:val="24"/>
        </w:rPr>
        <w:t xml:space="preserve"> case.  </w:t>
      </w:r>
      <w:proofErr w:type="gramStart"/>
      <w:r w:rsidRPr="000B72BC">
        <w:rPr>
          <w:sz w:val="24"/>
          <w:szCs w:val="24"/>
        </w:rPr>
        <w:t>66 Pa. C.S. §</w:t>
      </w:r>
      <w:r>
        <w:rPr>
          <w:sz w:val="24"/>
          <w:szCs w:val="24"/>
        </w:rPr>
        <w:t xml:space="preserve"> </w:t>
      </w:r>
      <w:r w:rsidRPr="000B72BC">
        <w:rPr>
          <w:sz w:val="24"/>
          <w:szCs w:val="24"/>
        </w:rPr>
        <w:t>332 (a).</w:t>
      </w:r>
      <w:proofErr w:type="gramEnd"/>
      <w:r w:rsidRPr="000B72BC">
        <w:rPr>
          <w:sz w:val="24"/>
          <w:szCs w:val="24"/>
        </w:rPr>
        <w:t xml:space="preserve">  </w:t>
      </w:r>
      <w:r w:rsidRPr="000B72BC">
        <w:rPr>
          <w:spacing w:val="-3"/>
          <w:sz w:val="24"/>
          <w:szCs w:val="24"/>
        </w:rPr>
        <w:t xml:space="preserve">This must be shown by a preponderance of the evidence.  </w:t>
      </w:r>
      <w:proofErr w:type="gramStart"/>
      <w:r w:rsidRPr="000B72BC">
        <w:rPr>
          <w:i/>
          <w:spacing w:val="-3"/>
          <w:sz w:val="24"/>
          <w:szCs w:val="24"/>
        </w:rPr>
        <w:t xml:space="preserve">Samuel J. </w:t>
      </w:r>
      <w:proofErr w:type="spellStart"/>
      <w:r w:rsidRPr="000B72BC">
        <w:rPr>
          <w:i/>
          <w:spacing w:val="-3"/>
          <w:sz w:val="24"/>
          <w:szCs w:val="24"/>
        </w:rPr>
        <w:t>Lansberry</w:t>
      </w:r>
      <w:proofErr w:type="spellEnd"/>
      <w:r w:rsidRPr="000B72BC">
        <w:rPr>
          <w:i/>
          <w:spacing w:val="-3"/>
          <w:sz w:val="24"/>
          <w:szCs w:val="24"/>
        </w:rPr>
        <w:t>, Inc. v. Pa. Pub</w:t>
      </w:r>
      <w:r w:rsidR="00223E7E">
        <w:rPr>
          <w:i/>
          <w:spacing w:val="-3"/>
          <w:sz w:val="24"/>
          <w:szCs w:val="24"/>
        </w:rPr>
        <w:t>.</w:t>
      </w:r>
      <w:proofErr w:type="gramEnd"/>
      <w:r w:rsidR="00594CE9">
        <w:rPr>
          <w:i/>
          <w:spacing w:val="-3"/>
          <w:sz w:val="24"/>
          <w:szCs w:val="24"/>
        </w:rPr>
        <w:t xml:space="preserve"> </w:t>
      </w:r>
      <w:proofErr w:type="gramStart"/>
      <w:r w:rsidRPr="000B72BC">
        <w:rPr>
          <w:i/>
          <w:spacing w:val="-3"/>
          <w:sz w:val="24"/>
          <w:szCs w:val="24"/>
        </w:rPr>
        <w:t>Uti</w:t>
      </w:r>
      <w:r w:rsidR="00223E7E">
        <w:rPr>
          <w:i/>
          <w:spacing w:val="-3"/>
          <w:sz w:val="24"/>
          <w:szCs w:val="24"/>
        </w:rPr>
        <w:t>l.</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578 A.2d 600 (1990), </w:t>
      </w:r>
      <w:r w:rsidRPr="000B72BC">
        <w:rPr>
          <w:i/>
          <w:spacing w:val="-3"/>
          <w:sz w:val="24"/>
          <w:szCs w:val="24"/>
        </w:rPr>
        <w:t>alloc.</w:t>
      </w:r>
      <w:proofErr w:type="gramEnd"/>
      <w:r w:rsidRPr="000B72BC">
        <w:rPr>
          <w:i/>
          <w:spacing w:val="-3"/>
          <w:sz w:val="24"/>
          <w:szCs w:val="24"/>
        </w:rPr>
        <w:t xml:space="preserve"> </w:t>
      </w:r>
      <w:proofErr w:type="gramStart"/>
      <w:r w:rsidRPr="000B72BC">
        <w:rPr>
          <w:i/>
          <w:spacing w:val="-3"/>
          <w:sz w:val="24"/>
          <w:szCs w:val="24"/>
        </w:rPr>
        <w:t>den.</w:t>
      </w:r>
      <w:r w:rsidRPr="000B72BC">
        <w:rPr>
          <w:spacing w:val="-3"/>
          <w:sz w:val="24"/>
          <w:szCs w:val="24"/>
        </w:rPr>
        <w:t>, 602 A.2d 863 (1992).</w:t>
      </w:r>
      <w:proofErr w:type="gramEnd"/>
      <w:r w:rsidRPr="000B72BC">
        <w:rPr>
          <w:spacing w:val="-3"/>
          <w:sz w:val="24"/>
          <w:szCs w:val="24"/>
        </w:rPr>
        <w:t xml:space="preserve">  That is,</w:t>
      </w:r>
      <w:r w:rsidR="00D55A71">
        <w:rPr>
          <w:spacing w:val="-3"/>
          <w:sz w:val="24"/>
          <w:szCs w:val="24"/>
        </w:rPr>
        <w:t xml:space="preserve"> the Complainant must</w:t>
      </w:r>
      <w:r w:rsidRPr="000B72BC">
        <w:rPr>
          <w:spacing w:val="-3"/>
          <w:sz w:val="24"/>
          <w:szCs w:val="24"/>
        </w:rPr>
        <w:t xml:space="preserve"> present evidence more convincing, by even the smallest amount, than that presented by the other party.  </w:t>
      </w:r>
      <w:proofErr w:type="gramStart"/>
      <w:r w:rsidR="00223E7E">
        <w:rPr>
          <w:i/>
          <w:spacing w:val="-3"/>
          <w:sz w:val="24"/>
          <w:szCs w:val="24"/>
        </w:rPr>
        <w:t>Se-Ling Hosiery v. Marg</w:t>
      </w:r>
      <w:r w:rsidRPr="000B72BC">
        <w:rPr>
          <w:i/>
          <w:spacing w:val="-3"/>
          <w:sz w:val="24"/>
          <w:szCs w:val="24"/>
        </w:rPr>
        <w:t>ulies</w:t>
      </w:r>
      <w:r w:rsidRPr="000B72BC">
        <w:rPr>
          <w:spacing w:val="-3"/>
          <w:sz w:val="24"/>
          <w:szCs w:val="24"/>
        </w:rPr>
        <w:t>, 70 A.2d 854 (1950).</w:t>
      </w:r>
      <w:proofErr w:type="gramEnd"/>
      <w:r w:rsidRPr="000B72BC">
        <w:rPr>
          <w:spacing w:val="-3"/>
          <w:sz w:val="24"/>
          <w:szCs w:val="24"/>
        </w:rPr>
        <w:t xml:space="preserve">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proofErr w:type="gramStart"/>
      <w:r w:rsidRPr="000B72BC">
        <w:rPr>
          <w:i/>
          <w:spacing w:val="-3"/>
          <w:sz w:val="24"/>
          <w:szCs w:val="24"/>
        </w:rPr>
        <w:t xml:space="preserve">Mill v. Pa. Publ. Util. </w:t>
      </w:r>
      <w:proofErr w:type="spellStart"/>
      <w:r w:rsidRPr="000B72BC">
        <w:rPr>
          <w:i/>
          <w:spacing w:val="-3"/>
          <w:sz w:val="24"/>
          <w:szCs w:val="24"/>
        </w:rPr>
        <w:t>Comm’n</w:t>
      </w:r>
      <w:proofErr w:type="spellEnd"/>
      <w:r w:rsidRPr="000B72BC">
        <w:rPr>
          <w:spacing w:val="-3"/>
          <w:sz w:val="24"/>
          <w:szCs w:val="24"/>
        </w:rPr>
        <w:t xml:space="preserve">, 447 A.2d 1100 (1982); </w:t>
      </w:r>
      <w:proofErr w:type="spellStart"/>
      <w:r w:rsidR="003E594B">
        <w:rPr>
          <w:i/>
          <w:spacing w:val="-3"/>
          <w:sz w:val="24"/>
          <w:szCs w:val="24"/>
        </w:rPr>
        <w:t>Edan</w:t>
      </w:r>
      <w:proofErr w:type="spellEnd"/>
      <w:r w:rsidR="003E594B">
        <w:rPr>
          <w:i/>
          <w:spacing w:val="-3"/>
          <w:sz w:val="24"/>
          <w:szCs w:val="24"/>
        </w:rPr>
        <w:t xml:space="preserve"> Transportation Corp.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i/>
          <w:spacing w:val="-3"/>
          <w:sz w:val="24"/>
          <w:szCs w:val="24"/>
        </w:rPr>
        <w:t>,</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2016EF">
        <w:rPr>
          <w:spacing w:val="-3"/>
          <w:sz w:val="24"/>
          <w:szCs w:val="24"/>
        </w:rPr>
        <w:t> </w:t>
      </w:r>
      <w:r w:rsidRPr="000B72BC">
        <w:rPr>
          <w:spacing w:val="-3"/>
          <w:sz w:val="24"/>
          <w:szCs w:val="24"/>
        </w:rPr>
        <w:t>704.</w:t>
      </w:r>
      <w:proofErr w:type="gramEnd"/>
      <w:r w:rsidRPr="000B72BC">
        <w:rPr>
          <w:spacing w:val="-3"/>
          <w:sz w:val="24"/>
          <w:szCs w:val="24"/>
        </w:rPr>
        <w:t xml:space="preserve">  More is required than a mere trace of evidence or a suspicion of the existence of a fact sought to be established.  </w:t>
      </w:r>
      <w:proofErr w:type="gramStart"/>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proofErr w:type="gramEnd"/>
      <w:r w:rsidRPr="000B72BC">
        <w:rPr>
          <w:i/>
          <w:spacing w:val="-3"/>
          <w:sz w:val="24"/>
          <w:szCs w:val="24"/>
        </w:rPr>
        <w:t xml:space="preserve"> </w:t>
      </w:r>
      <w:proofErr w:type="gramStart"/>
      <w:r w:rsidRPr="000B72BC">
        <w:rPr>
          <w:i/>
          <w:spacing w:val="-3"/>
          <w:sz w:val="24"/>
          <w:szCs w:val="24"/>
        </w:rPr>
        <w:t>Util</w:t>
      </w:r>
      <w:r w:rsidR="003E594B">
        <w:rPr>
          <w:i/>
          <w:spacing w:val="-3"/>
          <w:sz w:val="24"/>
          <w:szCs w:val="24"/>
        </w:rPr>
        <w:t>.</w:t>
      </w:r>
      <w:r w:rsidRPr="000B72BC">
        <w:rPr>
          <w:i/>
          <w:spacing w:val="-3"/>
          <w:sz w:val="24"/>
          <w:szCs w:val="24"/>
        </w:rPr>
        <w:t xml:space="preserve"> </w:t>
      </w:r>
      <w:proofErr w:type="spellStart"/>
      <w:r w:rsidRPr="000B72BC">
        <w:rPr>
          <w:i/>
          <w:spacing w:val="-3"/>
          <w:sz w:val="24"/>
          <w:szCs w:val="24"/>
        </w:rPr>
        <w:t>Comm’n</w:t>
      </w:r>
      <w:proofErr w:type="spellEnd"/>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w:t>
      </w:r>
      <w:proofErr w:type="gramEnd"/>
      <w:r w:rsidRPr="000B72BC">
        <w:rPr>
          <w:i/>
          <w:spacing w:val="-3"/>
          <w:sz w:val="24"/>
          <w:szCs w:val="24"/>
        </w:rPr>
        <w:t xml:space="preserve"> </w:t>
      </w:r>
      <w:proofErr w:type="gramStart"/>
      <w:r w:rsidRPr="000B72BC">
        <w:rPr>
          <w:i/>
          <w:spacing w:val="-3"/>
          <w:sz w:val="24"/>
          <w:szCs w:val="24"/>
        </w:rPr>
        <w:t>of</w:t>
      </w:r>
      <w:proofErr w:type="gramEnd"/>
      <w:r w:rsidRPr="000B72BC">
        <w:rPr>
          <w:i/>
          <w:spacing w:val="-3"/>
          <w:sz w:val="24"/>
          <w:szCs w:val="24"/>
        </w:rPr>
        <w:t xml:space="preserve">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 xml:space="preserve">The offense must be a violation of the Public Utility Code, the Commission’s regulations, or an outstanding order of the Commission.  </w:t>
      </w:r>
      <w:proofErr w:type="gramStart"/>
      <w:r w:rsidRPr="000B72BC">
        <w:rPr>
          <w:sz w:val="24"/>
          <w:szCs w:val="24"/>
        </w:rPr>
        <w:t>66 Pa. C.S. §</w:t>
      </w:r>
      <w:r w:rsidR="00302168">
        <w:rPr>
          <w:sz w:val="24"/>
          <w:szCs w:val="24"/>
        </w:rPr>
        <w:t> </w:t>
      </w:r>
      <w:r w:rsidRPr="000B72BC">
        <w:rPr>
          <w:sz w:val="24"/>
          <w:szCs w:val="24"/>
        </w:rPr>
        <w:t>701.</w:t>
      </w:r>
      <w:proofErr w:type="gramEnd"/>
    </w:p>
    <w:p w:rsidR="00D55A71" w:rsidRDefault="00D55A71" w:rsidP="00B0541E">
      <w:pPr>
        <w:spacing w:line="360" w:lineRule="auto"/>
        <w:rPr>
          <w:sz w:val="24"/>
          <w:szCs w:val="24"/>
        </w:rPr>
      </w:pPr>
    </w:p>
    <w:p w:rsidR="00614A34" w:rsidRDefault="00D55A71" w:rsidP="00D55A71">
      <w:pPr>
        <w:spacing w:line="360" w:lineRule="auto"/>
        <w:ind w:firstLine="1440"/>
        <w:rPr>
          <w:sz w:val="24"/>
          <w:szCs w:val="24"/>
        </w:rPr>
      </w:pPr>
      <w:r>
        <w:rPr>
          <w:sz w:val="24"/>
          <w:szCs w:val="24"/>
        </w:rPr>
        <w:t xml:space="preserve">There is no offense alleged here and there is no violation alleged.  The Complainant simply alleges that based on her income, family size and </w:t>
      </w:r>
      <w:r w:rsidR="002B515C">
        <w:rPr>
          <w:sz w:val="24"/>
          <w:szCs w:val="24"/>
        </w:rPr>
        <w:t>expenses that</w:t>
      </w:r>
      <w:r>
        <w:rPr>
          <w:sz w:val="24"/>
          <w:szCs w:val="24"/>
        </w:rPr>
        <w:t xml:space="preserve"> she cannot pay for the electricity that she uses. </w:t>
      </w:r>
      <w:r w:rsidR="00614A34">
        <w:rPr>
          <w:sz w:val="24"/>
          <w:szCs w:val="24"/>
        </w:rPr>
        <w:t>She makes no allegations of changed circumstances</w:t>
      </w:r>
      <w:r w:rsidR="00AD47A5">
        <w:rPr>
          <w:sz w:val="24"/>
          <w:szCs w:val="24"/>
        </w:rPr>
        <w:t xml:space="preserve"> (income, size of family, expenses)</w:t>
      </w:r>
      <w:r w:rsidR="00614A34">
        <w:rPr>
          <w:sz w:val="24"/>
          <w:szCs w:val="24"/>
        </w:rPr>
        <w:t>.</w:t>
      </w:r>
    </w:p>
    <w:p w:rsidR="00614A34" w:rsidRDefault="00614A34" w:rsidP="00D55A71">
      <w:pPr>
        <w:spacing w:line="360" w:lineRule="auto"/>
        <w:ind w:firstLine="1440"/>
        <w:rPr>
          <w:sz w:val="24"/>
          <w:szCs w:val="24"/>
        </w:rPr>
      </w:pPr>
    </w:p>
    <w:p w:rsidR="00D55A71" w:rsidRDefault="00D55A71" w:rsidP="00D55A71">
      <w:pPr>
        <w:spacing w:line="360" w:lineRule="auto"/>
        <w:ind w:firstLine="1440"/>
        <w:rPr>
          <w:sz w:val="24"/>
          <w:szCs w:val="24"/>
        </w:rPr>
      </w:pPr>
      <w:r>
        <w:rPr>
          <w:sz w:val="24"/>
          <w:szCs w:val="24"/>
        </w:rPr>
        <w:t xml:space="preserve"> Her arrearage at the time of the </w:t>
      </w:r>
      <w:r w:rsidR="002B515C">
        <w:rPr>
          <w:sz w:val="24"/>
          <w:szCs w:val="24"/>
        </w:rPr>
        <w:t>hearing</w:t>
      </w:r>
      <w:r>
        <w:rPr>
          <w:sz w:val="24"/>
          <w:szCs w:val="24"/>
        </w:rPr>
        <w:t xml:space="preserve"> was nearly $5,000.</w:t>
      </w:r>
      <w:r w:rsidR="00D75B40">
        <w:rPr>
          <w:sz w:val="24"/>
          <w:szCs w:val="24"/>
        </w:rPr>
        <w:t xml:space="preserve">  She asks for a lower payment arrangement, but has defaulted on more than twenty</w:t>
      </w:r>
      <w:r w:rsidR="00AD47A5">
        <w:rPr>
          <w:sz w:val="24"/>
          <w:szCs w:val="24"/>
        </w:rPr>
        <w:t>.</w:t>
      </w:r>
      <w:r w:rsidR="00614A34">
        <w:rPr>
          <w:sz w:val="24"/>
          <w:szCs w:val="24"/>
        </w:rPr>
        <w:t xml:space="preserve">  </w:t>
      </w:r>
      <w:proofErr w:type="gramStart"/>
      <w:r w:rsidR="00614A34">
        <w:rPr>
          <w:sz w:val="24"/>
          <w:szCs w:val="24"/>
        </w:rPr>
        <w:t xml:space="preserve">PPL </w:t>
      </w:r>
      <w:proofErr w:type="spellStart"/>
      <w:r w:rsidR="00614A34">
        <w:rPr>
          <w:sz w:val="24"/>
          <w:szCs w:val="24"/>
        </w:rPr>
        <w:t>Exh</w:t>
      </w:r>
      <w:proofErr w:type="spellEnd"/>
      <w:r w:rsidR="00614A34">
        <w:rPr>
          <w:sz w:val="24"/>
          <w:szCs w:val="24"/>
        </w:rPr>
        <w:t>.</w:t>
      </w:r>
      <w:proofErr w:type="gramEnd"/>
      <w:r w:rsidR="00614A34">
        <w:rPr>
          <w:sz w:val="24"/>
          <w:szCs w:val="24"/>
        </w:rPr>
        <w:t xml:space="preserve"> 3</w:t>
      </w:r>
    </w:p>
    <w:p w:rsidR="002B515C" w:rsidRDefault="002B515C" w:rsidP="00D55A71">
      <w:pPr>
        <w:spacing w:line="360" w:lineRule="auto"/>
        <w:ind w:firstLine="1440"/>
        <w:rPr>
          <w:sz w:val="24"/>
          <w:szCs w:val="24"/>
        </w:rPr>
      </w:pPr>
    </w:p>
    <w:p w:rsidR="00B56939" w:rsidRDefault="002B515C" w:rsidP="00614A34">
      <w:pPr>
        <w:spacing w:line="360" w:lineRule="auto"/>
        <w:ind w:firstLine="1440"/>
        <w:rPr>
          <w:sz w:val="24"/>
          <w:szCs w:val="24"/>
        </w:rPr>
      </w:pPr>
      <w:r>
        <w:rPr>
          <w:sz w:val="24"/>
          <w:szCs w:val="24"/>
        </w:rPr>
        <w:t>The Complainant’s bi-weekly gross pay is $1,894.51.  That puts her between 250</w:t>
      </w:r>
      <w:r w:rsidR="008B6B96">
        <w:rPr>
          <w:sz w:val="24"/>
          <w:szCs w:val="24"/>
        </w:rPr>
        <w:noBreakHyphen/>
      </w:r>
      <w:proofErr w:type="gramStart"/>
      <w:r>
        <w:rPr>
          <w:sz w:val="24"/>
          <w:szCs w:val="24"/>
        </w:rPr>
        <w:t>300%</w:t>
      </w:r>
      <w:proofErr w:type="gramEnd"/>
      <w:r>
        <w:rPr>
          <w:sz w:val="24"/>
          <w:szCs w:val="24"/>
        </w:rPr>
        <w:t xml:space="preserve"> of the Federal Poverty Index Guidelines for a family of three.</w:t>
      </w:r>
      <w:r w:rsidR="00B56939">
        <w:rPr>
          <w:sz w:val="24"/>
          <w:szCs w:val="24"/>
        </w:rPr>
        <w:br w:type="page"/>
      </w:r>
    </w:p>
    <w:p w:rsidR="00614A34" w:rsidRPr="00A7637D" w:rsidRDefault="00614A34" w:rsidP="00614A34">
      <w:pPr>
        <w:ind w:left="2160" w:right="1440"/>
        <w:rPr>
          <w:color w:val="333333"/>
          <w:sz w:val="24"/>
          <w:szCs w:val="24"/>
        </w:rPr>
      </w:pPr>
      <w:r w:rsidRPr="00A7637D">
        <w:rPr>
          <w:color w:val="333333"/>
          <w:sz w:val="24"/>
          <w:szCs w:val="24"/>
        </w:rPr>
        <w:t xml:space="preserve">Section 1405 reads as follows: </w:t>
      </w:r>
    </w:p>
    <w:p w:rsidR="00614A34" w:rsidRPr="00A7637D" w:rsidRDefault="00614A34" w:rsidP="00614A34">
      <w:pPr>
        <w:ind w:left="2160" w:right="1440"/>
        <w:rPr>
          <w:color w:val="333333"/>
          <w:sz w:val="24"/>
          <w:szCs w:val="24"/>
        </w:rPr>
      </w:pPr>
      <w:r w:rsidRPr="00A7637D">
        <w:rPr>
          <w:color w:val="333333"/>
          <w:sz w:val="24"/>
          <w:szCs w:val="24"/>
        </w:rPr>
        <w:br/>
      </w:r>
      <w:r w:rsidRPr="00A7637D">
        <w:rPr>
          <w:color w:val="333333"/>
          <w:sz w:val="24"/>
          <w:szCs w:val="24"/>
        </w:rPr>
        <w:br/>
        <w:t xml:space="preserve">§ 1405. Payment </w:t>
      </w:r>
      <w:proofErr w:type="gramStart"/>
      <w:r w:rsidRPr="00A7637D">
        <w:rPr>
          <w:color w:val="333333"/>
          <w:sz w:val="24"/>
          <w:szCs w:val="24"/>
        </w:rPr>
        <w:t>agreements</w:t>
      </w:r>
      <w:proofErr w:type="gramEnd"/>
      <w:r w:rsidRPr="00A7637D">
        <w:rPr>
          <w:color w:val="333333"/>
          <w:sz w:val="24"/>
          <w:szCs w:val="24"/>
        </w:rPr>
        <w:br/>
      </w:r>
      <w:r w:rsidRPr="00A7637D">
        <w:rPr>
          <w:color w:val="333333"/>
          <w:sz w:val="24"/>
          <w:szCs w:val="24"/>
        </w:rPr>
        <w:br/>
        <w:t>(a) 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A7637D">
        <w:rPr>
          <w:color w:val="333333"/>
          <w:sz w:val="24"/>
          <w:szCs w:val="24"/>
        </w:rPr>
        <w:br/>
      </w:r>
      <w:r w:rsidRPr="00A7637D">
        <w:rPr>
          <w:color w:val="333333"/>
          <w:sz w:val="24"/>
          <w:szCs w:val="24"/>
        </w:rPr>
        <w:br/>
      </w:r>
      <w:proofErr w:type="gramStart"/>
      <w:r w:rsidRPr="00A7637D">
        <w:rPr>
          <w:color w:val="333333"/>
          <w:sz w:val="24"/>
          <w:szCs w:val="24"/>
        </w:rPr>
        <w:t>* * *</w:t>
      </w:r>
      <w:r w:rsidRPr="00A7637D">
        <w:rPr>
          <w:color w:val="333333"/>
          <w:sz w:val="24"/>
          <w:szCs w:val="24"/>
        </w:rPr>
        <w:br/>
      </w:r>
      <w:r w:rsidRPr="00A7637D">
        <w:rPr>
          <w:color w:val="333333"/>
          <w:sz w:val="24"/>
          <w:szCs w:val="24"/>
        </w:rPr>
        <w:br/>
        <w:t>(d) NUMBER OF PAYMENT AGREEMENTS.</w:t>
      </w:r>
      <w:proofErr w:type="gramEnd"/>
      <w:r w:rsidRPr="00A7637D">
        <w:rPr>
          <w:color w:val="333333"/>
          <w:sz w:val="24"/>
          <w:szCs w:val="24"/>
        </w:rPr>
        <w:t xml:space="preserve">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Pr="00A7637D">
        <w:rPr>
          <w:color w:val="333333"/>
          <w:sz w:val="24"/>
          <w:szCs w:val="24"/>
        </w:rPr>
        <w:br/>
      </w:r>
      <w:r w:rsidRPr="00A7637D">
        <w:rPr>
          <w:color w:val="333333"/>
          <w:sz w:val="24"/>
          <w:szCs w:val="24"/>
        </w:rPr>
        <w:br/>
        <w:t>(e) 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sidRPr="00A7637D">
        <w:rPr>
          <w:color w:val="333333"/>
          <w:sz w:val="24"/>
          <w:szCs w:val="24"/>
        </w:rPr>
        <w:br/>
      </w:r>
      <w:r w:rsidRPr="00A7637D">
        <w:rPr>
          <w:color w:val="333333"/>
          <w:sz w:val="24"/>
          <w:szCs w:val="24"/>
        </w:rPr>
        <w:br/>
        <w:t>(f) FAILURE TO COMPLY WITH PAYMENT AGREEMENT. -- Failure of a customer to comply with the terms of a payment agreement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614A34" w:rsidRDefault="00614A34" w:rsidP="00614A34">
      <w:pPr>
        <w:ind w:right="1440" w:firstLine="1440"/>
        <w:rPr>
          <w:color w:val="333333"/>
          <w:sz w:val="24"/>
          <w:szCs w:val="24"/>
        </w:rPr>
      </w:pPr>
      <w:r w:rsidRPr="00551FDD">
        <w:rPr>
          <w:color w:val="333333"/>
          <w:sz w:val="24"/>
          <w:szCs w:val="24"/>
        </w:rPr>
        <w:br/>
        <w:t>66 Pa. C.S. § 1405</w:t>
      </w:r>
    </w:p>
    <w:p w:rsidR="00614A34" w:rsidRDefault="00614A34" w:rsidP="00614A34">
      <w:pPr>
        <w:ind w:right="1440" w:firstLine="1440"/>
        <w:rPr>
          <w:color w:val="333333"/>
          <w:sz w:val="24"/>
          <w:szCs w:val="24"/>
        </w:rPr>
      </w:pPr>
    </w:p>
    <w:p w:rsidR="00614A34" w:rsidRDefault="00614A34" w:rsidP="00614A34">
      <w:pPr>
        <w:spacing w:line="360" w:lineRule="auto"/>
        <w:ind w:firstLine="1440"/>
        <w:rPr>
          <w:i/>
          <w:color w:val="333333"/>
          <w:sz w:val="24"/>
          <w:szCs w:val="24"/>
        </w:rPr>
      </w:pPr>
      <w:r w:rsidRPr="00551FDD">
        <w:rPr>
          <w:color w:val="333333"/>
          <w:sz w:val="24"/>
          <w:szCs w:val="24"/>
        </w:rPr>
        <w:t>Complainants who claim inability to pay their utility bills are not entitled to receive Commission-issued payment arrangements. It is up to the discretion of the Commission to determine, on a case-by-case basis, whether both parties - the customer complainant and the utility company - will benefit from the issuance of a payment arrangement pursuant to the guidelines of Chapter 14</w:t>
      </w:r>
      <w:r w:rsidR="007B73DA">
        <w:rPr>
          <w:color w:val="333333"/>
          <w:sz w:val="24"/>
          <w:szCs w:val="24"/>
        </w:rPr>
        <w:t>.</w:t>
      </w:r>
      <w:r>
        <w:rPr>
          <w:color w:val="333333"/>
          <w:sz w:val="24"/>
          <w:szCs w:val="24"/>
        </w:rPr>
        <w:t xml:space="preserve"> </w:t>
      </w:r>
      <w:proofErr w:type="gramStart"/>
      <w:r>
        <w:rPr>
          <w:color w:val="333333"/>
          <w:sz w:val="24"/>
          <w:szCs w:val="24"/>
        </w:rPr>
        <w:t xml:space="preserve">66 Pa. C.S. </w:t>
      </w:r>
      <w:r w:rsidR="007B73DA">
        <w:rPr>
          <w:color w:val="333333"/>
          <w:sz w:val="24"/>
          <w:szCs w:val="24"/>
        </w:rPr>
        <w:t xml:space="preserve">§ 1401 </w:t>
      </w:r>
      <w:r w:rsidR="007B73DA" w:rsidRPr="007B73DA">
        <w:rPr>
          <w:i/>
          <w:color w:val="333333"/>
          <w:sz w:val="24"/>
          <w:szCs w:val="24"/>
        </w:rPr>
        <w:t>et seq.</w:t>
      </w:r>
      <w:proofErr w:type="gramEnd"/>
    </w:p>
    <w:p w:rsidR="007B73DA" w:rsidRDefault="007B73DA" w:rsidP="00614A34">
      <w:pPr>
        <w:spacing w:line="360" w:lineRule="auto"/>
        <w:ind w:firstLine="1440"/>
        <w:rPr>
          <w:i/>
          <w:color w:val="333333"/>
          <w:sz w:val="24"/>
          <w:szCs w:val="24"/>
        </w:rPr>
      </w:pPr>
    </w:p>
    <w:p w:rsidR="00AD47A5" w:rsidRDefault="00614A34" w:rsidP="007B73DA">
      <w:pPr>
        <w:spacing w:line="360" w:lineRule="auto"/>
        <w:ind w:firstLine="1440"/>
        <w:rPr>
          <w:color w:val="333333"/>
          <w:sz w:val="24"/>
          <w:szCs w:val="24"/>
        </w:rPr>
      </w:pPr>
      <w:r>
        <w:rPr>
          <w:color w:val="333333"/>
          <w:sz w:val="24"/>
          <w:szCs w:val="24"/>
        </w:rPr>
        <w:t xml:space="preserve">Christian </w:t>
      </w:r>
      <w:proofErr w:type="spellStart"/>
      <w:r>
        <w:rPr>
          <w:color w:val="333333"/>
          <w:sz w:val="24"/>
          <w:szCs w:val="24"/>
        </w:rPr>
        <w:t>Reitenauer</w:t>
      </w:r>
      <w:proofErr w:type="spellEnd"/>
      <w:r>
        <w:rPr>
          <w:color w:val="333333"/>
          <w:sz w:val="24"/>
          <w:szCs w:val="24"/>
        </w:rPr>
        <w:t xml:space="preserve">, customer service representative, </w:t>
      </w:r>
      <w:r w:rsidRPr="00551FDD">
        <w:rPr>
          <w:color w:val="333333"/>
          <w:sz w:val="24"/>
          <w:szCs w:val="24"/>
        </w:rPr>
        <w:t xml:space="preserve">testified that the Complainant has a </w:t>
      </w:r>
      <w:r w:rsidR="00AD47A5">
        <w:rPr>
          <w:color w:val="333333"/>
          <w:sz w:val="24"/>
          <w:szCs w:val="24"/>
        </w:rPr>
        <w:t xml:space="preserve">very </w:t>
      </w:r>
      <w:r w:rsidRPr="00551FDD">
        <w:rPr>
          <w:color w:val="333333"/>
          <w:sz w:val="24"/>
          <w:szCs w:val="24"/>
        </w:rPr>
        <w:t xml:space="preserve">poor payment history. </w:t>
      </w:r>
      <w:r w:rsidR="007C3583">
        <w:rPr>
          <w:color w:val="333333"/>
          <w:sz w:val="24"/>
          <w:szCs w:val="24"/>
        </w:rPr>
        <w:t xml:space="preserve">The </w:t>
      </w:r>
      <w:r w:rsidRPr="00551FDD">
        <w:rPr>
          <w:color w:val="333333"/>
          <w:sz w:val="24"/>
          <w:szCs w:val="24"/>
        </w:rPr>
        <w:t>Complainant entered into</w:t>
      </w:r>
      <w:r w:rsidR="007C3583">
        <w:rPr>
          <w:color w:val="333333"/>
          <w:sz w:val="24"/>
          <w:szCs w:val="24"/>
        </w:rPr>
        <w:t xml:space="preserve"> more than twenty</w:t>
      </w:r>
      <w:r w:rsidRPr="00551FDD">
        <w:rPr>
          <w:color w:val="333333"/>
          <w:sz w:val="24"/>
          <w:szCs w:val="24"/>
        </w:rPr>
        <w:t xml:space="preserve"> payment arrangements with </w:t>
      </w:r>
      <w:r w:rsidR="007C3583">
        <w:rPr>
          <w:color w:val="333333"/>
          <w:sz w:val="24"/>
          <w:szCs w:val="24"/>
        </w:rPr>
        <w:t>PPL</w:t>
      </w:r>
      <w:r w:rsidRPr="00551FDD">
        <w:rPr>
          <w:color w:val="333333"/>
          <w:sz w:val="24"/>
          <w:szCs w:val="24"/>
        </w:rPr>
        <w:t xml:space="preserve"> and defaulted on all of them. </w:t>
      </w:r>
      <w:proofErr w:type="gramStart"/>
      <w:r w:rsidR="007C3583">
        <w:rPr>
          <w:color w:val="333333"/>
          <w:sz w:val="24"/>
          <w:szCs w:val="24"/>
        </w:rPr>
        <w:t>PPL</w:t>
      </w:r>
      <w:r w:rsidRPr="00551FDD">
        <w:rPr>
          <w:color w:val="333333"/>
          <w:sz w:val="24"/>
          <w:szCs w:val="24"/>
        </w:rPr>
        <w:t xml:space="preserve"> Exhibit 3.</w:t>
      </w:r>
      <w:proofErr w:type="gramEnd"/>
      <w:r w:rsidR="007B73DA">
        <w:rPr>
          <w:color w:val="333333"/>
          <w:sz w:val="24"/>
          <w:szCs w:val="24"/>
        </w:rPr>
        <w:t xml:space="preserve"> </w:t>
      </w:r>
      <w:r w:rsidRPr="00551FDD">
        <w:rPr>
          <w:color w:val="333333"/>
          <w:sz w:val="24"/>
          <w:szCs w:val="24"/>
        </w:rPr>
        <w:t xml:space="preserve"> It</w:t>
      </w:r>
      <w:r w:rsidR="00AD47A5">
        <w:rPr>
          <w:color w:val="333333"/>
          <w:sz w:val="24"/>
          <w:szCs w:val="24"/>
        </w:rPr>
        <w:t xml:space="preserve"> is</w:t>
      </w:r>
      <w:r w:rsidRPr="00551FDD">
        <w:rPr>
          <w:color w:val="333333"/>
          <w:sz w:val="24"/>
          <w:szCs w:val="24"/>
        </w:rPr>
        <w:t xml:space="preserve"> Commission policy to exercise discretion only on behalf of those customers who have demonstrated some evidence of good-faith efforts to pay their utility bills, or who have experienced a significant change of circumstance outside of their control. </w:t>
      </w:r>
      <w:r w:rsidRPr="00551FDD">
        <w:rPr>
          <w:i/>
          <w:iCs/>
          <w:color w:val="333333"/>
          <w:sz w:val="24"/>
          <w:szCs w:val="24"/>
        </w:rPr>
        <w:t>See, George Crawford v. National Fuel Gas,</w:t>
      </w:r>
      <w:r w:rsidRPr="00551FDD">
        <w:rPr>
          <w:color w:val="333333"/>
          <w:sz w:val="24"/>
          <w:szCs w:val="24"/>
        </w:rPr>
        <w:t xml:space="preserve"> Docket No. C-20066348 (Opinion and Order entered December 6, 2007) at 15, 16. Additionally, Chapter 14 of the Code provides the Commission with the authority to issue at least one payment arrangement, nowhere is the Commission required to issue subsequent payment arrangements, p</w:t>
      </w:r>
      <w:r w:rsidR="005358D4">
        <w:rPr>
          <w:color w:val="333333"/>
          <w:sz w:val="24"/>
          <w:szCs w:val="24"/>
        </w:rPr>
        <w:t>articularly where c</w:t>
      </w:r>
      <w:r w:rsidR="007B73DA">
        <w:rPr>
          <w:color w:val="333333"/>
          <w:sz w:val="24"/>
          <w:szCs w:val="24"/>
        </w:rPr>
        <w:t>omplainants</w:t>
      </w:r>
      <w:r w:rsidRPr="00551FDD">
        <w:rPr>
          <w:color w:val="333333"/>
          <w:sz w:val="24"/>
          <w:szCs w:val="24"/>
        </w:rPr>
        <w:t xml:space="preserve"> have not made good-faith efforts to pay</w:t>
      </w:r>
      <w:r w:rsidR="00AD47A5">
        <w:rPr>
          <w:color w:val="333333"/>
          <w:sz w:val="24"/>
          <w:szCs w:val="24"/>
        </w:rPr>
        <w:t xml:space="preserve"> their utility bills.</w:t>
      </w:r>
    </w:p>
    <w:p w:rsidR="00AD47A5" w:rsidRDefault="00AD47A5" w:rsidP="007B73DA">
      <w:pPr>
        <w:spacing w:line="360" w:lineRule="auto"/>
        <w:ind w:firstLine="1440"/>
        <w:rPr>
          <w:color w:val="333333"/>
          <w:sz w:val="24"/>
          <w:szCs w:val="24"/>
        </w:rPr>
      </w:pPr>
    </w:p>
    <w:p w:rsidR="00AD47A5" w:rsidRDefault="00614A34" w:rsidP="00AD47A5">
      <w:pPr>
        <w:spacing w:line="360" w:lineRule="auto"/>
        <w:ind w:firstLine="1440"/>
        <w:rPr>
          <w:color w:val="333333"/>
          <w:sz w:val="24"/>
          <w:szCs w:val="24"/>
        </w:rPr>
      </w:pPr>
      <w:r w:rsidRPr="00551FDD">
        <w:rPr>
          <w:color w:val="333333"/>
          <w:sz w:val="24"/>
          <w:szCs w:val="24"/>
        </w:rPr>
        <w:t xml:space="preserve">Due to the Complainant's failure to make a good-faith effort to maintain previous payment arrangement with </w:t>
      </w:r>
      <w:r w:rsidR="007B73DA">
        <w:rPr>
          <w:color w:val="333333"/>
          <w:sz w:val="24"/>
          <w:szCs w:val="24"/>
        </w:rPr>
        <w:t>PPL</w:t>
      </w:r>
      <w:r w:rsidRPr="00551FDD">
        <w:rPr>
          <w:color w:val="333333"/>
          <w:sz w:val="24"/>
          <w:szCs w:val="24"/>
        </w:rPr>
        <w:t xml:space="preserve">, </w:t>
      </w:r>
      <w:r w:rsidR="007B73DA">
        <w:rPr>
          <w:color w:val="333333"/>
          <w:sz w:val="24"/>
          <w:szCs w:val="24"/>
        </w:rPr>
        <w:t>another payment arrangement is denied.</w:t>
      </w:r>
    </w:p>
    <w:p w:rsidR="00AD47A5" w:rsidRDefault="00AD47A5" w:rsidP="00AD47A5">
      <w:pPr>
        <w:spacing w:line="360" w:lineRule="auto"/>
        <w:ind w:firstLine="1440"/>
        <w:rPr>
          <w:color w:val="333333"/>
          <w:sz w:val="24"/>
          <w:szCs w:val="24"/>
        </w:rPr>
      </w:pPr>
    </w:p>
    <w:p w:rsidR="002B515C" w:rsidRDefault="002B515C" w:rsidP="00AD47A5">
      <w:pPr>
        <w:spacing w:line="360" w:lineRule="auto"/>
        <w:ind w:firstLine="1440"/>
        <w:rPr>
          <w:sz w:val="24"/>
          <w:szCs w:val="24"/>
        </w:rPr>
      </w:pPr>
      <w:r>
        <w:rPr>
          <w:sz w:val="24"/>
          <w:szCs w:val="24"/>
        </w:rPr>
        <w:t>The record shows that the Complainant has defaulted on more than twenty various payment agreements therefore, she is not eligible for another and</w:t>
      </w:r>
      <w:r w:rsidR="00614A34">
        <w:rPr>
          <w:sz w:val="24"/>
          <w:szCs w:val="24"/>
        </w:rPr>
        <w:t xml:space="preserve">, based upon the </w:t>
      </w:r>
      <w:r w:rsidR="00AD47A5">
        <w:rPr>
          <w:sz w:val="24"/>
          <w:szCs w:val="24"/>
        </w:rPr>
        <w:t>Code</w:t>
      </w:r>
      <w:r w:rsidR="00614A34">
        <w:rPr>
          <w:sz w:val="24"/>
          <w:szCs w:val="24"/>
        </w:rPr>
        <w:t xml:space="preserve">, </w:t>
      </w:r>
      <w:r>
        <w:rPr>
          <w:sz w:val="24"/>
          <w:szCs w:val="24"/>
        </w:rPr>
        <w:t>has one year to pay her arrearage.</w:t>
      </w:r>
      <w:r w:rsidR="00614A34">
        <w:rPr>
          <w:sz w:val="24"/>
          <w:szCs w:val="24"/>
        </w:rPr>
        <w:t xml:space="preserve"> 66 Pa. C.S. § 1405(b</w:t>
      </w:r>
      <w:proofErr w:type="gramStart"/>
      <w:r w:rsidR="00614A34">
        <w:rPr>
          <w:sz w:val="24"/>
          <w:szCs w:val="24"/>
        </w:rPr>
        <w:t>)(</w:t>
      </w:r>
      <w:proofErr w:type="gramEnd"/>
      <w:r w:rsidR="00614A34">
        <w:rPr>
          <w:sz w:val="24"/>
          <w:szCs w:val="24"/>
        </w:rPr>
        <w:t>3).</w:t>
      </w:r>
    </w:p>
    <w:p w:rsidR="00382B1A"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 xml:space="preserve">The Commission has jurisdiction over the subject matter and parties to this Complaint.  </w:t>
      </w:r>
      <w:proofErr w:type="gramStart"/>
      <w:r w:rsidRPr="007934E4">
        <w:rPr>
          <w:sz w:val="24"/>
          <w:szCs w:val="24"/>
        </w:rPr>
        <w:t>66 Pa. C.S. §</w:t>
      </w:r>
      <w:r>
        <w:rPr>
          <w:sz w:val="24"/>
          <w:szCs w:val="24"/>
        </w:rPr>
        <w:t xml:space="preserve"> </w:t>
      </w:r>
      <w:r w:rsidRPr="007934E4">
        <w:rPr>
          <w:sz w:val="24"/>
          <w:szCs w:val="24"/>
        </w:rPr>
        <w:t>701.</w:t>
      </w:r>
      <w:proofErr w:type="gramEnd"/>
    </w:p>
    <w:p w:rsidR="00382B1A" w:rsidRPr="007934E4" w:rsidRDefault="00382B1A"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C1140C">
        <w:rPr>
          <w:sz w:val="24"/>
          <w:szCs w:val="24"/>
        </w:rPr>
        <w:t>Complainant</w:t>
      </w:r>
      <w:r w:rsidRPr="007934E4">
        <w:rPr>
          <w:sz w:val="24"/>
          <w:szCs w:val="24"/>
        </w:rPr>
        <w:t xml:space="preserve"> </w:t>
      </w:r>
      <w:proofErr w:type="spellStart"/>
      <w:r w:rsidR="00D75B40">
        <w:rPr>
          <w:sz w:val="24"/>
          <w:szCs w:val="24"/>
        </w:rPr>
        <w:t>Mimose</w:t>
      </w:r>
      <w:proofErr w:type="spellEnd"/>
      <w:r w:rsidR="00D75B40">
        <w:rPr>
          <w:sz w:val="24"/>
          <w:szCs w:val="24"/>
        </w:rPr>
        <w:t xml:space="preserve"> Innocent</w:t>
      </w:r>
      <w:r w:rsidRPr="007934E4">
        <w:rPr>
          <w:sz w:val="24"/>
          <w:szCs w:val="24"/>
        </w:rPr>
        <w:t xml:space="preserve">, bears the burden of proof.  </w:t>
      </w:r>
      <w:proofErr w:type="gramStart"/>
      <w:r w:rsidRPr="007934E4">
        <w:rPr>
          <w:sz w:val="24"/>
          <w:szCs w:val="24"/>
        </w:rPr>
        <w:t>66 Pa. C.S. §</w:t>
      </w:r>
      <w:r>
        <w:rPr>
          <w:sz w:val="24"/>
          <w:szCs w:val="24"/>
        </w:rPr>
        <w:t xml:space="preserve"> </w:t>
      </w:r>
      <w:r w:rsidRPr="007934E4">
        <w:rPr>
          <w:sz w:val="24"/>
          <w:szCs w:val="24"/>
        </w:rPr>
        <w:t>332(a).</w:t>
      </w:r>
      <w:proofErr w:type="gramEnd"/>
    </w:p>
    <w:p w:rsidR="00382B1A" w:rsidRPr="007934E4" w:rsidRDefault="00382B1A" w:rsidP="00382B1A">
      <w:pPr>
        <w:tabs>
          <w:tab w:val="left" w:pos="2160"/>
        </w:tabs>
        <w:spacing w:line="360" w:lineRule="auto"/>
        <w:ind w:firstLine="1440"/>
        <w:rPr>
          <w:sz w:val="24"/>
          <w:szCs w:val="24"/>
        </w:rPr>
      </w:pPr>
    </w:p>
    <w:p w:rsidR="00382B1A" w:rsidRDefault="00382B1A" w:rsidP="00382B1A">
      <w:pPr>
        <w:tabs>
          <w:tab w:val="left" w:pos="2160"/>
        </w:tabs>
        <w:spacing w:line="360" w:lineRule="auto"/>
        <w:ind w:firstLine="1440"/>
        <w:rPr>
          <w:spacing w:val="-3"/>
          <w:sz w:val="24"/>
          <w:szCs w:val="24"/>
        </w:rPr>
      </w:pPr>
      <w:r w:rsidRPr="007934E4">
        <w:rPr>
          <w:sz w:val="24"/>
          <w:szCs w:val="24"/>
        </w:rPr>
        <w:t>3.</w:t>
      </w:r>
      <w:r w:rsidRPr="007934E4">
        <w:rPr>
          <w:sz w:val="24"/>
          <w:szCs w:val="24"/>
        </w:rPr>
        <w:tab/>
      </w:r>
      <w:r w:rsidRPr="007934E4">
        <w:rPr>
          <w:spacing w:val="-3"/>
          <w:sz w:val="24"/>
          <w:szCs w:val="24"/>
        </w:rPr>
        <w:t xml:space="preserve">As a matter of general principle, a complainant must show that the named utility is responsible or accountable for the problem described in the </w:t>
      </w:r>
      <w:r w:rsidR="00CA3A87">
        <w:rPr>
          <w:spacing w:val="-3"/>
          <w:sz w:val="24"/>
          <w:szCs w:val="24"/>
        </w:rPr>
        <w:t>c</w:t>
      </w:r>
      <w:r w:rsidRPr="007934E4">
        <w:rPr>
          <w:spacing w:val="-3"/>
          <w:sz w:val="24"/>
          <w:szCs w:val="24"/>
        </w:rPr>
        <w:t xml:space="preserve">omplaint in order to prevail.  </w:t>
      </w:r>
      <w:proofErr w:type="gramStart"/>
      <w:r w:rsidRPr="00C1140C">
        <w:rPr>
          <w:i/>
          <w:spacing w:val="-3"/>
          <w:sz w:val="24"/>
          <w:szCs w:val="24"/>
        </w:rPr>
        <w:t>Patterson v. Bell Telephone Company of Pennsylvania</w:t>
      </w:r>
      <w:r w:rsidRPr="007934E4">
        <w:rPr>
          <w:spacing w:val="-3"/>
          <w:sz w:val="24"/>
          <w:szCs w:val="24"/>
        </w:rPr>
        <w:t>, 72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196 (1990); </w:t>
      </w:r>
      <w:r w:rsidRPr="00C1140C">
        <w:rPr>
          <w:i/>
          <w:spacing w:val="-3"/>
          <w:sz w:val="24"/>
          <w:szCs w:val="24"/>
        </w:rPr>
        <w:t>Feinstein v. Philadelphia Suburban Water Company</w:t>
      </w:r>
      <w:r w:rsidRPr="007934E4">
        <w:rPr>
          <w:spacing w:val="-3"/>
          <w:sz w:val="24"/>
          <w:szCs w:val="24"/>
        </w:rPr>
        <w:t>, 50 Pa. P</w:t>
      </w:r>
      <w:r w:rsidR="003E594B">
        <w:rPr>
          <w:spacing w:val="-3"/>
          <w:sz w:val="24"/>
          <w:szCs w:val="24"/>
        </w:rPr>
        <w:t>ub.</w:t>
      </w:r>
      <w:proofErr w:type="gramEnd"/>
      <w:r w:rsidR="003E594B">
        <w:rPr>
          <w:spacing w:val="-3"/>
          <w:sz w:val="24"/>
          <w:szCs w:val="24"/>
        </w:rPr>
        <w:t xml:space="preserve"> </w:t>
      </w:r>
      <w:proofErr w:type="gramStart"/>
      <w:r w:rsidRPr="007934E4">
        <w:rPr>
          <w:spacing w:val="-3"/>
          <w:sz w:val="24"/>
          <w:szCs w:val="24"/>
        </w:rPr>
        <w:t>U</w:t>
      </w:r>
      <w:r w:rsidR="003E594B">
        <w:rPr>
          <w:spacing w:val="-3"/>
          <w:sz w:val="24"/>
          <w:szCs w:val="24"/>
        </w:rPr>
        <w:t xml:space="preserve">til. </w:t>
      </w:r>
      <w:proofErr w:type="spellStart"/>
      <w:r w:rsidRPr="007934E4">
        <w:rPr>
          <w:spacing w:val="-3"/>
          <w:sz w:val="24"/>
          <w:szCs w:val="24"/>
        </w:rPr>
        <w:t>C</w:t>
      </w:r>
      <w:r w:rsidR="003E594B">
        <w:rPr>
          <w:spacing w:val="-3"/>
          <w:sz w:val="24"/>
          <w:szCs w:val="24"/>
        </w:rPr>
        <w:t>omm’n</w:t>
      </w:r>
      <w:proofErr w:type="spellEnd"/>
      <w:r w:rsidRPr="007934E4">
        <w:rPr>
          <w:spacing w:val="-3"/>
          <w:sz w:val="24"/>
          <w:szCs w:val="24"/>
        </w:rPr>
        <w:t xml:space="preserve"> 300 (1976).</w:t>
      </w:r>
      <w:proofErr w:type="gramEnd"/>
      <w:r w:rsidRPr="007934E4">
        <w:rPr>
          <w:spacing w:val="-3"/>
          <w:sz w:val="24"/>
          <w:szCs w:val="24"/>
        </w:rPr>
        <w:t xml:space="preserve">  This must be shown by a preponderance of the evidence.  </w:t>
      </w:r>
      <w:proofErr w:type="gramStart"/>
      <w:r w:rsidR="003E594B">
        <w:rPr>
          <w:i/>
          <w:spacing w:val="-3"/>
          <w:sz w:val="24"/>
          <w:szCs w:val="24"/>
        </w:rPr>
        <w:t xml:space="preserve">Samuel J. </w:t>
      </w:r>
      <w:proofErr w:type="spellStart"/>
      <w:r w:rsidR="003E594B">
        <w:rPr>
          <w:i/>
          <w:spacing w:val="-3"/>
          <w:sz w:val="24"/>
          <w:szCs w:val="24"/>
        </w:rPr>
        <w:t>Lansberry</w:t>
      </w:r>
      <w:proofErr w:type="spellEnd"/>
      <w:r w:rsidR="003E594B">
        <w:rPr>
          <w:i/>
          <w:spacing w:val="-3"/>
          <w:sz w:val="24"/>
          <w:szCs w:val="24"/>
        </w:rPr>
        <w:t>, Inc. v. Pa.</w:t>
      </w:r>
      <w:r w:rsidRPr="00C1140C">
        <w:rPr>
          <w:i/>
          <w:spacing w:val="-3"/>
          <w:sz w:val="24"/>
          <w:szCs w:val="24"/>
        </w:rPr>
        <w:t xml:space="preserve"> Pub</w:t>
      </w:r>
      <w:r w:rsidR="003E594B">
        <w:rPr>
          <w:i/>
          <w:spacing w:val="-3"/>
          <w:sz w:val="24"/>
          <w:szCs w:val="24"/>
        </w:rPr>
        <w:t>.</w:t>
      </w:r>
      <w:proofErr w:type="gramEnd"/>
      <w:r w:rsidRPr="00C1140C">
        <w:rPr>
          <w:i/>
          <w:spacing w:val="-3"/>
          <w:sz w:val="24"/>
          <w:szCs w:val="24"/>
        </w:rPr>
        <w:t xml:space="preserve"> </w:t>
      </w:r>
      <w:proofErr w:type="gramStart"/>
      <w:r w:rsidRPr="00C1140C">
        <w:rPr>
          <w:i/>
          <w:spacing w:val="-3"/>
          <w:sz w:val="24"/>
          <w:szCs w:val="24"/>
        </w:rPr>
        <w:t>Util</w:t>
      </w:r>
      <w:r w:rsidR="003E594B">
        <w:rPr>
          <w:i/>
          <w:spacing w:val="-3"/>
          <w:sz w:val="24"/>
          <w:szCs w:val="24"/>
        </w:rPr>
        <w:t>.</w:t>
      </w:r>
      <w:r w:rsidRPr="00C1140C">
        <w:rPr>
          <w:i/>
          <w:spacing w:val="-3"/>
          <w:sz w:val="24"/>
          <w:szCs w:val="24"/>
        </w:rPr>
        <w:t xml:space="preserve"> </w:t>
      </w:r>
      <w:proofErr w:type="spellStart"/>
      <w:r w:rsidRPr="00C1140C">
        <w:rPr>
          <w:i/>
          <w:spacing w:val="-3"/>
          <w:sz w:val="24"/>
          <w:szCs w:val="24"/>
        </w:rPr>
        <w:t>Comm’n</w:t>
      </w:r>
      <w:proofErr w:type="spellEnd"/>
      <w:r w:rsidRPr="007934E4">
        <w:rPr>
          <w:spacing w:val="-3"/>
          <w:sz w:val="24"/>
          <w:szCs w:val="24"/>
        </w:rPr>
        <w:t xml:space="preserve">, 578 A.2d 600 (1990), </w:t>
      </w:r>
      <w:r w:rsidRPr="007934E4">
        <w:rPr>
          <w:i/>
          <w:spacing w:val="-3"/>
          <w:sz w:val="24"/>
          <w:szCs w:val="24"/>
        </w:rPr>
        <w:t>alloc.</w:t>
      </w:r>
      <w:proofErr w:type="gramEnd"/>
      <w:r w:rsidRPr="007934E4">
        <w:rPr>
          <w:i/>
          <w:spacing w:val="-3"/>
          <w:sz w:val="24"/>
          <w:szCs w:val="24"/>
        </w:rPr>
        <w:t xml:space="preserve"> </w:t>
      </w:r>
      <w:proofErr w:type="gramStart"/>
      <w:r w:rsidRPr="007934E4">
        <w:rPr>
          <w:i/>
          <w:spacing w:val="-3"/>
          <w:sz w:val="24"/>
          <w:szCs w:val="24"/>
        </w:rPr>
        <w:t>den.</w:t>
      </w:r>
      <w:r w:rsidR="003E594B">
        <w:rPr>
          <w:spacing w:val="-3"/>
          <w:sz w:val="24"/>
          <w:szCs w:val="24"/>
        </w:rPr>
        <w:t xml:space="preserve">, 602 A.2d </w:t>
      </w:r>
      <w:r w:rsidRPr="007934E4">
        <w:rPr>
          <w:spacing w:val="-3"/>
          <w:sz w:val="24"/>
          <w:szCs w:val="24"/>
        </w:rPr>
        <w:t>863 (1992).</w:t>
      </w:r>
      <w:proofErr w:type="gramEnd"/>
    </w:p>
    <w:p w:rsidR="00730453" w:rsidRDefault="00730453" w:rsidP="00382B1A">
      <w:pPr>
        <w:tabs>
          <w:tab w:val="left" w:pos="2160"/>
        </w:tabs>
        <w:spacing w:line="360" w:lineRule="auto"/>
        <w:ind w:firstLine="1440"/>
        <w:rPr>
          <w:spacing w:val="-3"/>
          <w:sz w:val="24"/>
          <w:szCs w:val="24"/>
        </w:rPr>
      </w:pPr>
    </w:p>
    <w:p w:rsidR="00D75B40" w:rsidRDefault="00D75B40" w:rsidP="00382B1A">
      <w:pPr>
        <w:tabs>
          <w:tab w:val="left" w:pos="2160"/>
        </w:tabs>
        <w:spacing w:line="360" w:lineRule="auto"/>
        <w:ind w:firstLine="1440"/>
        <w:rPr>
          <w:spacing w:val="-3"/>
          <w:sz w:val="24"/>
          <w:szCs w:val="24"/>
        </w:rPr>
      </w:pPr>
      <w:r>
        <w:rPr>
          <w:spacing w:val="-3"/>
          <w:sz w:val="24"/>
          <w:szCs w:val="24"/>
        </w:rPr>
        <w:t>4.</w:t>
      </w:r>
      <w:r>
        <w:rPr>
          <w:spacing w:val="-3"/>
          <w:sz w:val="24"/>
          <w:szCs w:val="24"/>
        </w:rPr>
        <w:tab/>
        <w:t>The Complainant failed to show that the Respondent violated any statute or regulation.</w:t>
      </w:r>
    </w:p>
    <w:p w:rsidR="00D75B40" w:rsidRDefault="00D75B40" w:rsidP="00382B1A">
      <w:pPr>
        <w:tabs>
          <w:tab w:val="left" w:pos="2160"/>
        </w:tabs>
        <w:spacing w:line="360" w:lineRule="auto"/>
        <w:ind w:firstLine="1440"/>
        <w:rPr>
          <w:spacing w:val="-3"/>
          <w:sz w:val="24"/>
          <w:szCs w:val="24"/>
        </w:rPr>
      </w:pPr>
      <w:r>
        <w:rPr>
          <w:spacing w:val="-3"/>
          <w:sz w:val="24"/>
          <w:szCs w:val="24"/>
        </w:rPr>
        <w:t xml:space="preserve"> </w:t>
      </w:r>
    </w:p>
    <w:p w:rsidR="00D75B40" w:rsidRDefault="00D75B40" w:rsidP="00382B1A">
      <w:pPr>
        <w:tabs>
          <w:tab w:val="left" w:pos="2160"/>
        </w:tabs>
        <w:spacing w:line="360" w:lineRule="auto"/>
        <w:ind w:firstLine="1440"/>
        <w:rPr>
          <w:spacing w:val="-3"/>
          <w:sz w:val="24"/>
          <w:szCs w:val="24"/>
        </w:rPr>
      </w:pPr>
      <w:r>
        <w:rPr>
          <w:spacing w:val="-3"/>
          <w:sz w:val="24"/>
          <w:szCs w:val="24"/>
        </w:rPr>
        <w:t>5.</w:t>
      </w:r>
      <w:r w:rsidR="0002792D">
        <w:rPr>
          <w:spacing w:val="-3"/>
          <w:sz w:val="24"/>
          <w:szCs w:val="24"/>
        </w:rPr>
        <w:tab/>
      </w:r>
      <w:r>
        <w:rPr>
          <w:spacing w:val="-3"/>
          <w:sz w:val="24"/>
          <w:szCs w:val="24"/>
        </w:rPr>
        <w:t xml:space="preserve"> The Complainant is not entitled to another payment arrangement; she has defaulted on more than twenty.</w:t>
      </w:r>
      <w:r w:rsidR="00614A34">
        <w:rPr>
          <w:spacing w:val="-3"/>
          <w:sz w:val="24"/>
          <w:szCs w:val="24"/>
        </w:rPr>
        <w:t xml:space="preserve"> </w:t>
      </w:r>
    </w:p>
    <w:p w:rsidR="00D75B40" w:rsidRDefault="00D75B40" w:rsidP="00382B1A">
      <w:pPr>
        <w:tabs>
          <w:tab w:val="left" w:pos="2160"/>
        </w:tabs>
        <w:spacing w:line="360" w:lineRule="auto"/>
        <w:ind w:firstLine="1440"/>
        <w:rPr>
          <w:spacing w:val="-3"/>
          <w:sz w:val="24"/>
          <w:szCs w:val="24"/>
        </w:rPr>
      </w:pPr>
    </w:p>
    <w:p w:rsidR="002B515C" w:rsidRDefault="00D75B40" w:rsidP="002B515C">
      <w:pPr>
        <w:spacing w:line="360" w:lineRule="auto"/>
        <w:ind w:right="-720" w:firstLine="1440"/>
        <w:rPr>
          <w:sz w:val="24"/>
          <w:szCs w:val="24"/>
        </w:rPr>
      </w:pPr>
      <w:r>
        <w:rPr>
          <w:spacing w:val="-3"/>
          <w:sz w:val="24"/>
          <w:szCs w:val="24"/>
        </w:rPr>
        <w:t>6</w:t>
      </w:r>
      <w:r w:rsidR="002B515C">
        <w:rPr>
          <w:spacing w:val="-3"/>
          <w:sz w:val="24"/>
          <w:szCs w:val="24"/>
        </w:rPr>
        <w:t>.</w:t>
      </w:r>
      <w:r w:rsidR="002B515C">
        <w:rPr>
          <w:spacing w:val="-3"/>
          <w:sz w:val="24"/>
          <w:szCs w:val="24"/>
        </w:rPr>
        <w:tab/>
      </w:r>
      <w:r w:rsidR="002B515C">
        <w:rPr>
          <w:sz w:val="24"/>
          <w:szCs w:val="24"/>
        </w:rPr>
        <w:t xml:space="preserve">The length of time for a customer to resolve an unpaid balance on an account that is subject to a payment agreement that is investigated by the commission and is entered into by a public utility and a customer shall not extend beyond one year for customers with a gross monthly household income level exceeding 250% of the federal poverty level and not more than 300% of the </w:t>
      </w:r>
      <w:r w:rsidR="00B475C1">
        <w:rPr>
          <w:sz w:val="24"/>
          <w:szCs w:val="24"/>
        </w:rPr>
        <w:t>f</w:t>
      </w:r>
      <w:r w:rsidR="002B515C">
        <w:rPr>
          <w:sz w:val="24"/>
          <w:szCs w:val="24"/>
        </w:rPr>
        <w:t>ederal poverty level.  66 Pa</w:t>
      </w:r>
      <w:r w:rsidR="00013700">
        <w:rPr>
          <w:sz w:val="24"/>
          <w:szCs w:val="24"/>
        </w:rPr>
        <w:t>.</w:t>
      </w:r>
      <w:r w:rsidR="002B515C">
        <w:rPr>
          <w:sz w:val="24"/>
          <w:szCs w:val="24"/>
        </w:rPr>
        <w:t xml:space="preserve"> C. S</w:t>
      </w:r>
      <w:r w:rsidR="00013700">
        <w:rPr>
          <w:sz w:val="24"/>
          <w:szCs w:val="24"/>
        </w:rPr>
        <w:t>.</w:t>
      </w:r>
      <w:r w:rsidR="002B515C">
        <w:rPr>
          <w:sz w:val="24"/>
          <w:szCs w:val="24"/>
        </w:rPr>
        <w:t xml:space="preserve"> § 1405(b</w:t>
      </w:r>
      <w:proofErr w:type="gramStart"/>
      <w:r w:rsidR="002B515C">
        <w:rPr>
          <w:sz w:val="24"/>
          <w:szCs w:val="24"/>
        </w:rPr>
        <w:t>)(</w:t>
      </w:r>
      <w:proofErr w:type="gramEnd"/>
      <w:r w:rsidR="002B515C">
        <w:rPr>
          <w:sz w:val="24"/>
          <w:szCs w:val="24"/>
        </w:rPr>
        <w:t>3).</w:t>
      </w:r>
    </w:p>
    <w:p w:rsidR="002B515C" w:rsidRDefault="002B515C" w:rsidP="002B515C">
      <w:pPr>
        <w:spacing w:line="360" w:lineRule="auto"/>
        <w:ind w:right="-720"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FE6157" w:rsidRDefault="00FE6157" w:rsidP="00FE6157">
      <w:pPr>
        <w:spacing w:line="360" w:lineRule="auto"/>
        <w:ind w:firstLine="1440"/>
        <w:rPr>
          <w:b/>
          <w:sz w:val="24"/>
          <w:szCs w:val="24"/>
        </w:rPr>
      </w:pPr>
    </w:p>
    <w:p w:rsidR="002D554B" w:rsidRDefault="002B515C" w:rsidP="0047127C">
      <w:pPr>
        <w:spacing w:line="360" w:lineRule="auto"/>
        <w:ind w:firstLine="1440"/>
        <w:rPr>
          <w:sz w:val="24"/>
          <w:szCs w:val="24"/>
        </w:rPr>
      </w:pPr>
      <w:r>
        <w:rPr>
          <w:sz w:val="24"/>
          <w:szCs w:val="24"/>
        </w:rPr>
        <w:t xml:space="preserve">That the Formal Complaint of </w:t>
      </w:r>
      <w:proofErr w:type="spellStart"/>
      <w:r>
        <w:rPr>
          <w:sz w:val="24"/>
          <w:szCs w:val="24"/>
        </w:rPr>
        <w:t>Mimose</w:t>
      </w:r>
      <w:proofErr w:type="spellEnd"/>
      <w:r>
        <w:rPr>
          <w:sz w:val="24"/>
          <w:szCs w:val="24"/>
        </w:rPr>
        <w:t xml:space="preserve"> Innocent at Docket No. F</w:t>
      </w:r>
      <w:r w:rsidR="0047127C">
        <w:rPr>
          <w:sz w:val="24"/>
          <w:szCs w:val="24"/>
        </w:rPr>
        <w:noBreakHyphen/>
      </w:r>
      <w:r>
        <w:rPr>
          <w:sz w:val="24"/>
          <w:szCs w:val="24"/>
        </w:rPr>
        <w:t>2010</w:t>
      </w:r>
      <w:r w:rsidR="0047127C">
        <w:rPr>
          <w:sz w:val="24"/>
          <w:szCs w:val="24"/>
        </w:rPr>
        <w:noBreakHyphen/>
      </w:r>
      <w:r>
        <w:rPr>
          <w:sz w:val="24"/>
          <w:szCs w:val="24"/>
        </w:rPr>
        <w:t>2184996 is denied and dismissed and that the Secretary’s Bureau shall mark the Docket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2B515C">
        <w:rPr>
          <w:sz w:val="24"/>
          <w:szCs w:val="24"/>
          <w:u w:val="single"/>
        </w:rPr>
        <w:t>December 7, 2011</w:t>
      </w:r>
      <w:r w:rsidR="001F7F73">
        <w:rPr>
          <w:sz w:val="24"/>
          <w:szCs w:val="24"/>
        </w:rPr>
        <w:tab/>
      </w:r>
      <w:r w:rsidR="001F7F73">
        <w:rPr>
          <w:sz w:val="24"/>
          <w:szCs w:val="24"/>
        </w:rPr>
        <w:tab/>
      </w:r>
      <w:r w:rsidR="002226C6">
        <w:rPr>
          <w:sz w:val="24"/>
          <w:szCs w:val="24"/>
        </w:rPr>
        <w:tab/>
      </w:r>
      <w:r w:rsidR="002226C6">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D75290">
      <w:pPr>
        <w:jc w:val="both"/>
        <w:rPr>
          <w:kern w:val="1"/>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2B19D4" w:rsidRPr="001027AA" w:rsidRDefault="002B19D4" w:rsidP="001027AA">
      <w:pPr>
        <w:jc w:val="both"/>
        <w:rPr>
          <w:sz w:val="24"/>
          <w:szCs w:val="24"/>
        </w:rPr>
      </w:pPr>
    </w:p>
    <w:sectPr w:rsidR="002B19D4" w:rsidRPr="001027AA" w:rsidSect="00C55C20">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F30" w:rsidRDefault="00FF5F30">
      <w:r>
        <w:separator/>
      </w:r>
    </w:p>
  </w:endnote>
  <w:endnote w:type="continuationSeparator" w:id="0">
    <w:p w:rsidR="00FF5F30" w:rsidRDefault="00FF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C23F4D"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C23F4D"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E46519">
      <w:rPr>
        <w:rStyle w:val="PageNumber"/>
        <w:noProof/>
        <w:sz w:val="20"/>
        <w:szCs w:val="20"/>
      </w:rPr>
      <w:t>6</w:t>
    </w:r>
    <w:r w:rsidRPr="0028114B">
      <w:rPr>
        <w:rStyle w:val="PageNumber"/>
        <w:sz w:val="20"/>
        <w:szCs w:val="20"/>
      </w:rPr>
      <w:fldChar w:fldCharType="end"/>
    </w:r>
  </w:p>
  <w:p w:rsidR="00223E7E" w:rsidRPr="00394F78" w:rsidRDefault="00223E7E" w:rsidP="00394F78">
    <w:pPr>
      <w:pStyle w:val="Footer"/>
      <w:jc w:val="center"/>
      <w:rPr>
        <w:rStyle w:val="PageNumbe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F30" w:rsidRDefault="00FF5F30">
      <w:r>
        <w:separator/>
      </w:r>
    </w:p>
  </w:footnote>
  <w:footnote w:type="continuationSeparator" w:id="0">
    <w:p w:rsidR="00FF5F30" w:rsidRDefault="00FF5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4"/>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7"/>
  </w:num>
  <w:num w:numId="13">
    <w:abstractNumId w:val="1"/>
  </w:num>
  <w:num w:numId="14">
    <w:abstractNumId w:val="5"/>
  </w:num>
  <w:num w:numId="15">
    <w:abstractNumId w:val="15"/>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11D4"/>
    <w:rsid w:val="00013700"/>
    <w:rsid w:val="00020AB1"/>
    <w:rsid w:val="00022997"/>
    <w:rsid w:val="00022D67"/>
    <w:rsid w:val="0002512E"/>
    <w:rsid w:val="0002792D"/>
    <w:rsid w:val="00034A86"/>
    <w:rsid w:val="00035C05"/>
    <w:rsid w:val="00035E78"/>
    <w:rsid w:val="000376EF"/>
    <w:rsid w:val="00042626"/>
    <w:rsid w:val="00055A89"/>
    <w:rsid w:val="00064F92"/>
    <w:rsid w:val="0006610A"/>
    <w:rsid w:val="00070E25"/>
    <w:rsid w:val="0007126E"/>
    <w:rsid w:val="000728A4"/>
    <w:rsid w:val="00075A22"/>
    <w:rsid w:val="00082976"/>
    <w:rsid w:val="00091672"/>
    <w:rsid w:val="00091CE2"/>
    <w:rsid w:val="000967DB"/>
    <w:rsid w:val="000A001F"/>
    <w:rsid w:val="000A1CB9"/>
    <w:rsid w:val="000A20A3"/>
    <w:rsid w:val="000B5F6A"/>
    <w:rsid w:val="000C6F32"/>
    <w:rsid w:val="000E0BD8"/>
    <w:rsid w:val="000E277A"/>
    <w:rsid w:val="000E2934"/>
    <w:rsid w:val="000E6B17"/>
    <w:rsid w:val="000F0833"/>
    <w:rsid w:val="000F1894"/>
    <w:rsid w:val="000F1F62"/>
    <w:rsid w:val="000F2F0A"/>
    <w:rsid w:val="001027AA"/>
    <w:rsid w:val="0010333F"/>
    <w:rsid w:val="00110C23"/>
    <w:rsid w:val="001122A9"/>
    <w:rsid w:val="001155B6"/>
    <w:rsid w:val="00116136"/>
    <w:rsid w:val="00125871"/>
    <w:rsid w:val="00126207"/>
    <w:rsid w:val="001312A6"/>
    <w:rsid w:val="00134E8D"/>
    <w:rsid w:val="00141DF5"/>
    <w:rsid w:val="00143C49"/>
    <w:rsid w:val="00147DEE"/>
    <w:rsid w:val="00152C6B"/>
    <w:rsid w:val="0015646C"/>
    <w:rsid w:val="001620CA"/>
    <w:rsid w:val="00176F82"/>
    <w:rsid w:val="0018160C"/>
    <w:rsid w:val="001822F1"/>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016EF"/>
    <w:rsid w:val="0022089A"/>
    <w:rsid w:val="00220C5E"/>
    <w:rsid w:val="002226C6"/>
    <w:rsid w:val="00223E7E"/>
    <w:rsid w:val="00234619"/>
    <w:rsid w:val="0023520D"/>
    <w:rsid w:val="00235C44"/>
    <w:rsid w:val="00236FF7"/>
    <w:rsid w:val="002416AB"/>
    <w:rsid w:val="0024496F"/>
    <w:rsid w:val="00244D86"/>
    <w:rsid w:val="0025370D"/>
    <w:rsid w:val="002552B6"/>
    <w:rsid w:val="00260D19"/>
    <w:rsid w:val="002732DC"/>
    <w:rsid w:val="0028114B"/>
    <w:rsid w:val="0028185A"/>
    <w:rsid w:val="00290918"/>
    <w:rsid w:val="002919C6"/>
    <w:rsid w:val="00291D5D"/>
    <w:rsid w:val="00293557"/>
    <w:rsid w:val="002959E3"/>
    <w:rsid w:val="002A7C1C"/>
    <w:rsid w:val="002B19D4"/>
    <w:rsid w:val="002B3489"/>
    <w:rsid w:val="002B4EAE"/>
    <w:rsid w:val="002B515C"/>
    <w:rsid w:val="002C3FDE"/>
    <w:rsid w:val="002C5DE3"/>
    <w:rsid w:val="002D13C5"/>
    <w:rsid w:val="002D554B"/>
    <w:rsid w:val="002F66F9"/>
    <w:rsid w:val="002F6BC1"/>
    <w:rsid w:val="00300A0A"/>
    <w:rsid w:val="00300CB7"/>
    <w:rsid w:val="00300F91"/>
    <w:rsid w:val="0030207C"/>
    <w:rsid w:val="00302168"/>
    <w:rsid w:val="003129F7"/>
    <w:rsid w:val="00312E1C"/>
    <w:rsid w:val="00317B5C"/>
    <w:rsid w:val="00323AAE"/>
    <w:rsid w:val="00324F3E"/>
    <w:rsid w:val="0033043C"/>
    <w:rsid w:val="0033647C"/>
    <w:rsid w:val="00337C53"/>
    <w:rsid w:val="00340AB8"/>
    <w:rsid w:val="0034312D"/>
    <w:rsid w:val="00346E30"/>
    <w:rsid w:val="003539D2"/>
    <w:rsid w:val="0035737A"/>
    <w:rsid w:val="003657A8"/>
    <w:rsid w:val="00380AD7"/>
    <w:rsid w:val="00382B1A"/>
    <w:rsid w:val="00386CDC"/>
    <w:rsid w:val="00392382"/>
    <w:rsid w:val="00394493"/>
    <w:rsid w:val="00394F78"/>
    <w:rsid w:val="003959AC"/>
    <w:rsid w:val="00395E03"/>
    <w:rsid w:val="00396DE1"/>
    <w:rsid w:val="003A167D"/>
    <w:rsid w:val="003B68D8"/>
    <w:rsid w:val="003B715B"/>
    <w:rsid w:val="003C050F"/>
    <w:rsid w:val="003C0716"/>
    <w:rsid w:val="003C7143"/>
    <w:rsid w:val="003D139F"/>
    <w:rsid w:val="003D15FA"/>
    <w:rsid w:val="003D7EC6"/>
    <w:rsid w:val="003E292B"/>
    <w:rsid w:val="003E594B"/>
    <w:rsid w:val="003F5796"/>
    <w:rsid w:val="003F69BF"/>
    <w:rsid w:val="00402359"/>
    <w:rsid w:val="004064A8"/>
    <w:rsid w:val="004156A5"/>
    <w:rsid w:val="0041579C"/>
    <w:rsid w:val="0042160A"/>
    <w:rsid w:val="00422E29"/>
    <w:rsid w:val="00424A76"/>
    <w:rsid w:val="00427E73"/>
    <w:rsid w:val="004312BE"/>
    <w:rsid w:val="00431BEF"/>
    <w:rsid w:val="00440DCC"/>
    <w:rsid w:val="00442854"/>
    <w:rsid w:val="00445C8B"/>
    <w:rsid w:val="0046339D"/>
    <w:rsid w:val="00467A05"/>
    <w:rsid w:val="0047127C"/>
    <w:rsid w:val="00476C8A"/>
    <w:rsid w:val="00486535"/>
    <w:rsid w:val="00490174"/>
    <w:rsid w:val="00490FB6"/>
    <w:rsid w:val="004917C1"/>
    <w:rsid w:val="00491C99"/>
    <w:rsid w:val="00495450"/>
    <w:rsid w:val="004A1805"/>
    <w:rsid w:val="004A5AD6"/>
    <w:rsid w:val="004B0A63"/>
    <w:rsid w:val="004C3EFA"/>
    <w:rsid w:val="004D1B54"/>
    <w:rsid w:val="004D3108"/>
    <w:rsid w:val="004D46FD"/>
    <w:rsid w:val="004E01E8"/>
    <w:rsid w:val="004E20CB"/>
    <w:rsid w:val="004E2912"/>
    <w:rsid w:val="004E533F"/>
    <w:rsid w:val="004F2D3D"/>
    <w:rsid w:val="005032B5"/>
    <w:rsid w:val="00515937"/>
    <w:rsid w:val="00517AD1"/>
    <w:rsid w:val="00523780"/>
    <w:rsid w:val="00530D1B"/>
    <w:rsid w:val="00531226"/>
    <w:rsid w:val="00531409"/>
    <w:rsid w:val="005358D4"/>
    <w:rsid w:val="00535DF7"/>
    <w:rsid w:val="00542107"/>
    <w:rsid w:val="00553EEB"/>
    <w:rsid w:val="00564C41"/>
    <w:rsid w:val="00582896"/>
    <w:rsid w:val="00584798"/>
    <w:rsid w:val="0059070D"/>
    <w:rsid w:val="00592C86"/>
    <w:rsid w:val="00594CE9"/>
    <w:rsid w:val="005A33D0"/>
    <w:rsid w:val="005B250B"/>
    <w:rsid w:val="005B6749"/>
    <w:rsid w:val="005B7834"/>
    <w:rsid w:val="005C28EC"/>
    <w:rsid w:val="005D19C4"/>
    <w:rsid w:val="005D2DEE"/>
    <w:rsid w:val="005D4D0C"/>
    <w:rsid w:val="005E2068"/>
    <w:rsid w:val="005E3007"/>
    <w:rsid w:val="005E6321"/>
    <w:rsid w:val="005E6C27"/>
    <w:rsid w:val="005F17F5"/>
    <w:rsid w:val="005F38EC"/>
    <w:rsid w:val="005F3B50"/>
    <w:rsid w:val="005F452A"/>
    <w:rsid w:val="006034D3"/>
    <w:rsid w:val="00614A34"/>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184E"/>
    <w:rsid w:val="006E4407"/>
    <w:rsid w:val="006F44F9"/>
    <w:rsid w:val="007114E7"/>
    <w:rsid w:val="0071588F"/>
    <w:rsid w:val="00730453"/>
    <w:rsid w:val="0073239A"/>
    <w:rsid w:val="007329F4"/>
    <w:rsid w:val="0073417D"/>
    <w:rsid w:val="0073727C"/>
    <w:rsid w:val="00744AF3"/>
    <w:rsid w:val="00747E56"/>
    <w:rsid w:val="00751672"/>
    <w:rsid w:val="0075510C"/>
    <w:rsid w:val="00775593"/>
    <w:rsid w:val="00782A08"/>
    <w:rsid w:val="00786153"/>
    <w:rsid w:val="00792C70"/>
    <w:rsid w:val="007965B0"/>
    <w:rsid w:val="007A49B5"/>
    <w:rsid w:val="007B1672"/>
    <w:rsid w:val="007B1D2D"/>
    <w:rsid w:val="007B323A"/>
    <w:rsid w:val="007B46F9"/>
    <w:rsid w:val="007B6CFE"/>
    <w:rsid w:val="007B73DA"/>
    <w:rsid w:val="007C3583"/>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B6B96"/>
    <w:rsid w:val="008D6D09"/>
    <w:rsid w:val="008D761F"/>
    <w:rsid w:val="008E5A53"/>
    <w:rsid w:val="008F013A"/>
    <w:rsid w:val="008F22F9"/>
    <w:rsid w:val="008F554F"/>
    <w:rsid w:val="008F6AC3"/>
    <w:rsid w:val="009077E3"/>
    <w:rsid w:val="00910EF2"/>
    <w:rsid w:val="00913B17"/>
    <w:rsid w:val="00913C24"/>
    <w:rsid w:val="009166DD"/>
    <w:rsid w:val="0091672D"/>
    <w:rsid w:val="00922FE6"/>
    <w:rsid w:val="009342E4"/>
    <w:rsid w:val="009445E9"/>
    <w:rsid w:val="009571DB"/>
    <w:rsid w:val="0095760E"/>
    <w:rsid w:val="009634B4"/>
    <w:rsid w:val="009643E3"/>
    <w:rsid w:val="009649FC"/>
    <w:rsid w:val="00965F82"/>
    <w:rsid w:val="0098237A"/>
    <w:rsid w:val="00982B8E"/>
    <w:rsid w:val="009830C8"/>
    <w:rsid w:val="00983B9A"/>
    <w:rsid w:val="009877CF"/>
    <w:rsid w:val="00987B98"/>
    <w:rsid w:val="00995E0A"/>
    <w:rsid w:val="009B1C06"/>
    <w:rsid w:val="009B2D1C"/>
    <w:rsid w:val="009C22D0"/>
    <w:rsid w:val="009D5A08"/>
    <w:rsid w:val="009E69A1"/>
    <w:rsid w:val="009F24FB"/>
    <w:rsid w:val="009F4939"/>
    <w:rsid w:val="009F7BD8"/>
    <w:rsid w:val="00A022C7"/>
    <w:rsid w:val="00A02D20"/>
    <w:rsid w:val="00A0627A"/>
    <w:rsid w:val="00A1674B"/>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47A5"/>
    <w:rsid w:val="00AD507E"/>
    <w:rsid w:val="00AE00BA"/>
    <w:rsid w:val="00AE3E93"/>
    <w:rsid w:val="00AE6D1F"/>
    <w:rsid w:val="00AF2068"/>
    <w:rsid w:val="00AF7EAE"/>
    <w:rsid w:val="00B03092"/>
    <w:rsid w:val="00B0541E"/>
    <w:rsid w:val="00B131C7"/>
    <w:rsid w:val="00B13849"/>
    <w:rsid w:val="00B23067"/>
    <w:rsid w:val="00B2590D"/>
    <w:rsid w:val="00B32E66"/>
    <w:rsid w:val="00B34848"/>
    <w:rsid w:val="00B40E21"/>
    <w:rsid w:val="00B45676"/>
    <w:rsid w:val="00B45F71"/>
    <w:rsid w:val="00B475C1"/>
    <w:rsid w:val="00B5018B"/>
    <w:rsid w:val="00B56939"/>
    <w:rsid w:val="00B625D9"/>
    <w:rsid w:val="00B665D7"/>
    <w:rsid w:val="00B70860"/>
    <w:rsid w:val="00B71D02"/>
    <w:rsid w:val="00B82100"/>
    <w:rsid w:val="00B922CF"/>
    <w:rsid w:val="00BA47D2"/>
    <w:rsid w:val="00BA61F7"/>
    <w:rsid w:val="00BB3104"/>
    <w:rsid w:val="00BB352A"/>
    <w:rsid w:val="00BC2D8F"/>
    <w:rsid w:val="00BC2DE6"/>
    <w:rsid w:val="00BC7240"/>
    <w:rsid w:val="00BD42F1"/>
    <w:rsid w:val="00BE1D82"/>
    <w:rsid w:val="00BE4015"/>
    <w:rsid w:val="00BE6352"/>
    <w:rsid w:val="00BF5F04"/>
    <w:rsid w:val="00C052E4"/>
    <w:rsid w:val="00C1140C"/>
    <w:rsid w:val="00C1195C"/>
    <w:rsid w:val="00C136F0"/>
    <w:rsid w:val="00C150A5"/>
    <w:rsid w:val="00C21F78"/>
    <w:rsid w:val="00C224B0"/>
    <w:rsid w:val="00C23F4D"/>
    <w:rsid w:val="00C25C02"/>
    <w:rsid w:val="00C26F4A"/>
    <w:rsid w:val="00C27A38"/>
    <w:rsid w:val="00C322C5"/>
    <w:rsid w:val="00C34D87"/>
    <w:rsid w:val="00C37F96"/>
    <w:rsid w:val="00C419F9"/>
    <w:rsid w:val="00C426F5"/>
    <w:rsid w:val="00C45D4C"/>
    <w:rsid w:val="00C546D2"/>
    <w:rsid w:val="00C55C20"/>
    <w:rsid w:val="00C61510"/>
    <w:rsid w:val="00C61561"/>
    <w:rsid w:val="00C6634A"/>
    <w:rsid w:val="00C7068E"/>
    <w:rsid w:val="00C769EE"/>
    <w:rsid w:val="00C86201"/>
    <w:rsid w:val="00C908AD"/>
    <w:rsid w:val="00C920E5"/>
    <w:rsid w:val="00C94BB9"/>
    <w:rsid w:val="00CA1E0E"/>
    <w:rsid w:val="00CA3A87"/>
    <w:rsid w:val="00CA5BA3"/>
    <w:rsid w:val="00CB0D2B"/>
    <w:rsid w:val="00CB4F5E"/>
    <w:rsid w:val="00CC49DA"/>
    <w:rsid w:val="00CC5E96"/>
    <w:rsid w:val="00CD37A0"/>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71"/>
    <w:rsid w:val="00D55AA4"/>
    <w:rsid w:val="00D607C0"/>
    <w:rsid w:val="00D6261D"/>
    <w:rsid w:val="00D6598A"/>
    <w:rsid w:val="00D65F4B"/>
    <w:rsid w:val="00D71653"/>
    <w:rsid w:val="00D72436"/>
    <w:rsid w:val="00D75290"/>
    <w:rsid w:val="00D75B40"/>
    <w:rsid w:val="00D8063C"/>
    <w:rsid w:val="00D926F9"/>
    <w:rsid w:val="00D93182"/>
    <w:rsid w:val="00D961B5"/>
    <w:rsid w:val="00DA7FD6"/>
    <w:rsid w:val="00DB1328"/>
    <w:rsid w:val="00DB3933"/>
    <w:rsid w:val="00DB63BE"/>
    <w:rsid w:val="00DB7EE0"/>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67A5"/>
    <w:rsid w:val="00E35AC9"/>
    <w:rsid w:val="00E413A9"/>
    <w:rsid w:val="00E46519"/>
    <w:rsid w:val="00E5003A"/>
    <w:rsid w:val="00E514FA"/>
    <w:rsid w:val="00E56529"/>
    <w:rsid w:val="00E6135C"/>
    <w:rsid w:val="00E66725"/>
    <w:rsid w:val="00E67591"/>
    <w:rsid w:val="00E67A2A"/>
    <w:rsid w:val="00E728B0"/>
    <w:rsid w:val="00E75758"/>
    <w:rsid w:val="00E75BC0"/>
    <w:rsid w:val="00E85ECC"/>
    <w:rsid w:val="00E9292D"/>
    <w:rsid w:val="00EA2B0E"/>
    <w:rsid w:val="00EA56F6"/>
    <w:rsid w:val="00EA77CE"/>
    <w:rsid w:val="00EB1DAB"/>
    <w:rsid w:val="00EB1EEE"/>
    <w:rsid w:val="00EC0485"/>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6242"/>
    <w:rsid w:val="00FA643C"/>
    <w:rsid w:val="00FA7894"/>
    <w:rsid w:val="00FC4DCA"/>
    <w:rsid w:val="00FC4DD1"/>
    <w:rsid w:val="00FD1DCC"/>
    <w:rsid w:val="00FD2E3D"/>
    <w:rsid w:val="00FE5CAF"/>
    <w:rsid w:val="00FE6157"/>
    <w:rsid w:val="00FE74BE"/>
    <w:rsid w:val="00FF0B73"/>
    <w:rsid w:val="00FF17C7"/>
    <w:rsid w:val="00FF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2C5D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2C5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7E60D-E737-4272-B68F-C8B8C972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2012-01-05T15:32:00Z</cp:lastPrinted>
  <dcterms:created xsi:type="dcterms:W3CDTF">2012-01-05T15:32:00Z</dcterms:created>
  <dcterms:modified xsi:type="dcterms:W3CDTF">2012-01-05T15:32:00Z</dcterms:modified>
</cp:coreProperties>
</file>