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E00F6E" w:rsidP="00E00F6E">
      <w:pPr>
        <w:pStyle w:val="Title"/>
        <w:ind w:right="-90"/>
        <w:rPr>
          <w:szCs w:val="26"/>
        </w:rPr>
      </w:pPr>
      <w:smartTag w:uri="urn:schemas-microsoft-com:office:smarttags" w:element="place">
        <w:smartTag w:uri="urn:schemas-microsoft-com:office:smarttags" w:element="State">
          <w:r w:rsidRPr="003472DA">
            <w:rPr>
              <w:szCs w:val="26"/>
            </w:rPr>
            <w:t>PENNSYLVANIA</w:t>
          </w:r>
        </w:smartTag>
      </w:smartTag>
    </w:p>
    <w:p w:rsidR="00E00F6E" w:rsidRPr="003472DA" w:rsidRDefault="00E00F6E" w:rsidP="00E00F6E">
      <w:pPr>
        <w:jc w:val="center"/>
        <w:rPr>
          <w:b/>
          <w:szCs w:val="26"/>
        </w:rPr>
      </w:pPr>
      <w:r w:rsidRPr="003472DA">
        <w:rPr>
          <w:b/>
          <w:szCs w:val="26"/>
        </w:rPr>
        <w:t>PUBLIC UTILITY COMMISSION</w:t>
      </w:r>
    </w:p>
    <w:p w:rsidR="00E00F6E" w:rsidRPr="003472DA" w:rsidRDefault="00E00F6E" w:rsidP="00E00F6E">
      <w:pPr>
        <w:pStyle w:val="Heading1"/>
        <w:rPr>
          <w:szCs w:val="26"/>
        </w:rPr>
      </w:pPr>
      <w:r w:rsidRPr="003472DA">
        <w:rPr>
          <w:szCs w:val="26"/>
        </w:rPr>
        <w:t>Harrisburg PA 17105-3265</w:t>
      </w:r>
    </w:p>
    <w:p w:rsidR="00E00F6E" w:rsidRPr="003472DA" w:rsidRDefault="00E00F6E" w:rsidP="00E00F6E">
      <w:pPr>
        <w:jc w:val="center"/>
        <w:rPr>
          <w:szCs w:val="26"/>
        </w:rPr>
      </w:pPr>
    </w:p>
    <w:p w:rsidR="00E00F6E" w:rsidRPr="003472DA" w:rsidRDefault="00E00F6E" w:rsidP="00964AD0">
      <w:pPr>
        <w:jc w:val="right"/>
        <w:rPr>
          <w:szCs w:val="26"/>
        </w:rPr>
      </w:pPr>
      <w:r w:rsidRPr="003472DA">
        <w:rPr>
          <w:szCs w:val="26"/>
        </w:rPr>
        <w:t xml:space="preserve">Public Meeting held </w:t>
      </w:r>
      <w:r w:rsidR="00F72401">
        <w:rPr>
          <w:szCs w:val="26"/>
        </w:rPr>
        <w:t>January</w:t>
      </w:r>
      <w:r w:rsidR="00964AD0">
        <w:rPr>
          <w:szCs w:val="26"/>
        </w:rPr>
        <w:t xml:space="preserve"> 1</w:t>
      </w:r>
      <w:r w:rsidR="00F72401">
        <w:rPr>
          <w:szCs w:val="26"/>
        </w:rPr>
        <w:t>2</w:t>
      </w:r>
      <w:r w:rsidR="00764FDB">
        <w:rPr>
          <w:szCs w:val="26"/>
        </w:rPr>
        <w:t>, 201</w:t>
      </w:r>
      <w:r w:rsidR="00F72401">
        <w:rPr>
          <w:szCs w:val="26"/>
        </w:rPr>
        <w:t>2</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E00F6E" w:rsidRPr="003472DA" w:rsidRDefault="00E00F6E" w:rsidP="00E00F6E">
      <w:pPr>
        <w:rPr>
          <w:szCs w:val="26"/>
        </w:rPr>
      </w:pPr>
    </w:p>
    <w:p w:rsidR="00E00F6E" w:rsidRPr="003472DA" w:rsidRDefault="00E00F6E" w:rsidP="00E00F6E">
      <w:pPr>
        <w:ind w:firstLine="720"/>
        <w:rPr>
          <w:szCs w:val="26"/>
        </w:rPr>
      </w:pPr>
      <w:r w:rsidRPr="003472DA">
        <w:rPr>
          <w:szCs w:val="26"/>
        </w:rPr>
        <w:t xml:space="preserve">Robert F. Powelson, </w:t>
      </w:r>
      <w:r>
        <w:rPr>
          <w:szCs w:val="26"/>
        </w:rPr>
        <w:t>Chairman</w:t>
      </w:r>
    </w:p>
    <w:p w:rsidR="00E00F6E" w:rsidRPr="003472DA" w:rsidRDefault="00E00F6E" w:rsidP="00E00F6E">
      <w:pPr>
        <w:rPr>
          <w:szCs w:val="26"/>
        </w:rPr>
      </w:pPr>
      <w:r w:rsidRPr="003472DA">
        <w:rPr>
          <w:szCs w:val="26"/>
        </w:rPr>
        <w:tab/>
      </w:r>
      <w:r>
        <w:rPr>
          <w:szCs w:val="26"/>
        </w:rPr>
        <w:t>John F. Coleman, Jr., Vice Chairman</w:t>
      </w:r>
    </w:p>
    <w:p w:rsidR="00E00F6E" w:rsidRDefault="00E00F6E" w:rsidP="00E00F6E">
      <w:pPr>
        <w:ind w:firstLine="720"/>
        <w:rPr>
          <w:szCs w:val="26"/>
        </w:rPr>
      </w:pPr>
      <w:r w:rsidRPr="003472DA">
        <w:rPr>
          <w:szCs w:val="26"/>
        </w:rPr>
        <w:t>Wayne E. Gardner</w:t>
      </w:r>
    </w:p>
    <w:p w:rsidR="00E00F6E" w:rsidRDefault="00E00F6E" w:rsidP="00E00F6E">
      <w:pPr>
        <w:rPr>
          <w:szCs w:val="26"/>
        </w:rPr>
      </w:pPr>
      <w:r>
        <w:rPr>
          <w:szCs w:val="26"/>
        </w:rPr>
        <w:tab/>
      </w:r>
      <w:r w:rsidRPr="003472DA">
        <w:rPr>
          <w:szCs w:val="26"/>
        </w:rPr>
        <w:t>James H. Cawley</w:t>
      </w:r>
    </w:p>
    <w:p w:rsidR="00E00F6E" w:rsidRPr="003472DA" w:rsidRDefault="00E00F6E" w:rsidP="00E00F6E">
      <w:pPr>
        <w:rPr>
          <w:szCs w:val="26"/>
        </w:rPr>
      </w:pPr>
      <w:r>
        <w:rPr>
          <w:szCs w:val="26"/>
        </w:rPr>
        <w:tab/>
        <w:t>Pamela A. Witmer</w:t>
      </w:r>
      <w:r w:rsidRPr="003472DA">
        <w:rPr>
          <w:szCs w:val="26"/>
        </w:rPr>
        <w:tab/>
      </w:r>
    </w:p>
    <w:p w:rsidR="00E00F6E" w:rsidRPr="003472DA" w:rsidRDefault="00E00F6E" w:rsidP="00E00F6E">
      <w:pPr>
        <w:rPr>
          <w:szCs w:val="26"/>
        </w:rPr>
      </w:pPr>
    </w:p>
    <w:tbl>
      <w:tblPr>
        <w:tblW w:w="9468" w:type="dxa"/>
        <w:tblLook w:val="01E0" w:firstRow="1" w:lastRow="1" w:firstColumn="1" w:lastColumn="1" w:noHBand="0" w:noVBand="0"/>
      </w:tblPr>
      <w:tblGrid>
        <w:gridCol w:w="6768"/>
        <w:gridCol w:w="2700"/>
      </w:tblGrid>
      <w:tr w:rsidR="00E00F6E" w:rsidRPr="003472DA" w:rsidTr="00BD432F">
        <w:tc>
          <w:tcPr>
            <w:tcW w:w="6768" w:type="dxa"/>
          </w:tcPr>
          <w:p w:rsidR="00E00F6E" w:rsidRPr="003472DA" w:rsidRDefault="00E00F6E" w:rsidP="00BD432F">
            <w:pPr>
              <w:tabs>
                <w:tab w:val="left" w:pos="330"/>
              </w:tabs>
              <w:ind w:left="720" w:right="-720" w:hanging="720"/>
              <w:rPr>
                <w:szCs w:val="26"/>
              </w:rPr>
            </w:pPr>
          </w:p>
          <w:p w:rsidR="007B6A3C" w:rsidRDefault="007B6A3C" w:rsidP="00BD432F">
            <w:pPr>
              <w:tabs>
                <w:tab w:val="left" w:pos="330"/>
              </w:tabs>
              <w:ind w:left="720" w:right="-720" w:hanging="720"/>
              <w:rPr>
                <w:szCs w:val="26"/>
              </w:rPr>
            </w:pPr>
            <w:r>
              <w:rPr>
                <w:szCs w:val="26"/>
              </w:rPr>
              <w:t>Lidia Shan</w:t>
            </w:r>
          </w:p>
          <w:p w:rsidR="007B6A3C" w:rsidRDefault="007B6A3C" w:rsidP="00BD432F">
            <w:pPr>
              <w:tabs>
                <w:tab w:val="left" w:pos="330"/>
              </w:tabs>
              <w:ind w:left="720" w:right="-720" w:hanging="720"/>
              <w:rPr>
                <w:szCs w:val="26"/>
              </w:rPr>
            </w:pPr>
          </w:p>
          <w:p w:rsidR="007B6A3C" w:rsidRDefault="00DB7CBC" w:rsidP="00BD432F">
            <w:pPr>
              <w:tabs>
                <w:tab w:val="left" w:pos="330"/>
              </w:tabs>
              <w:ind w:left="720" w:right="-720" w:hanging="720"/>
              <w:rPr>
                <w:szCs w:val="26"/>
              </w:rPr>
            </w:pPr>
            <w:r>
              <w:rPr>
                <w:szCs w:val="26"/>
              </w:rPr>
              <w:tab/>
            </w:r>
            <w:r w:rsidR="007B6A3C">
              <w:rPr>
                <w:szCs w:val="26"/>
              </w:rPr>
              <w:t>v.</w:t>
            </w:r>
          </w:p>
          <w:p w:rsidR="007B6A3C" w:rsidRDefault="007B6A3C" w:rsidP="00BD432F">
            <w:pPr>
              <w:tabs>
                <w:tab w:val="left" w:pos="330"/>
              </w:tabs>
              <w:ind w:left="720" w:right="-720" w:hanging="720"/>
              <w:rPr>
                <w:szCs w:val="26"/>
              </w:rPr>
            </w:pPr>
          </w:p>
          <w:p w:rsidR="00E00F6E" w:rsidRPr="003472DA" w:rsidRDefault="007B6A3C" w:rsidP="00AD144A">
            <w:pPr>
              <w:tabs>
                <w:tab w:val="left" w:pos="330"/>
              </w:tabs>
              <w:ind w:left="720" w:right="-720" w:hanging="720"/>
              <w:rPr>
                <w:szCs w:val="26"/>
              </w:rPr>
            </w:pPr>
            <w:r>
              <w:rPr>
                <w:szCs w:val="26"/>
              </w:rPr>
              <w:t>Verizon</w:t>
            </w:r>
            <w:r w:rsidR="00E00F6E" w:rsidRPr="003472DA">
              <w:rPr>
                <w:szCs w:val="26"/>
              </w:rPr>
              <w:t xml:space="preserve"> </w:t>
            </w:r>
            <w:r w:rsidR="00DB7CBC">
              <w:rPr>
                <w:szCs w:val="26"/>
              </w:rPr>
              <w:t>Pennsylvania Inc.</w:t>
            </w:r>
          </w:p>
        </w:tc>
        <w:tc>
          <w:tcPr>
            <w:tcW w:w="2700" w:type="dxa"/>
          </w:tcPr>
          <w:p w:rsidR="00671438" w:rsidRDefault="00671438" w:rsidP="00BD432F">
            <w:pPr>
              <w:ind w:right="-720"/>
              <w:rPr>
                <w:szCs w:val="26"/>
              </w:rPr>
            </w:pPr>
          </w:p>
          <w:p w:rsidR="00E00F6E" w:rsidRPr="003472DA" w:rsidRDefault="00AD144A" w:rsidP="00BD432F">
            <w:pPr>
              <w:ind w:right="-720"/>
              <w:rPr>
                <w:szCs w:val="26"/>
              </w:rPr>
            </w:pPr>
            <w:r>
              <w:rPr>
                <w:szCs w:val="26"/>
              </w:rPr>
              <w:t xml:space="preserve">            </w:t>
            </w:r>
            <w:r w:rsidR="007B6A3C">
              <w:rPr>
                <w:szCs w:val="26"/>
              </w:rPr>
              <w:t>C-2011-2243183</w:t>
            </w:r>
          </w:p>
          <w:p w:rsidR="00E00F6E" w:rsidRPr="003472DA" w:rsidRDefault="00E00F6E" w:rsidP="00BD432F">
            <w:pPr>
              <w:ind w:right="-720"/>
              <w:rPr>
                <w:szCs w:val="26"/>
              </w:rPr>
            </w:pPr>
          </w:p>
        </w:tc>
      </w:tr>
    </w:tbl>
    <w:p w:rsidR="00E00F6E" w:rsidRPr="003472DA" w:rsidRDefault="00E00F6E" w:rsidP="00E00F6E">
      <w:pPr>
        <w:pStyle w:val="Heading2"/>
        <w:spacing w:after="240"/>
        <w:rPr>
          <w:sz w:val="26"/>
          <w:szCs w:val="26"/>
        </w:rPr>
      </w:pPr>
    </w:p>
    <w:p w:rsidR="00E00F6E" w:rsidRPr="003472DA" w:rsidRDefault="00E00F6E" w:rsidP="00E00F6E">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0C7A35" w:rsidRDefault="00571F5C" w:rsidP="008B7853">
      <w:pPr>
        <w:spacing w:line="360" w:lineRule="auto"/>
        <w:ind w:firstLine="1440"/>
        <w:rPr>
          <w:b/>
          <w:szCs w:val="26"/>
        </w:rPr>
      </w:pPr>
      <w:r w:rsidRPr="00571F5C">
        <w:rPr>
          <w:szCs w:val="26"/>
        </w:rPr>
        <w:t xml:space="preserve">Before the Pennsylvania Public Utility Commission (Commission) for consideration and disposition </w:t>
      </w:r>
      <w:r w:rsidR="007B6A3C">
        <w:rPr>
          <w:szCs w:val="26"/>
        </w:rPr>
        <w:t>are</w:t>
      </w:r>
      <w:r w:rsidRPr="00571F5C">
        <w:rPr>
          <w:szCs w:val="26"/>
        </w:rPr>
        <w:t xml:space="preserve"> the </w:t>
      </w:r>
      <w:r w:rsidR="007B6A3C">
        <w:rPr>
          <w:szCs w:val="26"/>
        </w:rPr>
        <w:t>Exceptions</w:t>
      </w:r>
      <w:r w:rsidRPr="00571F5C">
        <w:rPr>
          <w:szCs w:val="26"/>
        </w:rPr>
        <w:t xml:space="preserve"> </w:t>
      </w:r>
      <w:r w:rsidR="007F5118">
        <w:rPr>
          <w:szCs w:val="26"/>
        </w:rPr>
        <w:t>of</w:t>
      </w:r>
      <w:r w:rsidRPr="00571F5C">
        <w:rPr>
          <w:szCs w:val="26"/>
        </w:rPr>
        <w:t xml:space="preserve"> </w:t>
      </w:r>
      <w:r w:rsidR="007B6A3C">
        <w:rPr>
          <w:szCs w:val="26"/>
        </w:rPr>
        <w:t>Lidia Shan</w:t>
      </w:r>
      <w:r w:rsidRPr="00571F5C">
        <w:rPr>
          <w:szCs w:val="26"/>
        </w:rPr>
        <w:t xml:space="preserve"> (</w:t>
      </w:r>
      <w:r w:rsidR="007B6A3C">
        <w:rPr>
          <w:szCs w:val="26"/>
        </w:rPr>
        <w:t>Complainant</w:t>
      </w:r>
      <w:r w:rsidRPr="00571F5C">
        <w:rPr>
          <w:szCs w:val="26"/>
        </w:rPr>
        <w:t>)</w:t>
      </w:r>
      <w:r w:rsidR="007F5118">
        <w:rPr>
          <w:szCs w:val="26"/>
        </w:rPr>
        <w:t>, filed</w:t>
      </w:r>
      <w:r w:rsidRPr="00571F5C">
        <w:rPr>
          <w:szCs w:val="26"/>
        </w:rPr>
        <w:t xml:space="preserve"> on </w:t>
      </w:r>
      <w:r w:rsidR="00DB7CBC">
        <w:rPr>
          <w:szCs w:val="26"/>
        </w:rPr>
        <w:t>October 5, 2011</w:t>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(I.D.) of Administrative Law Judge (ALJ) Dennis J. Buckley</w:t>
      </w:r>
      <w:r w:rsidR="00101D54">
        <w:rPr>
          <w:szCs w:val="26"/>
        </w:rPr>
        <w:t>,</w:t>
      </w:r>
      <w:r w:rsidR="008F7A43">
        <w:rPr>
          <w:szCs w:val="26"/>
        </w:rPr>
        <w:t xml:space="preserve"> </w:t>
      </w:r>
      <w:r w:rsidR="00C55576">
        <w:rPr>
          <w:szCs w:val="26"/>
        </w:rPr>
        <w:t>issued</w:t>
      </w:r>
      <w:r w:rsidR="008F7A43">
        <w:rPr>
          <w:szCs w:val="26"/>
        </w:rPr>
        <w:t xml:space="preserve"> </w:t>
      </w:r>
      <w:r w:rsidR="00DB7CBC">
        <w:rPr>
          <w:szCs w:val="26"/>
        </w:rPr>
        <w:t>September 1</w:t>
      </w:r>
      <w:r w:rsidR="00B47B46">
        <w:rPr>
          <w:szCs w:val="26"/>
        </w:rPr>
        <w:t>9</w:t>
      </w:r>
      <w:r w:rsidR="00DB7CBC">
        <w:rPr>
          <w:szCs w:val="26"/>
        </w:rPr>
        <w:t>, 2011</w:t>
      </w:r>
      <w:r w:rsidR="00101D54">
        <w:rPr>
          <w:szCs w:val="26"/>
        </w:rPr>
        <w:t>, in the above-captioned proceeding</w:t>
      </w:r>
      <w:r w:rsidR="00B47B46">
        <w:rPr>
          <w:szCs w:val="26"/>
        </w:rPr>
        <w:t>.</w:t>
      </w:r>
      <w:r w:rsidRPr="00571F5C">
        <w:rPr>
          <w:szCs w:val="26"/>
        </w:rPr>
        <w:t xml:space="preserve"> </w:t>
      </w:r>
      <w:r w:rsidR="00B47B46">
        <w:rPr>
          <w:szCs w:val="26"/>
        </w:rPr>
        <w:t xml:space="preserve"> </w:t>
      </w:r>
      <w:r w:rsidR="00DD4B3F">
        <w:rPr>
          <w:szCs w:val="26"/>
        </w:rPr>
        <w:t>Verizon Pennsylvania Inc.</w:t>
      </w:r>
      <w:r w:rsidRPr="00571F5C">
        <w:rPr>
          <w:szCs w:val="26"/>
        </w:rPr>
        <w:t xml:space="preserve"> (</w:t>
      </w:r>
      <w:r w:rsidR="00DD4B3F">
        <w:rPr>
          <w:szCs w:val="26"/>
        </w:rPr>
        <w:t>Verizon</w:t>
      </w:r>
      <w:r w:rsidRPr="00571F5C">
        <w:rPr>
          <w:szCs w:val="26"/>
        </w:rPr>
        <w:t xml:space="preserve">) </w:t>
      </w:r>
      <w:r w:rsidR="00B47B46">
        <w:rPr>
          <w:szCs w:val="26"/>
        </w:rPr>
        <w:t xml:space="preserve">filed Replies to Exceptions </w:t>
      </w:r>
      <w:r w:rsidRPr="00571F5C">
        <w:rPr>
          <w:szCs w:val="26"/>
        </w:rPr>
        <w:t xml:space="preserve">on </w:t>
      </w:r>
      <w:r w:rsidR="00DD4B3F">
        <w:rPr>
          <w:szCs w:val="26"/>
        </w:rPr>
        <w:t>October 19, 2011</w:t>
      </w:r>
      <w:r w:rsidRPr="00571F5C">
        <w:rPr>
          <w:szCs w:val="26"/>
        </w:rPr>
        <w:t>.</w:t>
      </w:r>
      <w:r w:rsidR="00D76068">
        <w:rPr>
          <w:szCs w:val="26"/>
        </w:rPr>
        <w:t xml:space="preserve">  For the reasons set forth herein, we shall </w:t>
      </w:r>
      <w:r w:rsidR="008B7853">
        <w:rPr>
          <w:szCs w:val="26"/>
        </w:rPr>
        <w:t xml:space="preserve">deny the Exceptions and adopt the Initial Decision. </w:t>
      </w:r>
    </w:p>
    <w:p w:rsidR="000C7A35" w:rsidRDefault="000C7A35" w:rsidP="00DD4B3F">
      <w:pPr>
        <w:spacing w:line="360" w:lineRule="auto"/>
        <w:jc w:val="center"/>
        <w:rPr>
          <w:b/>
          <w:szCs w:val="26"/>
        </w:rPr>
      </w:pPr>
    </w:p>
    <w:p w:rsidR="000C7A35" w:rsidRDefault="000C7A35" w:rsidP="00DD4B3F">
      <w:pPr>
        <w:spacing w:line="360" w:lineRule="auto"/>
        <w:jc w:val="center"/>
        <w:rPr>
          <w:b/>
          <w:szCs w:val="26"/>
        </w:rPr>
      </w:pPr>
    </w:p>
    <w:p w:rsidR="008B7853" w:rsidRDefault="008B7853" w:rsidP="00DD4B3F">
      <w:pPr>
        <w:spacing w:line="360" w:lineRule="auto"/>
        <w:jc w:val="center"/>
        <w:rPr>
          <w:b/>
          <w:szCs w:val="26"/>
        </w:rPr>
      </w:pPr>
    </w:p>
    <w:p w:rsidR="008B7853" w:rsidRDefault="008B7853" w:rsidP="00DD4B3F">
      <w:pPr>
        <w:spacing w:line="360" w:lineRule="auto"/>
        <w:jc w:val="center"/>
        <w:rPr>
          <w:b/>
          <w:szCs w:val="26"/>
        </w:rPr>
      </w:pPr>
    </w:p>
    <w:p w:rsidR="00524BED" w:rsidRDefault="00524BED" w:rsidP="00DD4B3F">
      <w:pPr>
        <w:spacing w:line="360" w:lineRule="auto"/>
        <w:jc w:val="center"/>
        <w:rPr>
          <w:b/>
          <w:szCs w:val="26"/>
        </w:rPr>
      </w:pPr>
      <w:r>
        <w:rPr>
          <w:b/>
          <w:szCs w:val="26"/>
        </w:rPr>
        <w:lastRenderedPageBreak/>
        <w:t>History of the Proceeding</w:t>
      </w:r>
    </w:p>
    <w:p w:rsidR="00567496" w:rsidRDefault="00567496" w:rsidP="00524BED">
      <w:pPr>
        <w:spacing w:line="360" w:lineRule="auto"/>
        <w:rPr>
          <w:szCs w:val="26"/>
        </w:rPr>
      </w:pPr>
    </w:p>
    <w:p w:rsidR="00101D54" w:rsidRDefault="006F3418" w:rsidP="00A55BFB">
      <w:pPr>
        <w:pStyle w:val="BodyText"/>
        <w:tabs>
          <w:tab w:val="left" w:pos="0"/>
        </w:tabs>
        <w:spacing w:after="0" w:line="360" w:lineRule="auto"/>
        <w:rPr>
          <w:szCs w:val="24"/>
        </w:rPr>
      </w:pPr>
      <w:r>
        <w:rPr>
          <w:szCs w:val="24"/>
        </w:rPr>
        <w:tab/>
      </w:r>
      <w:r>
        <w:rPr>
          <w:szCs w:val="24"/>
        </w:rPr>
        <w:tab/>
      </w:r>
      <w:r w:rsidR="00DD4B3F" w:rsidRPr="00E475A1">
        <w:rPr>
          <w:szCs w:val="24"/>
        </w:rPr>
        <w:t xml:space="preserve">On May 24, 2011, </w:t>
      </w:r>
      <w:r w:rsidR="00C55576">
        <w:rPr>
          <w:szCs w:val="24"/>
        </w:rPr>
        <w:t>Ms.</w:t>
      </w:r>
      <w:r w:rsidR="00DD4B3F" w:rsidRPr="00E475A1">
        <w:rPr>
          <w:szCs w:val="24"/>
        </w:rPr>
        <w:t xml:space="preserve"> Shan</w:t>
      </w:r>
      <w:r w:rsidR="002F7734">
        <w:rPr>
          <w:szCs w:val="24"/>
        </w:rPr>
        <w:t xml:space="preserve"> </w:t>
      </w:r>
      <w:r w:rsidR="00DD4B3F" w:rsidRPr="00E475A1">
        <w:rPr>
          <w:szCs w:val="24"/>
        </w:rPr>
        <w:t xml:space="preserve">filed a </w:t>
      </w:r>
      <w:r w:rsidR="00DD4B3F">
        <w:rPr>
          <w:szCs w:val="24"/>
        </w:rPr>
        <w:t>F</w:t>
      </w:r>
      <w:r w:rsidR="00DD4B3F" w:rsidRPr="00E475A1">
        <w:rPr>
          <w:szCs w:val="24"/>
        </w:rPr>
        <w:t xml:space="preserve">ormal Complaint </w:t>
      </w:r>
      <w:r w:rsidR="000A0C77">
        <w:rPr>
          <w:szCs w:val="24"/>
        </w:rPr>
        <w:t xml:space="preserve">(2011 Complaint) </w:t>
      </w:r>
      <w:r w:rsidR="00DD4B3F" w:rsidRPr="00E475A1">
        <w:rPr>
          <w:szCs w:val="24"/>
        </w:rPr>
        <w:t>against Verizon</w:t>
      </w:r>
      <w:r w:rsidR="00AD73AA">
        <w:rPr>
          <w:szCs w:val="24"/>
        </w:rPr>
        <w:t>, alleging</w:t>
      </w:r>
      <w:r w:rsidR="000D6CEF">
        <w:rPr>
          <w:szCs w:val="24"/>
        </w:rPr>
        <w:t xml:space="preserve"> that </w:t>
      </w:r>
      <w:r w:rsidR="00AD73AA">
        <w:rPr>
          <w:szCs w:val="24"/>
        </w:rPr>
        <w:t>Verizon’s tariffs are</w:t>
      </w:r>
      <w:r w:rsidR="000D6CEF">
        <w:rPr>
          <w:szCs w:val="24"/>
        </w:rPr>
        <w:t xml:space="preserve"> </w:t>
      </w:r>
      <w:r w:rsidR="00DD4B3F" w:rsidRPr="00E475A1">
        <w:rPr>
          <w:szCs w:val="24"/>
        </w:rPr>
        <w:t>inconsisten</w:t>
      </w:r>
      <w:r w:rsidR="00AD73AA">
        <w:rPr>
          <w:szCs w:val="24"/>
        </w:rPr>
        <w:t>t</w:t>
      </w:r>
      <w:r w:rsidR="00DD4B3F" w:rsidRPr="00E475A1">
        <w:rPr>
          <w:szCs w:val="24"/>
        </w:rPr>
        <w:t xml:space="preserve"> </w:t>
      </w:r>
      <w:r w:rsidR="00AD73AA">
        <w:rPr>
          <w:szCs w:val="24"/>
        </w:rPr>
        <w:t xml:space="preserve">and inaccurate regarding temporarily suspended service or “vacation” service.  </w:t>
      </w:r>
      <w:r w:rsidR="00BD679B">
        <w:rPr>
          <w:szCs w:val="24"/>
        </w:rPr>
        <w:t>T</w:t>
      </w:r>
      <w:r w:rsidR="00997381">
        <w:rPr>
          <w:szCs w:val="24"/>
        </w:rPr>
        <w:t>he Complainant stated</w:t>
      </w:r>
      <w:r w:rsidR="00DD4B3F" w:rsidRPr="00E475A1">
        <w:rPr>
          <w:szCs w:val="24"/>
        </w:rPr>
        <w:t xml:space="preserve"> that she wants the Commission to revise the Respondent’s tariff structure concerning temporary suspension of service.</w:t>
      </w:r>
      <w:r w:rsidR="00BD679B">
        <w:rPr>
          <w:szCs w:val="24"/>
        </w:rPr>
        <w:t xml:space="preserve">  </w:t>
      </w:r>
    </w:p>
    <w:p w:rsidR="00AD73AA" w:rsidRDefault="00DD4B3F" w:rsidP="00A55BFB">
      <w:pPr>
        <w:pStyle w:val="BodyText"/>
        <w:tabs>
          <w:tab w:val="left" w:pos="0"/>
        </w:tabs>
        <w:spacing w:after="0" w:line="360" w:lineRule="auto"/>
        <w:rPr>
          <w:szCs w:val="24"/>
        </w:rPr>
      </w:pPr>
      <w:r w:rsidRPr="00E475A1">
        <w:rPr>
          <w:szCs w:val="24"/>
        </w:rPr>
        <w:tab/>
      </w:r>
      <w:r w:rsidRPr="00E475A1">
        <w:rPr>
          <w:szCs w:val="24"/>
        </w:rPr>
        <w:tab/>
      </w:r>
    </w:p>
    <w:p w:rsidR="00DD4B3F" w:rsidRDefault="00AD73AA" w:rsidP="00A55BFB">
      <w:pPr>
        <w:pStyle w:val="BodyText"/>
        <w:tabs>
          <w:tab w:val="left" w:pos="0"/>
        </w:tabs>
        <w:spacing w:after="0" w:line="360" w:lineRule="auto"/>
        <w:rPr>
          <w:szCs w:val="24"/>
        </w:rPr>
      </w:pPr>
      <w:r>
        <w:rPr>
          <w:szCs w:val="24"/>
        </w:rPr>
        <w:tab/>
      </w:r>
      <w:r>
        <w:rPr>
          <w:szCs w:val="24"/>
        </w:rPr>
        <w:tab/>
      </w:r>
      <w:r w:rsidR="003356A1">
        <w:rPr>
          <w:szCs w:val="24"/>
        </w:rPr>
        <w:t xml:space="preserve">On June 17, 2011, </w:t>
      </w:r>
      <w:r w:rsidR="00DD4B3F" w:rsidRPr="00E475A1">
        <w:rPr>
          <w:szCs w:val="24"/>
        </w:rPr>
        <w:t>Verizon filed an Answer and N</w:t>
      </w:r>
      <w:r w:rsidR="002F7734">
        <w:rPr>
          <w:szCs w:val="24"/>
        </w:rPr>
        <w:t>ew Matter</w:t>
      </w:r>
      <w:r w:rsidR="000A0C77">
        <w:rPr>
          <w:szCs w:val="24"/>
        </w:rPr>
        <w:t>,</w:t>
      </w:r>
      <w:r w:rsidR="00DD4B3F" w:rsidRPr="00E475A1">
        <w:rPr>
          <w:szCs w:val="24"/>
        </w:rPr>
        <w:t xml:space="preserve"> </w:t>
      </w:r>
      <w:r w:rsidR="003356A1">
        <w:rPr>
          <w:szCs w:val="24"/>
        </w:rPr>
        <w:t>as well as</w:t>
      </w:r>
      <w:r w:rsidR="002F7734">
        <w:rPr>
          <w:szCs w:val="24"/>
        </w:rPr>
        <w:t xml:space="preserve"> Preliminary Objections</w:t>
      </w:r>
      <w:r w:rsidR="00DD4B3F" w:rsidRPr="00E475A1">
        <w:rPr>
          <w:szCs w:val="24"/>
        </w:rPr>
        <w:t>.  In its Answer, Verizon denie</w:t>
      </w:r>
      <w:r w:rsidR="003356A1">
        <w:rPr>
          <w:szCs w:val="24"/>
        </w:rPr>
        <w:t>d</w:t>
      </w:r>
      <w:r w:rsidR="00DD4B3F" w:rsidRPr="00E475A1">
        <w:rPr>
          <w:szCs w:val="24"/>
        </w:rPr>
        <w:t xml:space="preserve"> </w:t>
      </w:r>
      <w:r w:rsidR="00FB477C">
        <w:rPr>
          <w:szCs w:val="24"/>
        </w:rPr>
        <w:t>the material allegations of the Complaint</w:t>
      </w:r>
      <w:r w:rsidR="00DD4B3F" w:rsidRPr="00E475A1">
        <w:rPr>
          <w:szCs w:val="24"/>
        </w:rPr>
        <w:t>.  In its New Matter and Preliminary Objections, Verizon assert</w:t>
      </w:r>
      <w:r w:rsidR="000A0C77">
        <w:rPr>
          <w:szCs w:val="24"/>
        </w:rPr>
        <w:t>ed</w:t>
      </w:r>
      <w:r w:rsidR="00DD4B3F" w:rsidRPr="00E475A1">
        <w:rPr>
          <w:szCs w:val="24"/>
        </w:rPr>
        <w:t xml:space="preserve"> that the 2011 Complaint should be dismissed because</w:t>
      </w:r>
      <w:r w:rsidR="008B79D6">
        <w:rPr>
          <w:szCs w:val="24"/>
        </w:rPr>
        <w:t xml:space="preserve"> </w:t>
      </w:r>
      <w:r w:rsidR="000E75E1">
        <w:rPr>
          <w:szCs w:val="24"/>
        </w:rPr>
        <w:t xml:space="preserve">the Complainant already had an open proceeding </w:t>
      </w:r>
      <w:r w:rsidR="00167B7B">
        <w:rPr>
          <w:szCs w:val="24"/>
        </w:rPr>
        <w:t xml:space="preserve">before the Commission that involved the same issue raised in the present case, namely that her telephone account should not </w:t>
      </w:r>
      <w:r w:rsidR="00AD121B">
        <w:rPr>
          <w:szCs w:val="24"/>
        </w:rPr>
        <w:t xml:space="preserve">have </w:t>
      </w:r>
      <w:r w:rsidR="00167B7B">
        <w:rPr>
          <w:szCs w:val="24"/>
        </w:rPr>
        <w:t>be</w:t>
      </w:r>
      <w:r w:rsidR="00AD121B">
        <w:rPr>
          <w:szCs w:val="24"/>
        </w:rPr>
        <w:t>en</w:t>
      </w:r>
      <w:r w:rsidR="00167B7B">
        <w:rPr>
          <w:szCs w:val="24"/>
        </w:rPr>
        <w:t xml:space="preserve"> billed </w:t>
      </w:r>
      <w:r w:rsidR="00AD121B">
        <w:rPr>
          <w:szCs w:val="24"/>
        </w:rPr>
        <w:t>for</w:t>
      </w:r>
      <w:r w:rsidR="00167B7B">
        <w:rPr>
          <w:szCs w:val="24"/>
        </w:rPr>
        <w:t xml:space="preserve"> the time period during which her service </w:t>
      </w:r>
      <w:r w:rsidR="00AD121B">
        <w:rPr>
          <w:szCs w:val="24"/>
        </w:rPr>
        <w:t>wa</w:t>
      </w:r>
      <w:r w:rsidR="00167B7B">
        <w:rPr>
          <w:szCs w:val="24"/>
        </w:rPr>
        <w:t xml:space="preserve">s temporarily suspended while she </w:t>
      </w:r>
      <w:r w:rsidR="00AD121B">
        <w:rPr>
          <w:szCs w:val="24"/>
        </w:rPr>
        <w:t>wa</w:t>
      </w:r>
      <w:r w:rsidR="00167B7B">
        <w:rPr>
          <w:szCs w:val="24"/>
        </w:rPr>
        <w:t xml:space="preserve">s out of the country.  </w:t>
      </w:r>
      <w:r w:rsidR="00DD4B3F" w:rsidRPr="00E475A1">
        <w:rPr>
          <w:szCs w:val="24"/>
        </w:rPr>
        <w:t>On July 10, 2011, the Complainant filed an Answer to Verizon’s Preliminary Objections</w:t>
      </w:r>
      <w:r w:rsidR="00AD121B">
        <w:rPr>
          <w:szCs w:val="24"/>
        </w:rPr>
        <w:t>.</w:t>
      </w:r>
      <w:r w:rsidR="00B8612F">
        <w:rPr>
          <w:rStyle w:val="FootnoteReference"/>
          <w:szCs w:val="24"/>
        </w:rPr>
        <w:footnoteReference w:id="1"/>
      </w:r>
      <w:r w:rsidR="00AD121B">
        <w:rPr>
          <w:szCs w:val="24"/>
        </w:rPr>
        <w:t xml:space="preserve">  S</w:t>
      </w:r>
      <w:r w:rsidR="00167B7B">
        <w:rPr>
          <w:szCs w:val="24"/>
        </w:rPr>
        <w:t xml:space="preserve">he stated that the 2011 Complaint involved the existence of multiple tariffs for one telephone line placed on temporary suspension and that this was a different issue from the issue involved in the Complaint </w:t>
      </w:r>
      <w:r w:rsidR="00354B0D">
        <w:rPr>
          <w:szCs w:val="24"/>
        </w:rPr>
        <w:t>that she filed in 2009 at Docket No. C-2009-2150021 (2009 Complaint)</w:t>
      </w:r>
      <w:r w:rsidR="00167B7B">
        <w:rPr>
          <w:szCs w:val="24"/>
        </w:rPr>
        <w:t xml:space="preserve">. </w:t>
      </w:r>
      <w:r w:rsidR="00964AD0">
        <w:rPr>
          <w:szCs w:val="24"/>
        </w:rPr>
        <w:t xml:space="preserve"> </w:t>
      </w:r>
    </w:p>
    <w:p w:rsidR="00DD4B3F" w:rsidRDefault="00DD4B3F" w:rsidP="00DD4B3F">
      <w:pPr>
        <w:tabs>
          <w:tab w:val="left" w:pos="-1440"/>
          <w:tab w:val="left" w:pos="-720"/>
          <w:tab w:val="left" w:pos="0"/>
        </w:tabs>
        <w:spacing w:line="360" w:lineRule="auto"/>
        <w:rPr>
          <w:sz w:val="24"/>
          <w:szCs w:val="24"/>
        </w:rPr>
      </w:pPr>
    </w:p>
    <w:p w:rsidR="000C7A35" w:rsidRDefault="00BD679B" w:rsidP="00A55BFB">
      <w:pPr>
        <w:pStyle w:val="BodyText"/>
        <w:tabs>
          <w:tab w:val="left" w:pos="0"/>
        </w:tabs>
        <w:spacing w:after="0" w:line="360" w:lineRule="auto"/>
        <w:rPr>
          <w:szCs w:val="24"/>
        </w:rPr>
      </w:pPr>
      <w:r>
        <w:rPr>
          <w:sz w:val="24"/>
          <w:szCs w:val="24"/>
        </w:rPr>
        <w:tab/>
      </w:r>
      <w:r>
        <w:rPr>
          <w:sz w:val="24"/>
          <w:szCs w:val="24"/>
        </w:rPr>
        <w:tab/>
      </w:r>
      <w:r w:rsidR="00FB486A" w:rsidRPr="00FB486A">
        <w:rPr>
          <w:szCs w:val="24"/>
        </w:rPr>
        <w:t>In the</w:t>
      </w:r>
      <w:r w:rsidR="00FB486A">
        <w:rPr>
          <w:szCs w:val="24"/>
        </w:rPr>
        <w:t xml:space="preserve"> Initial Decision, which was issued o</w:t>
      </w:r>
      <w:r w:rsidRPr="00421ABF">
        <w:rPr>
          <w:szCs w:val="24"/>
        </w:rPr>
        <w:t>n September 1</w:t>
      </w:r>
      <w:r w:rsidR="00FB486A">
        <w:rPr>
          <w:szCs w:val="24"/>
        </w:rPr>
        <w:t>9</w:t>
      </w:r>
      <w:r w:rsidRPr="00421ABF">
        <w:rPr>
          <w:szCs w:val="24"/>
        </w:rPr>
        <w:t>, 2011</w:t>
      </w:r>
      <w:r w:rsidR="00FB486A">
        <w:rPr>
          <w:szCs w:val="24"/>
        </w:rPr>
        <w:t>,</w:t>
      </w:r>
      <w:r w:rsidRPr="00421ABF">
        <w:rPr>
          <w:szCs w:val="24"/>
        </w:rPr>
        <w:t xml:space="preserve"> </w:t>
      </w:r>
      <w:r w:rsidR="00203A63" w:rsidRPr="00421ABF">
        <w:rPr>
          <w:szCs w:val="24"/>
        </w:rPr>
        <w:t xml:space="preserve">the </w:t>
      </w:r>
      <w:r w:rsidRPr="00421ABF">
        <w:rPr>
          <w:szCs w:val="24"/>
        </w:rPr>
        <w:t xml:space="preserve">ALJ </w:t>
      </w:r>
      <w:r w:rsidR="00203A63" w:rsidRPr="00421ABF">
        <w:rPr>
          <w:szCs w:val="24"/>
        </w:rPr>
        <w:t>grant</w:t>
      </w:r>
      <w:r w:rsidR="00FB486A">
        <w:rPr>
          <w:szCs w:val="24"/>
        </w:rPr>
        <w:t>ed</w:t>
      </w:r>
      <w:r w:rsidR="00203A63" w:rsidRPr="00421ABF">
        <w:rPr>
          <w:szCs w:val="24"/>
        </w:rPr>
        <w:t xml:space="preserve"> the Preliminary Objections and dismiss</w:t>
      </w:r>
      <w:r w:rsidR="00FB486A">
        <w:rPr>
          <w:szCs w:val="24"/>
        </w:rPr>
        <w:t>ed</w:t>
      </w:r>
      <w:r w:rsidR="00203A63" w:rsidRPr="00421ABF">
        <w:rPr>
          <w:szCs w:val="24"/>
        </w:rPr>
        <w:t xml:space="preserve"> the </w:t>
      </w:r>
      <w:r w:rsidR="0099143E">
        <w:rPr>
          <w:szCs w:val="24"/>
        </w:rPr>
        <w:t xml:space="preserve">2011 </w:t>
      </w:r>
      <w:r w:rsidR="00FB486A">
        <w:rPr>
          <w:szCs w:val="24"/>
        </w:rPr>
        <w:t>C</w:t>
      </w:r>
      <w:r w:rsidR="00203A63" w:rsidRPr="00421ABF">
        <w:rPr>
          <w:szCs w:val="24"/>
        </w:rPr>
        <w:t>omplaint with prejudice.</w:t>
      </w:r>
      <w:r w:rsidR="00652FE5" w:rsidRPr="00421ABF">
        <w:rPr>
          <w:szCs w:val="24"/>
        </w:rPr>
        <w:t xml:space="preserve">  I.D. at 8.</w:t>
      </w:r>
      <w:r w:rsidR="00203A63" w:rsidRPr="00421ABF">
        <w:rPr>
          <w:szCs w:val="24"/>
        </w:rPr>
        <w:t xml:space="preserve">  </w:t>
      </w:r>
      <w:r w:rsidR="0099143E">
        <w:rPr>
          <w:szCs w:val="24"/>
        </w:rPr>
        <w:t>The ALJ also precluded the Complainant from filing further informal and formal complaints with respect to Verizon’s tariffs concerning temporarily suspended service or “vacation” service for the Complainant’s telephone account.</w:t>
      </w:r>
    </w:p>
    <w:p w:rsidR="00BD679B" w:rsidRPr="00421ABF" w:rsidRDefault="0099143E" w:rsidP="00A55BFB">
      <w:pPr>
        <w:pStyle w:val="BodyText"/>
        <w:tabs>
          <w:tab w:val="left" w:pos="0"/>
        </w:tabs>
        <w:spacing w:after="0" w:line="360" w:lineRule="auto"/>
        <w:rPr>
          <w:szCs w:val="24"/>
        </w:rPr>
      </w:pPr>
      <w:r>
        <w:rPr>
          <w:szCs w:val="24"/>
        </w:rPr>
        <w:lastRenderedPageBreak/>
        <w:t xml:space="preserve">  </w:t>
      </w:r>
      <w:r>
        <w:rPr>
          <w:szCs w:val="24"/>
        </w:rPr>
        <w:tab/>
      </w:r>
      <w:r>
        <w:rPr>
          <w:szCs w:val="24"/>
        </w:rPr>
        <w:tab/>
      </w:r>
      <w:r w:rsidR="00203A63" w:rsidRPr="00421ABF">
        <w:rPr>
          <w:szCs w:val="24"/>
        </w:rPr>
        <w:t>As noted above, the Complainant filed Exceptions</w:t>
      </w:r>
      <w:r w:rsidR="00964AD0" w:rsidRPr="00421ABF">
        <w:rPr>
          <w:szCs w:val="24"/>
        </w:rPr>
        <w:t xml:space="preserve"> on</w:t>
      </w:r>
      <w:r w:rsidR="00203A63" w:rsidRPr="00421ABF">
        <w:rPr>
          <w:szCs w:val="24"/>
        </w:rPr>
        <w:t xml:space="preserve"> October 5, 2011.</w:t>
      </w:r>
      <w:r w:rsidR="000C7A35">
        <w:rPr>
          <w:rStyle w:val="FootnoteReference"/>
          <w:szCs w:val="24"/>
        </w:rPr>
        <w:footnoteReference w:id="2"/>
      </w:r>
      <w:r w:rsidR="00203A63" w:rsidRPr="00421ABF">
        <w:rPr>
          <w:szCs w:val="24"/>
        </w:rPr>
        <w:t xml:space="preserve">  Verizon filed Repl</w:t>
      </w:r>
      <w:r>
        <w:rPr>
          <w:szCs w:val="24"/>
        </w:rPr>
        <w:t>ies to</w:t>
      </w:r>
      <w:r w:rsidR="00203A63" w:rsidRPr="00421ABF">
        <w:rPr>
          <w:szCs w:val="24"/>
        </w:rPr>
        <w:t xml:space="preserve"> Exceptions on October 19, 2011.</w:t>
      </w:r>
      <w:r>
        <w:rPr>
          <w:szCs w:val="24"/>
        </w:rPr>
        <w:t xml:space="preserve">  </w:t>
      </w:r>
    </w:p>
    <w:p w:rsidR="0099143E" w:rsidRDefault="00DD4B3F" w:rsidP="000C7A35">
      <w:pPr>
        <w:tabs>
          <w:tab w:val="left" w:pos="-1440"/>
          <w:tab w:val="left" w:pos="-720"/>
          <w:tab w:val="left" w:pos="0"/>
        </w:tabs>
        <w:spacing w:line="360" w:lineRule="auto"/>
        <w:rPr>
          <w:b/>
          <w:szCs w:val="26"/>
        </w:rPr>
      </w:pPr>
      <w:r w:rsidRPr="00E475A1">
        <w:rPr>
          <w:sz w:val="24"/>
          <w:szCs w:val="24"/>
        </w:rPr>
        <w:tab/>
      </w:r>
      <w:r w:rsidRPr="00E475A1">
        <w:rPr>
          <w:sz w:val="24"/>
          <w:szCs w:val="24"/>
        </w:rPr>
        <w:tab/>
      </w:r>
    </w:p>
    <w:p w:rsidR="00E33352" w:rsidRDefault="002561C5" w:rsidP="002561C5">
      <w:pPr>
        <w:spacing w:line="360" w:lineRule="auto"/>
        <w:jc w:val="center"/>
        <w:rPr>
          <w:b/>
          <w:szCs w:val="26"/>
        </w:rPr>
      </w:pPr>
      <w:r w:rsidRPr="002561C5">
        <w:rPr>
          <w:b/>
          <w:szCs w:val="26"/>
        </w:rPr>
        <w:t>Discussion</w:t>
      </w:r>
    </w:p>
    <w:p w:rsidR="002561C5" w:rsidRDefault="002561C5" w:rsidP="002561C5">
      <w:pPr>
        <w:spacing w:line="360" w:lineRule="auto"/>
        <w:jc w:val="center"/>
        <w:rPr>
          <w:b/>
          <w:szCs w:val="26"/>
        </w:rPr>
      </w:pPr>
    </w:p>
    <w:p w:rsidR="005E1B9D" w:rsidRDefault="002561C5" w:rsidP="005E1B9D">
      <w:pPr>
        <w:spacing w:line="360" w:lineRule="auto"/>
        <w:ind w:firstLine="1440"/>
        <w:rPr>
          <w:szCs w:val="26"/>
        </w:rPr>
      </w:pPr>
      <w:r>
        <w:rPr>
          <w:szCs w:val="26"/>
        </w:rPr>
        <w:t>The ALJ made nine Findings of Fact and reached nine Conclusions of Law</w:t>
      </w:r>
      <w:r w:rsidR="00653F5F">
        <w:rPr>
          <w:szCs w:val="26"/>
        </w:rPr>
        <w:t>.</w:t>
      </w:r>
      <w:r>
        <w:rPr>
          <w:szCs w:val="26"/>
        </w:rPr>
        <w:t xml:space="preserve"> </w:t>
      </w:r>
      <w:r w:rsidR="00653F5F">
        <w:rPr>
          <w:szCs w:val="26"/>
        </w:rPr>
        <w:t xml:space="preserve">I.D. at 2-3, </w:t>
      </w:r>
      <w:r>
        <w:rPr>
          <w:szCs w:val="26"/>
        </w:rPr>
        <w:t xml:space="preserve">7-8.  </w:t>
      </w:r>
      <w:r w:rsidR="005E1B9D" w:rsidRPr="002E740E">
        <w:rPr>
          <w:szCs w:val="26"/>
        </w:rPr>
        <w:t>We shall adopt and incorporate herein by reference the ALJ’s Findings of Fact and Conclusions of Law, unless they are reversed or modified by this Opinion and Order</w:t>
      </w:r>
      <w:r w:rsidR="005E1B9D">
        <w:rPr>
          <w:szCs w:val="26"/>
        </w:rPr>
        <w:t>,</w:t>
      </w:r>
      <w:r w:rsidR="005E1B9D" w:rsidRPr="002E740E">
        <w:rPr>
          <w:szCs w:val="26"/>
        </w:rPr>
        <w:t xml:space="preserve"> </w:t>
      </w:r>
      <w:r w:rsidR="005E1B9D">
        <w:rPr>
          <w:szCs w:val="26"/>
        </w:rPr>
        <w:t xml:space="preserve">either </w:t>
      </w:r>
      <w:r w:rsidR="005E1B9D" w:rsidRPr="002E740E">
        <w:rPr>
          <w:szCs w:val="26"/>
        </w:rPr>
        <w:t>expressly or by necessary implication</w:t>
      </w:r>
      <w:r w:rsidR="005E1B9D">
        <w:rPr>
          <w:szCs w:val="26"/>
        </w:rPr>
        <w:t>.</w:t>
      </w:r>
      <w:r w:rsidR="005E1B9D" w:rsidRPr="002E740E">
        <w:rPr>
          <w:szCs w:val="26"/>
        </w:rPr>
        <w:t> </w:t>
      </w:r>
    </w:p>
    <w:p w:rsidR="005E1B9D" w:rsidRDefault="005E1B9D" w:rsidP="005E1B9D">
      <w:pPr>
        <w:spacing w:line="360" w:lineRule="auto"/>
        <w:ind w:firstLine="1440"/>
        <w:rPr>
          <w:szCs w:val="26"/>
        </w:rPr>
      </w:pPr>
      <w:r w:rsidRPr="002E740E">
        <w:rPr>
          <w:szCs w:val="26"/>
        </w:rPr>
        <w:t xml:space="preserve"> </w:t>
      </w:r>
    </w:p>
    <w:p w:rsidR="002561C5" w:rsidRDefault="005E1B9D" w:rsidP="005E1B9D">
      <w:pPr>
        <w:spacing w:line="360" w:lineRule="auto"/>
        <w:ind w:firstLine="1440"/>
        <w:rPr>
          <w:szCs w:val="26"/>
        </w:rPr>
      </w:pPr>
      <w:r>
        <w:rPr>
          <w:szCs w:val="26"/>
        </w:rPr>
        <w:t>W</w:t>
      </w:r>
      <w:r w:rsidRPr="004A753B">
        <w:rPr>
          <w:szCs w:val="26"/>
        </w:rPr>
        <w:t xml:space="preserve">e note that any issue or Exception that we do not specifically </w:t>
      </w:r>
      <w:r>
        <w:rPr>
          <w:szCs w:val="26"/>
        </w:rPr>
        <w:t>delineate</w:t>
      </w:r>
      <w:r w:rsidRPr="004A753B">
        <w:rPr>
          <w:szCs w:val="26"/>
        </w:rPr>
        <w:t xml:space="preserve"> has been duly considered and will be denied without further discussion.  It is well settled that we are not required to consider, expressly or at length, each contention or argument raised by the parties.  </w:t>
      </w:r>
      <w:r w:rsidRPr="004A753B">
        <w:rPr>
          <w:i/>
          <w:szCs w:val="26"/>
        </w:rPr>
        <w:t>Consolidated Rail Corp</w:t>
      </w:r>
      <w:r w:rsidR="00354B0D">
        <w:rPr>
          <w:i/>
          <w:szCs w:val="26"/>
        </w:rPr>
        <w:t>.</w:t>
      </w:r>
      <w:r w:rsidRPr="004A753B">
        <w:rPr>
          <w:i/>
          <w:szCs w:val="26"/>
        </w:rPr>
        <w:t> v. Pa</w:t>
      </w:r>
      <w:r>
        <w:rPr>
          <w:i/>
          <w:szCs w:val="26"/>
        </w:rPr>
        <w:t>.</w:t>
      </w:r>
      <w:r w:rsidRPr="004A753B">
        <w:rPr>
          <w:i/>
          <w:szCs w:val="26"/>
        </w:rPr>
        <w:t xml:space="preserve"> PUC</w:t>
      </w:r>
      <w:r w:rsidRPr="004A753B">
        <w:rPr>
          <w:szCs w:val="26"/>
        </w:rPr>
        <w:t xml:space="preserve">, 625 A.2d 741 (Pa. Cmwlth. 1993); </w:t>
      </w:r>
      <w:r w:rsidRPr="004A753B">
        <w:rPr>
          <w:i/>
          <w:szCs w:val="26"/>
        </w:rPr>
        <w:t>see also</w:t>
      </w:r>
      <w:r w:rsidRPr="004A753B">
        <w:rPr>
          <w:szCs w:val="26"/>
        </w:rPr>
        <w:t xml:space="preserve">, </w:t>
      </w:r>
      <w:r w:rsidRPr="004A753B">
        <w:rPr>
          <w:i/>
          <w:szCs w:val="26"/>
        </w:rPr>
        <w:t>generally</w:t>
      </w:r>
      <w:r w:rsidRPr="004A753B">
        <w:rPr>
          <w:szCs w:val="26"/>
        </w:rPr>
        <w:t xml:space="preserve">, </w:t>
      </w:r>
      <w:r w:rsidRPr="004A753B">
        <w:rPr>
          <w:i/>
          <w:szCs w:val="26"/>
        </w:rPr>
        <w:t>University of P</w:t>
      </w:r>
      <w:r>
        <w:rPr>
          <w:i/>
          <w:szCs w:val="26"/>
        </w:rPr>
        <w:t xml:space="preserve">ennsylvania </w:t>
      </w:r>
      <w:r w:rsidRPr="004A753B">
        <w:rPr>
          <w:i/>
          <w:szCs w:val="26"/>
        </w:rPr>
        <w:t>v. Pa</w:t>
      </w:r>
      <w:r>
        <w:rPr>
          <w:i/>
          <w:szCs w:val="26"/>
        </w:rPr>
        <w:t>.</w:t>
      </w:r>
      <w:r w:rsidRPr="004A753B">
        <w:rPr>
          <w:i/>
          <w:szCs w:val="26"/>
        </w:rPr>
        <w:t xml:space="preserve"> PUC</w:t>
      </w:r>
      <w:r w:rsidRPr="004A753B">
        <w:rPr>
          <w:szCs w:val="26"/>
        </w:rPr>
        <w:t>, 485 A.2d 1217 (Pa. Cmwlth. 1984</w:t>
      </w:r>
      <w:r>
        <w:rPr>
          <w:szCs w:val="26"/>
        </w:rPr>
        <w:t>).</w:t>
      </w:r>
      <w:r w:rsidR="00653F5F">
        <w:rPr>
          <w:szCs w:val="26"/>
        </w:rPr>
        <w:t xml:space="preserve">  </w:t>
      </w:r>
    </w:p>
    <w:p w:rsidR="00115130" w:rsidRDefault="00115130" w:rsidP="005E1B9D">
      <w:pPr>
        <w:spacing w:line="360" w:lineRule="auto"/>
        <w:ind w:firstLine="1440"/>
        <w:rPr>
          <w:szCs w:val="26"/>
        </w:rPr>
      </w:pPr>
    </w:p>
    <w:p w:rsidR="00115130" w:rsidRDefault="00115130" w:rsidP="005E1B9D">
      <w:pPr>
        <w:spacing w:line="360" w:lineRule="auto"/>
        <w:ind w:firstLine="1440"/>
        <w:rPr>
          <w:szCs w:val="26"/>
        </w:rPr>
      </w:pPr>
      <w:r>
        <w:rPr>
          <w:szCs w:val="26"/>
        </w:rPr>
        <w:t xml:space="preserve">Additionally, in addressing the merits of the Exceptions, we will limit our consideration to the issue of whether the ALJ properly granted the Preliminary Objections.  We will not address issues that are unrelated to the </w:t>
      </w:r>
      <w:r w:rsidR="004962D6">
        <w:rPr>
          <w:szCs w:val="26"/>
        </w:rPr>
        <w:t xml:space="preserve">Findings of Fact and </w:t>
      </w:r>
      <w:r w:rsidR="004962D6" w:rsidRPr="007828A8">
        <w:rPr>
          <w:szCs w:val="26"/>
        </w:rPr>
        <w:t xml:space="preserve">Conclusions of Law in the Initial Decision or issues that are not part of the record before us.  </w:t>
      </w:r>
      <w:r w:rsidRPr="00A55BFB">
        <w:t xml:space="preserve">It is axiomatic that this Commission must base its decisions on the evidence of </w:t>
      </w:r>
      <w:r w:rsidRPr="00A55BFB">
        <w:lastRenderedPageBreak/>
        <w:t>record, and we are prohibited from looking beyond the record for evidence not previously supplied to support a desired finding of fact and/or conclusion of law.</w:t>
      </w:r>
    </w:p>
    <w:p w:rsidR="00651067" w:rsidRDefault="00651067" w:rsidP="005E1B9D">
      <w:pPr>
        <w:spacing w:line="360" w:lineRule="auto"/>
        <w:ind w:firstLine="1440"/>
        <w:rPr>
          <w:szCs w:val="26"/>
        </w:rPr>
      </w:pPr>
    </w:p>
    <w:p w:rsidR="00DC7655" w:rsidRPr="00A55BFB" w:rsidRDefault="00DC7655" w:rsidP="00A55BFB">
      <w:pPr>
        <w:spacing w:line="360" w:lineRule="auto"/>
        <w:ind w:left="720"/>
        <w:rPr>
          <w:b/>
          <w:szCs w:val="26"/>
        </w:rPr>
      </w:pPr>
      <w:r w:rsidRPr="00A55BFB">
        <w:rPr>
          <w:b/>
          <w:szCs w:val="26"/>
        </w:rPr>
        <w:t xml:space="preserve">Legal Standards </w:t>
      </w:r>
    </w:p>
    <w:p w:rsidR="00DC7655" w:rsidRDefault="00DC7655" w:rsidP="00DC7655"/>
    <w:p w:rsidR="005870B1" w:rsidRPr="005870B1" w:rsidRDefault="005870B1" w:rsidP="005870B1">
      <w:pPr>
        <w:tabs>
          <w:tab w:val="left" w:pos="1440"/>
        </w:tabs>
        <w:spacing w:line="360" w:lineRule="auto"/>
        <w:rPr>
          <w:szCs w:val="24"/>
        </w:rPr>
      </w:pPr>
      <w:r>
        <w:rPr>
          <w:szCs w:val="24"/>
        </w:rPr>
        <w:tab/>
      </w:r>
      <w:r w:rsidRPr="005870B1">
        <w:rPr>
          <w:szCs w:val="24"/>
        </w:rPr>
        <w:t>Section 5.101 of the Commission’s Regulations, 52 Pa. Code § 5.101, sets forth the grounds for granting preliminary objections</w:t>
      </w:r>
      <w:r w:rsidR="00975FE6">
        <w:rPr>
          <w:szCs w:val="24"/>
        </w:rPr>
        <w:t>.  In pertinent part, that section states:</w:t>
      </w:r>
      <w:r w:rsidRPr="005870B1">
        <w:rPr>
          <w:szCs w:val="24"/>
        </w:rPr>
        <w:t xml:space="preserve"> </w:t>
      </w:r>
    </w:p>
    <w:p w:rsidR="005870B1" w:rsidRPr="005870B1" w:rsidRDefault="005870B1" w:rsidP="005870B1">
      <w:pPr>
        <w:ind w:left="1440" w:right="1440"/>
        <w:rPr>
          <w:b/>
          <w:szCs w:val="24"/>
        </w:rPr>
      </w:pPr>
    </w:p>
    <w:p w:rsidR="005870B1" w:rsidRPr="005870B1" w:rsidRDefault="005870B1" w:rsidP="005870B1">
      <w:pPr>
        <w:ind w:left="1440" w:right="1440"/>
        <w:rPr>
          <w:b/>
          <w:szCs w:val="24"/>
        </w:rPr>
      </w:pPr>
      <w:r w:rsidRPr="005870B1">
        <w:rPr>
          <w:b/>
          <w:szCs w:val="24"/>
        </w:rPr>
        <w:t>§ 5.101.  Preliminary objections.</w:t>
      </w:r>
    </w:p>
    <w:p w:rsidR="005870B1" w:rsidRPr="005870B1" w:rsidRDefault="005870B1" w:rsidP="005870B1">
      <w:pPr>
        <w:ind w:left="1440" w:right="1440"/>
        <w:rPr>
          <w:b/>
          <w:szCs w:val="24"/>
        </w:rPr>
      </w:pPr>
    </w:p>
    <w:p w:rsidR="005870B1" w:rsidRPr="005870B1" w:rsidRDefault="005870B1" w:rsidP="005870B1">
      <w:pPr>
        <w:ind w:left="1440" w:right="1440"/>
        <w:contextualSpacing/>
        <w:rPr>
          <w:szCs w:val="24"/>
        </w:rPr>
      </w:pPr>
      <w:r w:rsidRPr="005870B1">
        <w:rPr>
          <w:szCs w:val="24"/>
        </w:rPr>
        <w:t>(a)</w:t>
      </w:r>
      <w:r w:rsidRPr="005870B1">
        <w:rPr>
          <w:szCs w:val="24"/>
        </w:rPr>
        <w:tab/>
      </w:r>
      <w:r w:rsidRPr="005870B1">
        <w:rPr>
          <w:i/>
          <w:szCs w:val="24"/>
        </w:rPr>
        <w:t>Grounds.</w:t>
      </w:r>
      <w:r w:rsidRPr="005870B1">
        <w:rPr>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5870B1" w:rsidRPr="005870B1" w:rsidRDefault="005870B1" w:rsidP="005870B1">
      <w:pPr>
        <w:ind w:left="1440" w:right="1440"/>
        <w:contextualSpacing/>
        <w:rPr>
          <w:szCs w:val="24"/>
        </w:rPr>
      </w:pPr>
    </w:p>
    <w:p w:rsidR="005870B1" w:rsidRPr="005870B1" w:rsidRDefault="005870B1" w:rsidP="005870B1">
      <w:pPr>
        <w:ind w:left="1440" w:right="1440"/>
        <w:contextualSpacing/>
        <w:jc w:val="center"/>
        <w:rPr>
          <w:szCs w:val="24"/>
        </w:rPr>
      </w:pPr>
      <w:r w:rsidRPr="005870B1">
        <w:rPr>
          <w:szCs w:val="24"/>
        </w:rPr>
        <w:t>*</w:t>
      </w:r>
      <w:r w:rsidRPr="005870B1">
        <w:rPr>
          <w:szCs w:val="24"/>
        </w:rPr>
        <w:tab/>
        <w:t>*</w:t>
      </w:r>
      <w:r w:rsidRPr="005870B1">
        <w:rPr>
          <w:szCs w:val="24"/>
        </w:rPr>
        <w:tab/>
        <w:t>*</w:t>
      </w:r>
    </w:p>
    <w:p w:rsidR="005870B1" w:rsidRPr="005870B1" w:rsidRDefault="005870B1" w:rsidP="005870B1">
      <w:pPr>
        <w:ind w:left="1440" w:right="1440"/>
        <w:contextualSpacing/>
        <w:rPr>
          <w:szCs w:val="24"/>
        </w:rPr>
      </w:pPr>
    </w:p>
    <w:p w:rsidR="005870B1" w:rsidRPr="005870B1" w:rsidRDefault="005870B1" w:rsidP="005870B1">
      <w:pPr>
        <w:ind w:left="1440" w:right="1440"/>
        <w:contextualSpacing/>
        <w:rPr>
          <w:szCs w:val="24"/>
        </w:rPr>
      </w:pPr>
      <w:r w:rsidRPr="005870B1">
        <w:rPr>
          <w:szCs w:val="24"/>
        </w:rPr>
        <w:tab/>
        <w:t>(6)</w:t>
      </w:r>
      <w:r w:rsidRPr="005870B1">
        <w:rPr>
          <w:szCs w:val="24"/>
        </w:rPr>
        <w:tab/>
        <w:t>Pendency of a prior proceeding or agreement for alternative dispute resolution.</w:t>
      </w:r>
    </w:p>
    <w:p w:rsidR="005870B1" w:rsidRPr="005870B1" w:rsidRDefault="005870B1" w:rsidP="005870B1">
      <w:pPr>
        <w:spacing w:line="360" w:lineRule="auto"/>
        <w:ind w:left="1440" w:right="1440" w:hanging="1440"/>
        <w:contextualSpacing/>
        <w:rPr>
          <w:szCs w:val="24"/>
        </w:rPr>
      </w:pPr>
    </w:p>
    <w:p w:rsidR="005870B1" w:rsidRDefault="005870B1" w:rsidP="005870B1">
      <w:pPr>
        <w:spacing w:line="360" w:lineRule="auto"/>
        <w:ind w:left="1440" w:right="1440" w:hanging="1440"/>
        <w:contextualSpacing/>
        <w:rPr>
          <w:szCs w:val="24"/>
        </w:rPr>
      </w:pPr>
      <w:r w:rsidRPr="005870B1">
        <w:rPr>
          <w:szCs w:val="24"/>
        </w:rPr>
        <w:t>52 Pa. Code § 5.101(a).</w:t>
      </w:r>
    </w:p>
    <w:p w:rsidR="00D76068" w:rsidRPr="005870B1" w:rsidRDefault="00D76068" w:rsidP="005870B1">
      <w:pPr>
        <w:spacing w:line="360" w:lineRule="auto"/>
        <w:ind w:left="1440" w:right="1440" w:hanging="1440"/>
        <w:contextualSpacing/>
        <w:rPr>
          <w:szCs w:val="24"/>
        </w:rPr>
      </w:pPr>
    </w:p>
    <w:p w:rsidR="005870B1" w:rsidRPr="005870B1" w:rsidRDefault="005870B1" w:rsidP="005870B1">
      <w:pPr>
        <w:spacing w:line="360" w:lineRule="auto"/>
        <w:ind w:firstLine="1440"/>
        <w:rPr>
          <w:szCs w:val="26"/>
        </w:rPr>
      </w:pPr>
      <w:r w:rsidRPr="005870B1">
        <w:rPr>
          <w:color w:val="000000"/>
          <w:szCs w:val="26"/>
        </w:rPr>
        <w:t xml:space="preserve">Commission procedure </w:t>
      </w:r>
      <w:r w:rsidRPr="005870B1">
        <w:rPr>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5870B1">
        <w:rPr>
          <w:i/>
          <w:szCs w:val="26"/>
        </w:rPr>
        <w:t>Interstate Traveller Services, Inc. v. Pa. Dep’t of Environmental Resources</w:t>
      </w:r>
      <w:r w:rsidRPr="005870B1">
        <w:rPr>
          <w:szCs w:val="26"/>
        </w:rPr>
        <w:t xml:space="preserve">, </w:t>
      </w:r>
      <w:r w:rsidR="00354B0D">
        <w:rPr>
          <w:szCs w:val="26"/>
        </w:rPr>
        <w:t xml:space="preserve">486 Pa. 536, </w:t>
      </w:r>
      <w:r w:rsidRPr="005870B1">
        <w:rPr>
          <w:szCs w:val="26"/>
        </w:rPr>
        <w:t xml:space="preserve">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5870B1">
        <w:rPr>
          <w:i/>
          <w:szCs w:val="26"/>
        </w:rPr>
        <w:t>County of Allegheny v. Commonwealth</w:t>
      </w:r>
      <w:r w:rsidRPr="005870B1">
        <w:rPr>
          <w:szCs w:val="26"/>
        </w:rPr>
        <w:t xml:space="preserve"> </w:t>
      </w:r>
      <w:r w:rsidRPr="005870B1">
        <w:rPr>
          <w:i/>
          <w:szCs w:val="26"/>
        </w:rPr>
        <w:t>of Pa</w:t>
      </w:r>
      <w:r w:rsidR="00354B0D">
        <w:rPr>
          <w:i/>
          <w:szCs w:val="26"/>
        </w:rPr>
        <w:t>.</w:t>
      </w:r>
      <w:r w:rsidRPr="005870B1">
        <w:rPr>
          <w:szCs w:val="26"/>
        </w:rPr>
        <w:t xml:space="preserve">, </w:t>
      </w:r>
      <w:r w:rsidR="00354B0D">
        <w:rPr>
          <w:szCs w:val="26"/>
        </w:rPr>
        <w:t xml:space="preserve">507 Pa. 360, </w:t>
      </w:r>
      <w:r w:rsidRPr="005870B1">
        <w:rPr>
          <w:szCs w:val="26"/>
        </w:rPr>
        <w:t xml:space="preserve">490 A.2d 402 (1985).  The preliminary objection </w:t>
      </w:r>
      <w:r w:rsidRPr="005870B1">
        <w:rPr>
          <w:szCs w:val="26"/>
        </w:rPr>
        <w:lastRenderedPageBreak/>
        <w:t xml:space="preserve">may be granted only if the moving party prevails as a matter of law.  </w:t>
      </w:r>
      <w:proofErr w:type="spellStart"/>
      <w:proofErr w:type="gramStart"/>
      <w:r w:rsidRPr="005870B1">
        <w:rPr>
          <w:i/>
          <w:szCs w:val="26"/>
        </w:rPr>
        <w:t>Ro</w:t>
      </w:r>
      <w:r w:rsidR="00B0428F">
        <w:rPr>
          <w:i/>
          <w:szCs w:val="26"/>
        </w:rPr>
        <w:t>k</w:t>
      </w:r>
      <w:proofErr w:type="spellEnd"/>
      <w:r w:rsidRPr="005870B1">
        <w:rPr>
          <w:i/>
          <w:szCs w:val="26"/>
        </w:rPr>
        <w:t xml:space="preserve"> v. Flaherty</w:t>
      </w:r>
      <w:r w:rsidRPr="005870B1">
        <w:rPr>
          <w:szCs w:val="26"/>
        </w:rPr>
        <w:t>, 527 A.2d 211 (Pa. Cmwlth. 198</w:t>
      </w:r>
      <w:r w:rsidR="00B0428F">
        <w:rPr>
          <w:szCs w:val="26"/>
        </w:rPr>
        <w:t>7</w:t>
      </w:r>
      <w:r w:rsidRPr="005870B1">
        <w:rPr>
          <w:szCs w:val="26"/>
        </w:rPr>
        <w:t>).</w:t>
      </w:r>
      <w:proofErr w:type="gramEnd"/>
      <w:r w:rsidRPr="005870B1">
        <w:rPr>
          <w:szCs w:val="26"/>
        </w:rPr>
        <w:t xml:space="preserve">  Any doubt must be resolved in favor of the non-moving party by refusing to sustain the preliminary objections.  </w:t>
      </w:r>
      <w:r w:rsidRPr="005870B1">
        <w:rPr>
          <w:i/>
          <w:szCs w:val="26"/>
        </w:rPr>
        <w:t>Dep’t of Auditor General, et al. v. State Employees’ Retirement System, et al.</w:t>
      </w:r>
      <w:r w:rsidRPr="005870B1">
        <w:rPr>
          <w:szCs w:val="26"/>
        </w:rPr>
        <w:t>, 836 A.2d 1053, 1064 (Pa. Cmwlth. 2003) (citing</w:t>
      </w:r>
      <w:r w:rsidRPr="005870B1">
        <w:rPr>
          <w:i/>
          <w:szCs w:val="26"/>
        </w:rPr>
        <w:t xml:space="preserve"> Boyd v. Ward</w:t>
      </w:r>
      <w:r w:rsidRPr="005870B1">
        <w:rPr>
          <w:szCs w:val="26"/>
        </w:rPr>
        <w:t xml:space="preserve">, 802 A.2d 705 (Pa. Cmwlth. 2002)).  </w:t>
      </w:r>
    </w:p>
    <w:p w:rsidR="005870B1" w:rsidRPr="005870B1" w:rsidRDefault="005870B1" w:rsidP="005870B1">
      <w:pPr>
        <w:spacing w:line="360" w:lineRule="auto"/>
        <w:rPr>
          <w:szCs w:val="24"/>
        </w:rPr>
      </w:pPr>
      <w:r w:rsidRPr="005870B1">
        <w:rPr>
          <w:szCs w:val="24"/>
        </w:rPr>
        <w:tab/>
      </w:r>
    </w:p>
    <w:p w:rsidR="005870B1" w:rsidRPr="00B0428F" w:rsidRDefault="005870B1" w:rsidP="005870B1">
      <w:pPr>
        <w:spacing w:line="360" w:lineRule="auto"/>
        <w:rPr>
          <w:rFonts w:eastAsia="Calibri"/>
          <w:szCs w:val="24"/>
        </w:rPr>
      </w:pPr>
      <w:r w:rsidRPr="007828A8">
        <w:rPr>
          <w:szCs w:val="24"/>
        </w:rPr>
        <w:tab/>
      </w:r>
      <w:r w:rsidRPr="007828A8">
        <w:rPr>
          <w:szCs w:val="24"/>
        </w:rPr>
        <w:tab/>
        <w:t xml:space="preserve">The preliminary objection at issue in this case is the pendency of a prior proceeding, which is set forth in </w:t>
      </w:r>
      <w:r w:rsidRPr="007828A8">
        <w:rPr>
          <w:szCs w:val="26"/>
        </w:rPr>
        <w:t xml:space="preserve">Section 5.101(a)(6) of our Regulations, 52 Pa. Code </w:t>
      </w:r>
      <w:r w:rsidR="00B0428F" w:rsidRPr="00A55BFB">
        <w:rPr>
          <w:rFonts w:eastAsia="Calibri"/>
          <w:szCs w:val="26"/>
        </w:rPr>
        <w:br/>
      </w:r>
      <w:r w:rsidRPr="00A55BFB">
        <w:rPr>
          <w:rFonts w:eastAsia="Calibri"/>
          <w:szCs w:val="26"/>
        </w:rPr>
        <w:t xml:space="preserve">§ 5.101(a)(6).  This preliminary objection is </w:t>
      </w:r>
      <w:r w:rsidRPr="00A55BFB">
        <w:rPr>
          <w:rFonts w:eastAsia="Calibri"/>
          <w:szCs w:val="24"/>
        </w:rPr>
        <w:t xml:space="preserve">also referred to as the doctrine of </w:t>
      </w:r>
      <w:r w:rsidRPr="00A55BFB">
        <w:rPr>
          <w:rFonts w:eastAsia="Calibri"/>
          <w:i/>
          <w:szCs w:val="24"/>
        </w:rPr>
        <w:t>lis pendens</w:t>
      </w:r>
      <w:r w:rsidRPr="00A55BFB">
        <w:rPr>
          <w:rFonts w:eastAsia="Calibri"/>
          <w:szCs w:val="24"/>
        </w:rPr>
        <w:t xml:space="preserve">.  A party asserting the defense of </w:t>
      </w:r>
      <w:r w:rsidRPr="00A55BFB">
        <w:rPr>
          <w:rFonts w:eastAsia="Calibri"/>
          <w:i/>
          <w:szCs w:val="24"/>
        </w:rPr>
        <w:t xml:space="preserve">lis pendens </w:t>
      </w:r>
      <w:r w:rsidRPr="00A55BFB">
        <w:rPr>
          <w:rFonts w:eastAsia="Calibri"/>
          <w:szCs w:val="24"/>
        </w:rPr>
        <w:t xml:space="preserve">bears the burden of showing that the parties are the same, the case is the same, and the relief requested is the same.  </w:t>
      </w:r>
      <w:r w:rsidRPr="00A55BFB">
        <w:rPr>
          <w:rFonts w:eastAsia="Calibri"/>
          <w:i/>
          <w:szCs w:val="24"/>
        </w:rPr>
        <w:t>Penox Technologies, Inc. v. Foster Medical Corp.</w:t>
      </w:r>
      <w:r w:rsidRPr="00A55BFB">
        <w:rPr>
          <w:rFonts w:eastAsia="Calibri"/>
          <w:szCs w:val="24"/>
        </w:rPr>
        <w:t xml:space="preserve">, 546 A.2d 114, 115 (Pa. Super. Ct. 1988).  The three-pronged identity test must be applied strictly when a party is seeking dismissal under the </w:t>
      </w:r>
      <w:r w:rsidRPr="00A55BFB">
        <w:rPr>
          <w:rFonts w:eastAsia="Calibri"/>
          <w:i/>
          <w:szCs w:val="24"/>
        </w:rPr>
        <w:t>lis pendens</w:t>
      </w:r>
      <w:r w:rsidRPr="00A55BFB">
        <w:rPr>
          <w:rFonts w:eastAsia="Calibri"/>
          <w:szCs w:val="24"/>
        </w:rPr>
        <w:t xml:space="preserve"> doctrine.  </w:t>
      </w:r>
      <w:r w:rsidRPr="00A55BFB">
        <w:rPr>
          <w:rFonts w:eastAsia="Calibri"/>
          <w:i/>
          <w:szCs w:val="24"/>
        </w:rPr>
        <w:t>Norristown Auto Co. v. Hand</w:t>
      </w:r>
      <w:r w:rsidRPr="00A55BFB">
        <w:rPr>
          <w:rFonts w:eastAsia="Calibri"/>
          <w:szCs w:val="24"/>
        </w:rPr>
        <w:t xml:space="preserve">, 562 A.2d 902, 904 (Pa. Super. Ct. 1989).  The applicability of </w:t>
      </w:r>
      <w:r w:rsidRPr="00A55BFB">
        <w:rPr>
          <w:rFonts w:eastAsia="Calibri"/>
          <w:i/>
          <w:szCs w:val="24"/>
        </w:rPr>
        <w:t>lis pendens</w:t>
      </w:r>
      <w:r w:rsidRPr="00A55BFB">
        <w:rPr>
          <w:rFonts w:eastAsia="Calibri"/>
          <w:szCs w:val="24"/>
        </w:rPr>
        <w:t xml:space="preserve"> is purely a legal question based on an inspection of the records in the two cases.  </w:t>
      </w:r>
      <w:r w:rsidRPr="00A55BFB">
        <w:rPr>
          <w:rFonts w:eastAsia="Calibri"/>
          <w:i/>
          <w:szCs w:val="24"/>
        </w:rPr>
        <w:t>Procacina v. Susen</w:t>
      </w:r>
      <w:r w:rsidRPr="00A55BFB">
        <w:rPr>
          <w:rFonts w:eastAsia="Calibri"/>
          <w:szCs w:val="24"/>
        </w:rPr>
        <w:t xml:space="preserve">, 447 A.2d 1023, 1025 (Pa. Super. Ct. 1982) (quoting </w:t>
      </w:r>
      <w:r w:rsidRPr="00A55BFB">
        <w:rPr>
          <w:rFonts w:eastAsia="Calibri"/>
          <w:i/>
          <w:szCs w:val="24"/>
        </w:rPr>
        <w:t>Hessenbruch v. Markle</w:t>
      </w:r>
      <w:r w:rsidRPr="00A55BFB">
        <w:rPr>
          <w:rFonts w:eastAsia="Calibri"/>
          <w:szCs w:val="24"/>
        </w:rPr>
        <w:t xml:space="preserve">, </w:t>
      </w:r>
      <w:r w:rsidR="00681F82" w:rsidRPr="00A55BFB">
        <w:rPr>
          <w:rFonts w:eastAsia="Calibri"/>
          <w:szCs w:val="24"/>
        </w:rPr>
        <w:t xml:space="preserve">194 Pa. 581, 593, </w:t>
      </w:r>
      <w:r w:rsidRPr="00A55BFB">
        <w:rPr>
          <w:rFonts w:eastAsia="Calibri"/>
          <w:szCs w:val="24"/>
        </w:rPr>
        <w:t xml:space="preserve">45 A. 669, 671 (1900)).  If the identity test is not strictly met but the action involves a set of circumstances where the litigation of two suits would create a duplication of effort by the parties and waste judicial resources, the court may stay the later-filed action.  </w:t>
      </w:r>
      <w:proofErr w:type="gramStart"/>
      <w:r w:rsidRPr="007828A8">
        <w:rPr>
          <w:rFonts w:eastAsia="Calibri"/>
          <w:i/>
          <w:szCs w:val="24"/>
        </w:rPr>
        <w:t>Crutchfield v. Eaton</w:t>
      </w:r>
      <w:r w:rsidR="00B0428F" w:rsidRPr="007828A8">
        <w:rPr>
          <w:rFonts w:eastAsia="Calibri"/>
          <w:i/>
          <w:szCs w:val="24"/>
        </w:rPr>
        <w:t xml:space="preserve"> Corp.</w:t>
      </w:r>
      <w:r w:rsidRPr="007828A8">
        <w:rPr>
          <w:rFonts w:eastAsia="Calibri"/>
          <w:szCs w:val="24"/>
        </w:rPr>
        <w:t>, 806 A.2d 1259, 1262 (Pa. Super.</w:t>
      </w:r>
      <w:proofErr w:type="gramEnd"/>
      <w:r w:rsidRPr="007828A8">
        <w:rPr>
          <w:rFonts w:eastAsia="Calibri"/>
          <w:szCs w:val="24"/>
        </w:rPr>
        <w:t xml:space="preserve"> Ct. 2002).</w:t>
      </w:r>
    </w:p>
    <w:p w:rsidR="005870B1" w:rsidRPr="005870B1" w:rsidRDefault="005870B1" w:rsidP="005870B1">
      <w:pPr>
        <w:spacing w:line="360" w:lineRule="auto"/>
        <w:rPr>
          <w:szCs w:val="24"/>
        </w:rPr>
      </w:pPr>
      <w:r w:rsidRPr="005870B1">
        <w:rPr>
          <w:szCs w:val="24"/>
        </w:rPr>
        <w:t xml:space="preserve">   </w:t>
      </w:r>
      <w:r w:rsidRPr="005870B1">
        <w:rPr>
          <w:szCs w:val="26"/>
        </w:rPr>
        <w:t xml:space="preserve">         </w:t>
      </w:r>
      <w:r w:rsidRPr="005870B1">
        <w:rPr>
          <w:szCs w:val="24"/>
        </w:rPr>
        <w:tab/>
      </w:r>
      <w:r w:rsidRPr="005870B1">
        <w:rPr>
          <w:szCs w:val="24"/>
        </w:rPr>
        <w:tab/>
      </w:r>
    </w:p>
    <w:p w:rsidR="00081EEF" w:rsidRDefault="00081EEF" w:rsidP="00081EEF">
      <w:pPr>
        <w:ind w:left="720"/>
        <w:rPr>
          <w:b/>
        </w:rPr>
      </w:pPr>
      <w:r w:rsidRPr="00081EEF">
        <w:rPr>
          <w:b/>
        </w:rPr>
        <w:t xml:space="preserve">ALJ’s Recommendation </w:t>
      </w:r>
    </w:p>
    <w:p w:rsidR="00081EEF" w:rsidRPr="00081EEF" w:rsidRDefault="00081EEF" w:rsidP="00081EEF"/>
    <w:p w:rsidR="00081EEF" w:rsidRDefault="00081EEF" w:rsidP="00081EEF"/>
    <w:p w:rsidR="00D1726C" w:rsidRDefault="007D2A3A" w:rsidP="007D2A3A">
      <w:pPr>
        <w:spacing w:line="360" w:lineRule="auto"/>
        <w:ind w:firstLine="720"/>
      </w:pPr>
      <w:r>
        <w:tab/>
        <w:t>In the Initial Decision, the ALJ granted Verizon’s Preliminary Objection based on 52 Pa. Code § 5.101(a)(6) and dismissed the Complaint</w:t>
      </w:r>
      <w:r w:rsidR="00563B0B">
        <w:t xml:space="preserve"> with prejudice</w:t>
      </w:r>
      <w:r>
        <w:t xml:space="preserve">.  The ALJ stated that the Complainant had essentially re-filed the same Complaint in this proceeding that she made against Verizon </w:t>
      </w:r>
      <w:r w:rsidR="005852B1">
        <w:t>in the 2009 Complaint</w:t>
      </w:r>
      <w:r>
        <w:t xml:space="preserve">.  The ALJ noted that the 2009 Complaint proceeding, pending before an ALJ, was heard on September 23, 2010, </w:t>
      </w:r>
      <w:r>
        <w:lastRenderedPageBreak/>
        <w:t xml:space="preserve">and </w:t>
      </w:r>
      <w:r w:rsidR="005852B1">
        <w:t>i</w:t>
      </w:r>
      <w:r>
        <w:t xml:space="preserve">s awaiting </w:t>
      </w:r>
      <w:r w:rsidR="005852B1">
        <w:t xml:space="preserve">the issuance of </w:t>
      </w:r>
      <w:r>
        <w:t xml:space="preserve">a decision.  </w:t>
      </w:r>
      <w:r w:rsidR="00CD77FC">
        <w:t xml:space="preserve">I.D. at 5.  </w:t>
      </w:r>
      <w:r>
        <w:t>The ALJ indicated that</w:t>
      </w:r>
      <w:r w:rsidR="000971B5">
        <w:t>,</w:t>
      </w:r>
      <w:r>
        <w:t xml:space="preserve"> while the Complainant referred </w:t>
      </w:r>
      <w:r w:rsidR="00CD77FC">
        <w:t xml:space="preserve">in the 2011 Complaint </w:t>
      </w:r>
      <w:r>
        <w:t xml:space="preserve">to billings </w:t>
      </w:r>
      <w:r w:rsidR="00CD77FC">
        <w:t>made by</w:t>
      </w:r>
      <w:r>
        <w:t xml:space="preserve"> Verizon after the </w:t>
      </w:r>
      <w:r w:rsidR="00CD77FC">
        <w:t>September 23, 2010 hearing to explain her dispute regarding Verizon’s tariff structure, the Complainant stated that the latest Complaint was not about billing but was solely limited to the Complainant’s ongoing issue regarding Verizon’s tariff structure.</w:t>
      </w:r>
      <w:r w:rsidR="00D1726C">
        <w:t xml:space="preserve">  The ALJ stated that holding a hearing in this matter would </w:t>
      </w:r>
      <w:r w:rsidR="00C63EC3">
        <w:t>be</w:t>
      </w:r>
      <w:r w:rsidR="00D1726C">
        <w:t xml:space="preserve"> a waste of Commission resources.  I.D. at 6.  The ALJ also precluded the Complainant from filing further informal and formal complaints regarding Verizon’s tariffs relating to temporarily suspended service or “vacation” service for the Complainant’s telephone account.  I.D. at 7.     </w:t>
      </w:r>
    </w:p>
    <w:p w:rsidR="00D1726C" w:rsidRDefault="00D1726C" w:rsidP="007D2A3A">
      <w:pPr>
        <w:spacing w:line="360" w:lineRule="auto"/>
        <w:ind w:firstLine="720"/>
      </w:pPr>
    </w:p>
    <w:p w:rsidR="00D1726C" w:rsidRPr="007D0595" w:rsidRDefault="007D0595" w:rsidP="007D0595">
      <w:pPr>
        <w:tabs>
          <w:tab w:val="left" w:pos="1440"/>
        </w:tabs>
        <w:spacing w:line="360" w:lineRule="auto"/>
        <w:ind w:firstLine="720"/>
        <w:rPr>
          <w:b/>
        </w:rPr>
      </w:pPr>
      <w:r w:rsidRPr="007D0595">
        <w:rPr>
          <w:b/>
        </w:rPr>
        <w:t xml:space="preserve">Positions of the Parties </w:t>
      </w:r>
      <w:r w:rsidRPr="007D0595">
        <w:rPr>
          <w:b/>
        </w:rPr>
        <w:tab/>
      </w:r>
      <w:r w:rsidR="00D1726C" w:rsidRPr="007D0595">
        <w:rPr>
          <w:b/>
        </w:rPr>
        <w:tab/>
      </w:r>
    </w:p>
    <w:p w:rsidR="007D0595" w:rsidRDefault="007D0595" w:rsidP="007D2A3A">
      <w:pPr>
        <w:spacing w:line="360" w:lineRule="auto"/>
        <w:ind w:firstLine="720"/>
      </w:pPr>
    </w:p>
    <w:p w:rsidR="00A9644F" w:rsidRDefault="007D0595" w:rsidP="007D2A3A">
      <w:pPr>
        <w:spacing w:line="360" w:lineRule="auto"/>
        <w:ind w:firstLine="720"/>
      </w:pPr>
      <w:r>
        <w:tab/>
      </w:r>
      <w:r w:rsidR="006665EC">
        <w:t>In her Exceptions, the Complainant aver</w:t>
      </w:r>
      <w:r w:rsidR="00E87AF5">
        <w:t>s</w:t>
      </w:r>
      <w:r w:rsidR="006665EC">
        <w:t xml:space="preserve"> that the 2009 Complaint and the 2011 Complaint should be considered separately since they deal with different subject matters.  Exc. at 2.  She also aver</w:t>
      </w:r>
      <w:r w:rsidR="00E87AF5">
        <w:t>s</w:t>
      </w:r>
      <w:r w:rsidR="006665EC">
        <w:t xml:space="preserve"> that the Commission should not have accepted Verizon’s Preliminary Objections because they did not respond to the issues raised in the 2011 Complaint</w:t>
      </w:r>
      <w:r w:rsidR="00C362A6">
        <w:t xml:space="preserve"> and were a maneuvering strategy by Verizon’s counsel</w:t>
      </w:r>
      <w:r w:rsidR="006665EC">
        <w:t>.</w:t>
      </w:r>
      <w:r w:rsidR="00C362A6">
        <w:t xml:space="preserve">  </w:t>
      </w:r>
      <w:r w:rsidR="00F8310C" w:rsidRPr="00F8310C">
        <w:rPr>
          <w:i/>
        </w:rPr>
        <w:t>Id</w:t>
      </w:r>
      <w:r w:rsidR="00C362A6">
        <w:t xml:space="preserve">. at 2, 3.  She further states that the ALJ’s decision to preclude her from filing future complaints against Verizon violates her First Amendment rights.  </w:t>
      </w:r>
      <w:r w:rsidR="00F8310C" w:rsidRPr="00F8310C">
        <w:rPr>
          <w:i/>
        </w:rPr>
        <w:t>Id</w:t>
      </w:r>
      <w:r w:rsidR="00C362A6">
        <w:t xml:space="preserve">. at 3.  </w:t>
      </w:r>
      <w:r w:rsidR="00333DB3">
        <w:t xml:space="preserve">The Complainant does not believe her Complaint should have been dismissed and requests a hearing in this matter.  </w:t>
      </w:r>
      <w:r w:rsidR="00F8310C" w:rsidRPr="00F8310C">
        <w:rPr>
          <w:i/>
        </w:rPr>
        <w:t>Id</w:t>
      </w:r>
      <w:r w:rsidR="00333DB3">
        <w:t xml:space="preserve">. at 5, 9.  </w:t>
      </w:r>
    </w:p>
    <w:p w:rsidR="00A9644F" w:rsidRDefault="00A9644F" w:rsidP="007D2A3A">
      <w:pPr>
        <w:spacing w:line="360" w:lineRule="auto"/>
        <w:ind w:firstLine="720"/>
      </w:pPr>
    </w:p>
    <w:p w:rsidR="00BC1B7D" w:rsidRDefault="00A9644F" w:rsidP="007D2A3A">
      <w:pPr>
        <w:spacing w:line="360" w:lineRule="auto"/>
        <w:ind w:firstLine="720"/>
      </w:pPr>
      <w:r>
        <w:tab/>
      </w:r>
      <w:r w:rsidR="00F8310C">
        <w:t xml:space="preserve">In its Replies to Exceptions, Verizon first states that the ALJ properly reviewed and compared the issues raised in the 2009 and 2011 Complaints to determine whether Verizon’s Preliminary Objections should have been granted.  R.Exc. at 4.  Verizon additionally states that the issues raised in the 2011 Complaint are the same as those raised in the 2009 Complaint and, accordingly, the ALJ properly decided that it was unnecessary to hold a hearing in this case.  Verizon avers that the substance of both of the Complainant’s disputes is the same because both Complaints allege that Verizon should </w:t>
      </w:r>
      <w:r w:rsidR="00F8310C">
        <w:lastRenderedPageBreak/>
        <w:t xml:space="preserve">not be permitted to charge a customer while the customer’s service is “temporarily suspended” when the customer is away and will not be using telephone service for an extended time period.  </w:t>
      </w:r>
      <w:r w:rsidR="00F8310C" w:rsidRPr="00F8310C">
        <w:rPr>
          <w:i/>
        </w:rPr>
        <w:t>Id</w:t>
      </w:r>
      <w:r w:rsidR="00F8310C">
        <w:t xml:space="preserve">. at 6.  </w:t>
      </w:r>
      <w:r w:rsidR="00AA77B5">
        <w:t xml:space="preserve">Further, Verizon believes that the Commission should disregard, as inappropriate and unsubstantiated matter, certain statements made by the Complainant in her Exceptions.  </w:t>
      </w:r>
      <w:r w:rsidR="00AA77B5" w:rsidRPr="00AA77B5">
        <w:rPr>
          <w:i/>
        </w:rPr>
        <w:t>Id</w:t>
      </w:r>
      <w:r w:rsidR="00AA77B5">
        <w:t>. at 10-14.</w:t>
      </w:r>
    </w:p>
    <w:p w:rsidR="00BC1B7D" w:rsidRPr="00BC1B7D" w:rsidRDefault="00BC1B7D" w:rsidP="00BC1B7D"/>
    <w:p w:rsidR="00651067" w:rsidRDefault="00BC1B7D" w:rsidP="00BC1B7D">
      <w:pPr>
        <w:ind w:firstLine="720"/>
        <w:rPr>
          <w:b/>
        </w:rPr>
      </w:pPr>
      <w:r w:rsidRPr="00BC1B7D">
        <w:rPr>
          <w:b/>
        </w:rPr>
        <w:t xml:space="preserve">Disposition </w:t>
      </w:r>
    </w:p>
    <w:p w:rsidR="00BC1B7D" w:rsidRDefault="00BC1B7D" w:rsidP="00BC1B7D">
      <w:pPr>
        <w:ind w:firstLine="720"/>
        <w:rPr>
          <w:b/>
        </w:rPr>
      </w:pPr>
    </w:p>
    <w:p w:rsidR="00E87AF5" w:rsidRDefault="00BC1B7D" w:rsidP="00A402C0">
      <w:pPr>
        <w:spacing w:line="360" w:lineRule="auto"/>
        <w:ind w:firstLine="1440"/>
        <w:rPr>
          <w:szCs w:val="26"/>
        </w:rPr>
      </w:pPr>
      <w:r w:rsidRPr="00BC1B7D">
        <w:rPr>
          <w:szCs w:val="26"/>
        </w:rPr>
        <w:t xml:space="preserve">Based on our review of the pleadings, the applicable law, and the Parties’ positions, we </w:t>
      </w:r>
      <w:r w:rsidR="00CC334F">
        <w:rPr>
          <w:szCs w:val="26"/>
        </w:rPr>
        <w:t>agree with the ALJ that Ms. Shan’s Complaint in this case should be dismissed based on</w:t>
      </w:r>
      <w:r w:rsidRPr="00BC1B7D">
        <w:rPr>
          <w:szCs w:val="26"/>
        </w:rPr>
        <w:t xml:space="preserve"> the doctrine of </w:t>
      </w:r>
      <w:r w:rsidRPr="00BC1B7D">
        <w:rPr>
          <w:i/>
          <w:szCs w:val="26"/>
        </w:rPr>
        <w:t>lis pendens</w:t>
      </w:r>
      <w:r w:rsidRPr="00BC1B7D">
        <w:rPr>
          <w:szCs w:val="26"/>
        </w:rPr>
        <w:t xml:space="preserve">.  We find that </w:t>
      </w:r>
      <w:r w:rsidR="00CC334F">
        <w:rPr>
          <w:szCs w:val="26"/>
        </w:rPr>
        <w:t>Verizon</w:t>
      </w:r>
      <w:r w:rsidRPr="00BC1B7D">
        <w:rPr>
          <w:szCs w:val="26"/>
        </w:rPr>
        <w:t xml:space="preserve"> ha</w:t>
      </w:r>
      <w:r w:rsidR="00CC334F">
        <w:rPr>
          <w:szCs w:val="26"/>
        </w:rPr>
        <w:t>s</w:t>
      </w:r>
      <w:r w:rsidRPr="00BC1B7D">
        <w:rPr>
          <w:szCs w:val="26"/>
        </w:rPr>
        <w:t xml:space="preserve"> proven the strict identity between the </w:t>
      </w:r>
      <w:r w:rsidR="00CC334F">
        <w:rPr>
          <w:szCs w:val="26"/>
        </w:rPr>
        <w:t xml:space="preserve">2009 </w:t>
      </w:r>
      <w:r w:rsidRPr="00BC1B7D">
        <w:rPr>
          <w:szCs w:val="26"/>
        </w:rPr>
        <w:t>Complaint</w:t>
      </w:r>
      <w:r w:rsidR="00CC334F">
        <w:rPr>
          <w:szCs w:val="26"/>
        </w:rPr>
        <w:t xml:space="preserve"> and the 2011 Complaint pr</w:t>
      </w:r>
      <w:r w:rsidRPr="00BC1B7D">
        <w:rPr>
          <w:szCs w:val="26"/>
        </w:rPr>
        <w:t>oceeding</w:t>
      </w:r>
      <w:r w:rsidR="00CC334F">
        <w:rPr>
          <w:szCs w:val="26"/>
        </w:rPr>
        <w:t>s</w:t>
      </w:r>
      <w:r w:rsidRPr="00BC1B7D">
        <w:rPr>
          <w:szCs w:val="26"/>
        </w:rPr>
        <w:t xml:space="preserve"> </w:t>
      </w:r>
      <w:r w:rsidR="00CC334F">
        <w:rPr>
          <w:szCs w:val="26"/>
        </w:rPr>
        <w:t xml:space="preserve">that </w:t>
      </w:r>
      <w:r w:rsidRPr="00BC1B7D">
        <w:rPr>
          <w:szCs w:val="26"/>
        </w:rPr>
        <w:t xml:space="preserve">is necessary to dismiss the </w:t>
      </w:r>
      <w:r w:rsidR="00CC334F">
        <w:rPr>
          <w:szCs w:val="26"/>
        </w:rPr>
        <w:t>2011 Complaint</w:t>
      </w:r>
      <w:r w:rsidRPr="00BC1B7D">
        <w:rPr>
          <w:szCs w:val="26"/>
        </w:rPr>
        <w:t xml:space="preserve">.  </w:t>
      </w:r>
      <w:r w:rsidR="000E0764">
        <w:rPr>
          <w:szCs w:val="26"/>
        </w:rPr>
        <w:t>In the 2009 Complaint</w:t>
      </w:r>
      <w:r w:rsidR="003924B0">
        <w:rPr>
          <w:szCs w:val="26"/>
        </w:rPr>
        <w:t xml:space="preserve"> proceeding</w:t>
      </w:r>
      <w:r w:rsidR="000E0764">
        <w:rPr>
          <w:szCs w:val="26"/>
        </w:rPr>
        <w:t>,</w:t>
      </w:r>
      <w:r w:rsidR="003924B0">
        <w:rPr>
          <w:szCs w:val="26"/>
        </w:rPr>
        <w:t xml:space="preserve"> </w:t>
      </w:r>
      <w:r w:rsidR="003B7145">
        <w:rPr>
          <w:szCs w:val="26"/>
        </w:rPr>
        <w:t>Ms. Shan</w:t>
      </w:r>
      <w:r w:rsidR="003924B0">
        <w:rPr>
          <w:szCs w:val="26"/>
        </w:rPr>
        <w:t xml:space="preserve"> has </w:t>
      </w:r>
      <w:r w:rsidR="00E87AF5">
        <w:rPr>
          <w:szCs w:val="26"/>
        </w:rPr>
        <w:t xml:space="preserve">been </w:t>
      </w:r>
      <w:r w:rsidR="003924B0">
        <w:rPr>
          <w:szCs w:val="26"/>
        </w:rPr>
        <w:t>contest</w:t>
      </w:r>
      <w:r w:rsidR="00E87AF5">
        <w:rPr>
          <w:szCs w:val="26"/>
        </w:rPr>
        <w:t>ing</w:t>
      </w:r>
      <w:r w:rsidR="003924B0">
        <w:rPr>
          <w:szCs w:val="26"/>
        </w:rPr>
        <w:t xml:space="preserve"> the amount </w:t>
      </w:r>
      <w:r w:rsidR="00E87AF5">
        <w:rPr>
          <w:szCs w:val="26"/>
        </w:rPr>
        <w:t>which</w:t>
      </w:r>
      <w:r w:rsidR="003924B0">
        <w:rPr>
          <w:szCs w:val="26"/>
        </w:rPr>
        <w:t xml:space="preserve"> Verizon charged to her telephone account during the period of time that he</w:t>
      </w:r>
      <w:r w:rsidR="00C66309">
        <w:rPr>
          <w:szCs w:val="26"/>
        </w:rPr>
        <w:t>r</w:t>
      </w:r>
      <w:r w:rsidR="003924B0">
        <w:rPr>
          <w:szCs w:val="26"/>
        </w:rPr>
        <w:t xml:space="preserve"> </w:t>
      </w:r>
      <w:r w:rsidR="00C66309">
        <w:rPr>
          <w:szCs w:val="26"/>
        </w:rPr>
        <w:t xml:space="preserve">telephone </w:t>
      </w:r>
      <w:r w:rsidR="003924B0">
        <w:rPr>
          <w:szCs w:val="26"/>
        </w:rPr>
        <w:t xml:space="preserve">service </w:t>
      </w:r>
      <w:r w:rsidR="00E87AF5">
        <w:rPr>
          <w:szCs w:val="26"/>
        </w:rPr>
        <w:t>was</w:t>
      </w:r>
      <w:r w:rsidR="003924B0">
        <w:rPr>
          <w:szCs w:val="26"/>
        </w:rPr>
        <w:t xml:space="preserve"> temporarily suspended while she was out of the country.</w:t>
      </w:r>
      <w:r w:rsidR="003B7145">
        <w:rPr>
          <w:szCs w:val="26"/>
        </w:rPr>
        <w:t xml:space="preserve">  She has requested that the Commission direct Verizon to implement flexible charges for telephone service that is temporarily suspended.</w:t>
      </w:r>
      <w:r w:rsidR="003924B0">
        <w:rPr>
          <w:szCs w:val="26"/>
        </w:rPr>
        <w:t xml:space="preserve">  </w:t>
      </w:r>
      <w:r w:rsidR="00C66309">
        <w:rPr>
          <w:szCs w:val="26"/>
        </w:rPr>
        <w:t>I</w:t>
      </w:r>
      <w:r w:rsidR="003B7145">
        <w:rPr>
          <w:szCs w:val="26"/>
        </w:rPr>
        <w:t>n the 2011 Complaint, Ms. Shan</w:t>
      </w:r>
      <w:r w:rsidR="00C66309">
        <w:rPr>
          <w:szCs w:val="26"/>
        </w:rPr>
        <w:t xml:space="preserve"> </w:t>
      </w:r>
      <w:r w:rsidR="00120481">
        <w:rPr>
          <w:szCs w:val="26"/>
        </w:rPr>
        <w:t xml:space="preserve">indicates that her Complaint is not about billing discrepancies but is about Verizon’s costs for telephone service that is </w:t>
      </w:r>
      <w:r w:rsidR="009C2C4E">
        <w:rPr>
          <w:szCs w:val="26"/>
        </w:rPr>
        <w:t>temporarily suspended.  20</w:t>
      </w:r>
      <w:r w:rsidR="00E87AF5">
        <w:rPr>
          <w:szCs w:val="26"/>
        </w:rPr>
        <w:t>1</w:t>
      </w:r>
      <w:r w:rsidR="009C2C4E">
        <w:rPr>
          <w:szCs w:val="26"/>
        </w:rPr>
        <w:t>1 Complaint at 2.  She also states that she “was testifying in 2010 in PUC court regarding these issues.”  Attachment to 2011 Complaint at 2.  Ms. Shan requests the following relief</w:t>
      </w:r>
      <w:r w:rsidR="00E87AF5">
        <w:rPr>
          <w:szCs w:val="26"/>
        </w:rPr>
        <w:t xml:space="preserve"> in the 2011 Complaint</w:t>
      </w:r>
      <w:r w:rsidR="00C66309">
        <w:rPr>
          <w:szCs w:val="26"/>
        </w:rPr>
        <w:t xml:space="preserve">:  “PUC must revise all the tariffs concerning the temporary suspended or vacation lines and reflect the actual costs to keep the lines on temporary suspension/vacation.”  </w:t>
      </w:r>
      <w:r w:rsidR="009C2C4E" w:rsidRPr="009C2C4E">
        <w:rPr>
          <w:i/>
          <w:szCs w:val="26"/>
        </w:rPr>
        <w:t>Id</w:t>
      </w:r>
      <w:r w:rsidR="009C2C4E">
        <w:rPr>
          <w:szCs w:val="26"/>
        </w:rPr>
        <w:t>.</w:t>
      </w:r>
      <w:r w:rsidR="00C66309">
        <w:rPr>
          <w:szCs w:val="26"/>
        </w:rPr>
        <w:t xml:space="preserve"> at 3.</w:t>
      </w:r>
      <w:r w:rsidR="00A402C0" w:rsidRPr="00A402C0">
        <w:rPr>
          <w:szCs w:val="26"/>
        </w:rPr>
        <w:t xml:space="preserve"> </w:t>
      </w:r>
      <w:r w:rsidR="00A402C0">
        <w:rPr>
          <w:szCs w:val="26"/>
        </w:rPr>
        <w:t xml:space="preserve"> Based on a plain reading of both Complaints, it is clear that </w:t>
      </w:r>
      <w:r w:rsidR="00A402C0" w:rsidRPr="00BC1B7D">
        <w:rPr>
          <w:szCs w:val="26"/>
        </w:rPr>
        <w:t xml:space="preserve">the parties in </w:t>
      </w:r>
      <w:r w:rsidR="00A402C0">
        <w:rPr>
          <w:szCs w:val="26"/>
        </w:rPr>
        <w:t>both</w:t>
      </w:r>
      <w:r w:rsidR="00A402C0" w:rsidRPr="00BC1B7D">
        <w:rPr>
          <w:szCs w:val="26"/>
        </w:rPr>
        <w:t xml:space="preserve"> Complaint proceeding</w:t>
      </w:r>
      <w:r w:rsidR="00A402C0">
        <w:rPr>
          <w:szCs w:val="26"/>
        </w:rPr>
        <w:t>s</w:t>
      </w:r>
      <w:r w:rsidR="00A402C0" w:rsidRPr="00BC1B7D">
        <w:rPr>
          <w:szCs w:val="26"/>
        </w:rPr>
        <w:t xml:space="preserve"> are the same, the rights asserted in the Complaint</w:t>
      </w:r>
      <w:r w:rsidR="00A402C0">
        <w:rPr>
          <w:szCs w:val="26"/>
        </w:rPr>
        <w:t>s</w:t>
      </w:r>
      <w:r w:rsidR="00A402C0" w:rsidRPr="00BC1B7D">
        <w:rPr>
          <w:szCs w:val="26"/>
        </w:rPr>
        <w:t xml:space="preserve"> are the same, and </w:t>
      </w:r>
      <w:r w:rsidR="00A402C0">
        <w:rPr>
          <w:szCs w:val="26"/>
        </w:rPr>
        <w:t>the</w:t>
      </w:r>
      <w:r w:rsidR="00A402C0" w:rsidRPr="00BC1B7D">
        <w:rPr>
          <w:szCs w:val="26"/>
        </w:rPr>
        <w:t xml:space="preserve"> relief sought in </w:t>
      </w:r>
      <w:r w:rsidR="00A402C0">
        <w:rPr>
          <w:szCs w:val="26"/>
        </w:rPr>
        <w:t>both proceedings is the same</w:t>
      </w:r>
      <w:r w:rsidR="00A402C0" w:rsidRPr="00BC1B7D">
        <w:rPr>
          <w:szCs w:val="26"/>
        </w:rPr>
        <w:t>.</w:t>
      </w:r>
      <w:r w:rsidR="00A402C0">
        <w:rPr>
          <w:szCs w:val="26"/>
        </w:rPr>
        <w:t xml:space="preserve"> </w:t>
      </w:r>
    </w:p>
    <w:p w:rsidR="00A402C0" w:rsidRDefault="00A402C0" w:rsidP="00A402C0">
      <w:pPr>
        <w:spacing w:line="360" w:lineRule="auto"/>
        <w:ind w:firstLine="1440"/>
        <w:rPr>
          <w:szCs w:val="26"/>
        </w:rPr>
      </w:pPr>
      <w:r>
        <w:rPr>
          <w:szCs w:val="26"/>
        </w:rPr>
        <w:t xml:space="preserve"> </w:t>
      </w:r>
    </w:p>
    <w:p w:rsidR="00BA1874" w:rsidRPr="00A55BFB" w:rsidRDefault="001E7D0A" w:rsidP="00BC1B7D">
      <w:pPr>
        <w:spacing w:line="360" w:lineRule="auto"/>
        <w:ind w:firstLine="1440"/>
        <w:rPr>
          <w:szCs w:val="22"/>
        </w:rPr>
      </w:pPr>
      <w:r w:rsidRPr="007828A8">
        <w:rPr>
          <w:szCs w:val="26"/>
        </w:rPr>
        <w:t>T</w:t>
      </w:r>
      <w:r w:rsidR="00A402C0" w:rsidRPr="007828A8">
        <w:rPr>
          <w:szCs w:val="26"/>
        </w:rPr>
        <w:t xml:space="preserve">he </w:t>
      </w:r>
      <w:r w:rsidR="00BA1874" w:rsidRPr="007828A8">
        <w:rPr>
          <w:szCs w:val="26"/>
        </w:rPr>
        <w:t xml:space="preserve">purpose of the </w:t>
      </w:r>
      <w:r w:rsidR="00BC1B7D" w:rsidRPr="00527F92">
        <w:rPr>
          <w:i/>
          <w:szCs w:val="26"/>
        </w:rPr>
        <w:t>lis pendens</w:t>
      </w:r>
      <w:r w:rsidR="00BC1B7D" w:rsidRPr="00527F92">
        <w:rPr>
          <w:szCs w:val="26"/>
        </w:rPr>
        <w:t xml:space="preserve"> doctrine </w:t>
      </w:r>
      <w:r w:rsidR="00BA1874" w:rsidRPr="00527F92">
        <w:rPr>
          <w:szCs w:val="26"/>
        </w:rPr>
        <w:t xml:space="preserve">is to </w:t>
      </w:r>
      <w:r w:rsidR="00BC1B7D" w:rsidRPr="00527F92">
        <w:rPr>
          <w:szCs w:val="26"/>
        </w:rPr>
        <w:t xml:space="preserve">prevent a party from being forced to defend itself against the same claims twice.  </w:t>
      </w:r>
      <w:r w:rsidR="00BC1B7D" w:rsidRPr="00527F92">
        <w:rPr>
          <w:i/>
          <w:szCs w:val="26"/>
        </w:rPr>
        <w:t>Penox Technologies, Inc., supra</w:t>
      </w:r>
      <w:r w:rsidR="00BC1B7D" w:rsidRPr="00527F92">
        <w:rPr>
          <w:szCs w:val="26"/>
        </w:rPr>
        <w:t>, at 115.</w:t>
      </w:r>
      <w:r w:rsidR="00BC1B7D" w:rsidRPr="00527F92">
        <w:rPr>
          <w:i/>
          <w:szCs w:val="26"/>
        </w:rPr>
        <w:t xml:space="preserve">  </w:t>
      </w:r>
      <w:r w:rsidR="00BC1B7D" w:rsidRPr="00527F92">
        <w:rPr>
          <w:szCs w:val="22"/>
        </w:rPr>
        <w:t xml:space="preserve">We believe that </w:t>
      </w:r>
      <w:r w:rsidRPr="00527F92">
        <w:rPr>
          <w:szCs w:val="22"/>
        </w:rPr>
        <w:t xml:space="preserve">having a hearing in </w:t>
      </w:r>
      <w:r w:rsidR="00BC1B7D" w:rsidRPr="00527F92">
        <w:rPr>
          <w:szCs w:val="22"/>
        </w:rPr>
        <w:t xml:space="preserve">this matter will result in </w:t>
      </w:r>
      <w:r w:rsidR="00E87AF5" w:rsidRPr="00527F92">
        <w:rPr>
          <w:szCs w:val="22"/>
        </w:rPr>
        <w:t>a</w:t>
      </w:r>
      <w:r w:rsidR="00BC1B7D" w:rsidRPr="00527F92">
        <w:rPr>
          <w:szCs w:val="22"/>
        </w:rPr>
        <w:t xml:space="preserve"> waste of time, money </w:t>
      </w:r>
      <w:r w:rsidR="00BC1B7D" w:rsidRPr="00527F92">
        <w:rPr>
          <w:szCs w:val="22"/>
        </w:rPr>
        <w:lastRenderedPageBreak/>
        <w:t xml:space="preserve">and resources by having the exact same claims and same set of facts litigated in two separate proceedings.  </w:t>
      </w:r>
      <w:r w:rsidR="00AA586C" w:rsidRPr="00527F92">
        <w:rPr>
          <w:szCs w:val="22"/>
        </w:rPr>
        <w:t xml:space="preserve">It is well-established that the Commission may dismiss a complaint without a hearing if a hearing in the public interest is not necessary.  </w:t>
      </w:r>
      <w:r w:rsidR="00AA586C" w:rsidRPr="00527F92">
        <w:rPr>
          <w:i/>
          <w:szCs w:val="22"/>
        </w:rPr>
        <w:t>See</w:t>
      </w:r>
      <w:r w:rsidR="00ED0A7D">
        <w:rPr>
          <w:i/>
          <w:szCs w:val="22"/>
        </w:rPr>
        <w:t>,</w:t>
      </w:r>
      <w:r w:rsidR="00AA586C" w:rsidRPr="00527F92">
        <w:rPr>
          <w:i/>
          <w:szCs w:val="22"/>
        </w:rPr>
        <w:t xml:space="preserve"> </w:t>
      </w:r>
      <w:r w:rsidR="00AA586C" w:rsidRPr="00527F92">
        <w:rPr>
          <w:szCs w:val="22"/>
        </w:rPr>
        <w:t xml:space="preserve">66 Pa. C.S. § 703(b).  </w:t>
      </w:r>
      <w:r w:rsidR="00BC1B7D" w:rsidRPr="00527F92">
        <w:rPr>
          <w:szCs w:val="22"/>
        </w:rPr>
        <w:t xml:space="preserve">ALJ </w:t>
      </w:r>
      <w:r w:rsidRPr="00527F92">
        <w:rPr>
          <w:szCs w:val="22"/>
        </w:rPr>
        <w:t>Buckley’s</w:t>
      </w:r>
      <w:r w:rsidR="00BC1B7D" w:rsidRPr="00527F92">
        <w:rPr>
          <w:szCs w:val="22"/>
        </w:rPr>
        <w:t xml:space="preserve"> analysis of this issue in </w:t>
      </w:r>
      <w:r w:rsidRPr="00527F92">
        <w:rPr>
          <w:szCs w:val="22"/>
        </w:rPr>
        <w:t>his</w:t>
      </w:r>
      <w:r w:rsidR="00BC1B7D" w:rsidRPr="00A55BFB">
        <w:rPr>
          <w:szCs w:val="22"/>
        </w:rPr>
        <w:t xml:space="preserve"> Initial Decision is sound and should be upheld.</w:t>
      </w:r>
    </w:p>
    <w:p w:rsidR="00BA1874" w:rsidRDefault="00BA1874" w:rsidP="00BC1B7D">
      <w:pPr>
        <w:spacing w:line="360" w:lineRule="auto"/>
        <w:ind w:firstLine="1440"/>
        <w:rPr>
          <w:rFonts w:ascii="Times New (W1)" w:hAnsi="Times New (W1)"/>
          <w:szCs w:val="22"/>
        </w:rPr>
      </w:pPr>
    </w:p>
    <w:p w:rsidR="00BA1874" w:rsidRPr="00527F92" w:rsidRDefault="00BA1874" w:rsidP="00BA1874">
      <w:pPr>
        <w:spacing w:line="360" w:lineRule="auto"/>
        <w:ind w:firstLine="1440"/>
        <w:rPr>
          <w:szCs w:val="26"/>
        </w:rPr>
      </w:pPr>
      <w:r w:rsidRPr="00A55BFB">
        <w:rPr>
          <w:szCs w:val="22"/>
        </w:rPr>
        <w:t>We note that</w:t>
      </w:r>
      <w:r w:rsidR="00ED0A7D">
        <w:rPr>
          <w:szCs w:val="22"/>
        </w:rPr>
        <w:t>,</w:t>
      </w:r>
      <w:r w:rsidRPr="00A55BFB">
        <w:rPr>
          <w:szCs w:val="22"/>
        </w:rPr>
        <w:t xml:space="preserve"> </w:t>
      </w:r>
      <w:r w:rsidR="00AA586C" w:rsidRPr="00A55BFB">
        <w:rPr>
          <w:szCs w:val="22"/>
        </w:rPr>
        <w:t>i</w:t>
      </w:r>
      <w:r w:rsidRPr="007828A8">
        <w:rPr>
          <w:szCs w:val="26"/>
        </w:rPr>
        <w:t xml:space="preserve">n </w:t>
      </w:r>
      <w:proofErr w:type="spellStart"/>
      <w:r w:rsidRPr="007828A8">
        <w:rPr>
          <w:i/>
          <w:szCs w:val="26"/>
        </w:rPr>
        <w:t>Carlock</w:t>
      </w:r>
      <w:proofErr w:type="spellEnd"/>
      <w:r w:rsidRPr="007828A8">
        <w:rPr>
          <w:i/>
          <w:szCs w:val="26"/>
        </w:rPr>
        <w:t xml:space="preserve"> v. The United Telephone Company of Pennsylvania</w:t>
      </w:r>
      <w:r w:rsidRPr="007828A8">
        <w:rPr>
          <w:szCs w:val="26"/>
        </w:rPr>
        <w:t xml:space="preserve">, Docket No. F-00163617 (Order entered July 14, 1993), we held that, in the normal course, we would not dismiss a </w:t>
      </w:r>
      <w:r w:rsidRPr="00527F92">
        <w:rPr>
          <w:i/>
          <w:szCs w:val="26"/>
        </w:rPr>
        <w:t>pro se</w:t>
      </w:r>
      <w:r w:rsidRPr="00527F92">
        <w:rPr>
          <w:szCs w:val="26"/>
        </w:rPr>
        <w:t xml:space="preserve"> complaint without first providing a hearing during which the </w:t>
      </w:r>
      <w:r w:rsidRPr="00527F92">
        <w:rPr>
          <w:i/>
          <w:szCs w:val="26"/>
        </w:rPr>
        <w:t>pro se</w:t>
      </w:r>
      <w:r w:rsidRPr="00527F92">
        <w:rPr>
          <w:szCs w:val="26"/>
        </w:rPr>
        <w:t xml:space="preserve"> complainant could further explain his or her position and the factual basis for the complaint.  Our concern was that, in general, </w:t>
      </w:r>
      <w:r w:rsidRPr="00527F92">
        <w:rPr>
          <w:i/>
          <w:szCs w:val="26"/>
        </w:rPr>
        <w:t>pro se</w:t>
      </w:r>
      <w:r w:rsidRPr="00527F92">
        <w:rPr>
          <w:szCs w:val="26"/>
        </w:rPr>
        <w:t xml:space="preserve"> complainants may find it difficult to navigate through pre-hearing motions and should be given the chance to orally describe their basic issue and supporting facts.  We view the present case as distinguishable from </w:t>
      </w:r>
      <w:r w:rsidRPr="00527F92">
        <w:rPr>
          <w:i/>
          <w:szCs w:val="26"/>
        </w:rPr>
        <w:t>Carlock</w:t>
      </w:r>
      <w:r w:rsidRPr="00527F92">
        <w:rPr>
          <w:szCs w:val="26"/>
        </w:rPr>
        <w:t xml:space="preserve"> because the Complainant has already been provided </w:t>
      </w:r>
      <w:r w:rsidR="00AA586C" w:rsidRPr="00527F92">
        <w:rPr>
          <w:szCs w:val="26"/>
        </w:rPr>
        <w:t xml:space="preserve">with </w:t>
      </w:r>
      <w:r w:rsidRPr="00527F92">
        <w:rPr>
          <w:szCs w:val="26"/>
        </w:rPr>
        <w:t xml:space="preserve">a hearing on the 2009 Complaint, which contained the same allegations and requests for relief that the Complainant </w:t>
      </w:r>
      <w:r w:rsidR="00537A00" w:rsidRPr="00527F92">
        <w:rPr>
          <w:szCs w:val="26"/>
        </w:rPr>
        <w:t>has raised in the present proceeding</w:t>
      </w:r>
      <w:r w:rsidRPr="00527F92">
        <w:rPr>
          <w:szCs w:val="26"/>
        </w:rPr>
        <w:t>.</w:t>
      </w:r>
      <w:r w:rsidR="00537A00" w:rsidRPr="00527F92">
        <w:rPr>
          <w:szCs w:val="26"/>
        </w:rPr>
        <w:t xml:space="preserve">  Accordingly, we find that the Complainant has had the opportunity to explain her position and the factual basis for her Complaint.</w:t>
      </w:r>
    </w:p>
    <w:p w:rsidR="00BA1874" w:rsidRDefault="00BA1874" w:rsidP="00BA1874">
      <w:pPr>
        <w:spacing w:line="360" w:lineRule="auto"/>
        <w:ind w:firstLine="1440"/>
        <w:rPr>
          <w:szCs w:val="26"/>
        </w:rPr>
      </w:pPr>
    </w:p>
    <w:p w:rsidR="00BC1B7D" w:rsidRDefault="005C446F" w:rsidP="005C446F">
      <w:pPr>
        <w:spacing w:line="360" w:lineRule="auto"/>
        <w:jc w:val="center"/>
        <w:rPr>
          <w:rFonts w:ascii="Times New (W1)" w:hAnsi="Times New (W1)"/>
          <w:b/>
          <w:szCs w:val="22"/>
        </w:rPr>
      </w:pPr>
      <w:r>
        <w:rPr>
          <w:rFonts w:ascii="Times New (W1)" w:hAnsi="Times New (W1)"/>
          <w:b/>
          <w:szCs w:val="22"/>
        </w:rPr>
        <w:t xml:space="preserve">Conclusion </w:t>
      </w:r>
    </w:p>
    <w:p w:rsidR="005C446F" w:rsidRDefault="005C446F" w:rsidP="005C446F">
      <w:pPr>
        <w:spacing w:line="360" w:lineRule="auto"/>
        <w:jc w:val="center"/>
        <w:rPr>
          <w:rFonts w:ascii="Times New (W1)" w:hAnsi="Times New (W1)"/>
          <w:b/>
          <w:szCs w:val="22"/>
        </w:rPr>
      </w:pPr>
    </w:p>
    <w:p w:rsidR="00066A76" w:rsidRPr="007828A8" w:rsidRDefault="000A4744" w:rsidP="00066A76">
      <w:pPr>
        <w:spacing w:line="360" w:lineRule="auto"/>
        <w:rPr>
          <w:szCs w:val="26"/>
        </w:rPr>
      </w:pPr>
      <w:r w:rsidRPr="00A55BFB">
        <w:rPr>
          <w:b/>
          <w:szCs w:val="22"/>
        </w:rPr>
        <w:tab/>
      </w:r>
      <w:r w:rsidRPr="00A55BFB">
        <w:rPr>
          <w:b/>
          <w:szCs w:val="22"/>
        </w:rPr>
        <w:tab/>
      </w:r>
      <w:r w:rsidRPr="00A55BFB">
        <w:rPr>
          <w:szCs w:val="22"/>
        </w:rPr>
        <w:t>Based upon our review of the pleadings, the Parties’ positions, and the applicable law, we shall deny the Complainant’s Exceptions and</w:t>
      </w:r>
      <w:r w:rsidR="0044197C" w:rsidRPr="00A55BFB">
        <w:rPr>
          <w:szCs w:val="22"/>
        </w:rPr>
        <w:t xml:space="preserve"> adopt the ALJ’s Initial Decision</w:t>
      </w:r>
      <w:r w:rsidR="00490D47" w:rsidRPr="00A55BFB">
        <w:rPr>
          <w:szCs w:val="22"/>
        </w:rPr>
        <w:t xml:space="preserve"> which grants Verizon’s Preliminary Objections</w:t>
      </w:r>
      <w:r w:rsidR="0044197C" w:rsidRPr="00A55BFB">
        <w:rPr>
          <w:szCs w:val="22"/>
        </w:rPr>
        <w:t xml:space="preserve">; </w:t>
      </w:r>
      <w:r w:rsidR="00066A76" w:rsidRPr="007828A8">
        <w:rPr>
          <w:b/>
          <w:szCs w:val="26"/>
        </w:rPr>
        <w:t>THEREFORE,</w:t>
      </w:r>
      <w:r w:rsidR="00066A76" w:rsidRPr="007828A8">
        <w:rPr>
          <w:szCs w:val="26"/>
        </w:rPr>
        <w:t xml:space="preserve"> </w:t>
      </w:r>
    </w:p>
    <w:p w:rsidR="00066A76" w:rsidRPr="00066A76" w:rsidRDefault="00066A76" w:rsidP="00066A76">
      <w:pPr>
        <w:spacing w:line="360" w:lineRule="auto"/>
        <w:rPr>
          <w:szCs w:val="26"/>
        </w:rPr>
      </w:pPr>
      <w:r w:rsidRPr="00066A76">
        <w:rPr>
          <w:szCs w:val="26"/>
        </w:rPr>
        <w:tab/>
      </w:r>
      <w:r w:rsidRPr="00066A76">
        <w:rPr>
          <w:szCs w:val="26"/>
        </w:rPr>
        <w:tab/>
      </w:r>
    </w:p>
    <w:p w:rsidR="00066A76" w:rsidRPr="00066A76" w:rsidRDefault="00066A76" w:rsidP="00066A76">
      <w:pPr>
        <w:spacing w:line="360" w:lineRule="auto"/>
        <w:rPr>
          <w:b/>
          <w:szCs w:val="26"/>
        </w:rPr>
      </w:pPr>
      <w:r w:rsidRPr="00066A76">
        <w:rPr>
          <w:szCs w:val="26"/>
        </w:rPr>
        <w:tab/>
      </w:r>
      <w:r w:rsidRPr="00066A76">
        <w:rPr>
          <w:szCs w:val="26"/>
        </w:rPr>
        <w:tab/>
      </w:r>
      <w:r w:rsidRPr="00066A76">
        <w:rPr>
          <w:b/>
          <w:szCs w:val="26"/>
        </w:rPr>
        <w:t>IT IS ORDERED:</w:t>
      </w:r>
    </w:p>
    <w:p w:rsidR="00066A76" w:rsidRPr="00066A76" w:rsidRDefault="00066A76" w:rsidP="00066A76">
      <w:pPr>
        <w:spacing w:line="360" w:lineRule="auto"/>
        <w:rPr>
          <w:szCs w:val="26"/>
        </w:rPr>
      </w:pPr>
    </w:p>
    <w:p w:rsidR="00066A76" w:rsidRDefault="00066A76" w:rsidP="00066A76">
      <w:pPr>
        <w:spacing w:line="360" w:lineRule="auto"/>
        <w:rPr>
          <w:szCs w:val="26"/>
        </w:rPr>
      </w:pPr>
      <w:r w:rsidRPr="00066A76">
        <w:rPr>
          <w:szCs w:val="26"/>
        </w:rPr>
        <w:tab/>
      </w:r>
      <w:r w:rsidRPr="00066A76">
        <w:rPr>
          <w:szCs w:val="26"/>
        </w:rPr>
        <w:tab/>
      </w:r>
      <w:r>
        <w:rPr>
          <w:szCs w:val="26"/>
        </w:rPr>
        <w:t>1.</w:t>
      </w:r>
      <w:r>
        <w:rPr>
          <w:szCs w:val="26"/>
        </w:rPr>
        <w:tab/>
        <w:t>That the Exceptions of Lidia Shan are denied, consistent with this Opinion and Order.</w:t>
      </w:r>
    </w:p>
    <w:p w:rsidR="00066A76" w:rsidRDefault="00066A76" w:rsidP="00066A76">
      <w:pPr>
        <w:spacing w:line="360" w:lineRule="auto"/>
        <w:rPr>
          <w:szCs w:val="26"/>
        </w:rPr>
      </w:pPr>
      <w:r>
        <w:rPr>
          <w:szCs w:val="26"/>
        </w:rPr>
        <w:lastRenderedPageBreak/>
        <w:tab/>
      </w:r>
      <w:r>
        <w:rPr>
          <w:szCs w:val="26"/>
        </w:rPr>
        <w:tab/>
        <w:t>2.</w:t>
      </w:r>
      <w:r>
        <w:rPr>
          <w:szCs w:val="26"/>
        </w:rPr>
        <w:tab/>
        <w:t xml:space="preserve">That the Initial Decision of Administrative Law Judge Dennis J. Buckley, issued September 19, 2011, is adopted, consistent with this Opinion and Order.  </w:t>
      </w:r>
    </w:p>
    <w:p w:rsidR="00066A76" w:rsidRDefault="00066A76" w:rsidP="00066A76">
      <w:pPr>
        <w:spacing w:line="360" w:lineRule="auto"/>
        <w:rPr>
          <w:szCs w:val="26"/>
        </w:rPr>
      </w:pPr>
    </w:p>
    <w:p w:rsidR="00066A76" w:rsidRDefault="00066A76" w:rsidP="00066A76">
      <w:pPr>
        <w:spacing w:line="360" w:lineRule="auto"/>
        <w:rPr>
          <w:szCs w:val="26"/>
        </w:rPr>
      </w:pPr>
      <w:r>
        <w:rPr>
          <w:szCs w:val="26"/>
        </w:rPr>
        <w:tab/>
      </w:r>
      <w:r>
        <w:rPr>
          <w:szCs w:val="26"/>
        </w:rPr>
        <w:tab/>
        <w:t>3.</w:t>
      </w:r>
      <w:r>
        <w:rPr>
          <w:szCs w:val="26"/>
        </w:rPr>
        <w:tab/>
        <w:t>That the Preliminary Objections filed by Verizon Pennsylvania Inc. on June 17, 2011, are granted.</w:t>
      </w:r>
    </w:p>
    <w:p w:rsidR="00066A76" w:rsidRDefault="00066A76" w:rsidP="00066A76">
      <w:pPr>
        <w:spacing w:line="360" w:lineRule="auto"/>
        <w:rPr>
          <w:szCs w:val="26"/>
        </w:rPr>
      </w:pPr>
    </w:p>
    <w:p w:rsidR="00066A76" w:rsidRDefault="00066A76" w:rsidP="00066A76">
      <w:pPr>
        <w:spacing w:line="360" w:lineRule="auto"/>
        <w:rPr>
          <w:szCs w:val="26"/>
        </w:rPr>
      </w:pPr>
      <w:r>
        <w:rPr>
          <w:szCs w:val="26"/>
        </w:rPr>
        <w:tab/>
      </w:r>
      <w:r>
        <w:rPr>
          <w:szCs w:val="26"/>
        </w:rPr>
        <w:tab/>
        <w:t>4.</w:t>
      </w:r>
      <w:r>
        <w:rPr>
          <w:szCs w:val="26"/>
        </w:rPr>
        <w:tab/>
        <w:t xml:space="preserve">That the Complaint of Lidia Shan filed against Verizon Pennsylvania Inc., at Docket No. C-2011-2243183, is dismissed with prejudice.  </w:t>
      </w:r>
    </w:p>
    <w:p w:rsidR="00066A76" w:rsidRDefault="00066A76" w:rsidP="00066A76">
      <w:pPr>
        <w:spacing w:line="360" w:lineRule="auto"/>
        <w:rPr>
          <w:szCs w:val="26"/>
        </w:rPr>
      </w:pPr>
    </w:p>
    <w:p w:rsidR="00066A76" w:rsidRDefault="00066A76" w:rsidP="00066A76">
      <w:pPr>
        <w:spacing w:line="360" w:lineRule="auto"/>
        <w:rPr>
          <w:szCs w:val="26"/>
        </w:rPr>
      </w:pPr>
      <w:r>
        <w:rPr>
          <w:szCs w:val="26"/>
        </w:rPr>
        <w:tab/>
      </w:r>
      <w:r>
        <w:rPr>
          <w:szCs w:val="26"/>
        </w:rPr>
        <w:tab/>
        <w:t>5.</w:t>
      </w:r>
      <w:r>
        <w:rPr>
          <w:szCs w:val="26"/>
        </w:rPr>
        <w:tab/>
        <w:t xml:space="preserve">That Lidia Shan is precluded from filing further informal and formal complaints </w:t>
      </w:r>
      <w:r w:rsidR="000E17B9">
        <w:rPr>
          <w:szCs w:val="26"/>
        </w:rPr>
        <w:t xml:space="preserve">with identity of issues to the pending complaint, Docket No. </w:t>
      </w:r>
      <w:proofErr w:type="gramStart"/>
      <w:r w:rsidR="000E17B9">
        <w:rPr>
          <w:szCs w:val="26"/>
        </w:rPr>
        <w:t>C-2009-2150021, for Lidia Shan’s telephone account at her current service address</w:t>
      </w:r>
      <w:r w:rsidR="00A51E29">
        <w:rPr>
          <w:szCs w:val="26"/>
        </w:rPr>
        <w:t>.</w:t>
      </w:r>
      <w:proofErr w:type="gramEnd"/>
    </w:p>
    <w:p w:rsidR="00066A76" w:rsidRPr="00066A76" w:rsidRDefault="00066A76" w:rsidP="00066A76">
      <w:pPr>
        <w:spacing w:line="360" w:lineRule="auto"/>
        <w:rPr>
          <w:szCs w:val="26"/>
        </w:rPr>
      </w:pPr>
    </w:p>
    <w:p w:rsidR="00066A76" w:rsidRPr="00066A76" w:rsidRDefault="004069B6" w:rsidP="00066A76">
      <w:pPr>
        <w:spacing w:line="360" w:lineRule="auto"/>
        <w:rPr>
          <w:szCs w:val="24"/>
        </w:rPr>
      </w:pPr>
      <w:bookmarkStart w:id="0" w:name="_GoBack"/>
      <w:r w:rsidRPr="00A4345F">
        <w:rPr>
          <w:noProof/>
        </w:rPr>
        <w:drawing>
          <wp:anchor distT="0" distB="0" distL="114300" distR="114300" simplePos="0" relativeHeight="251659264" behindDoc="1" locked="0" layoutInCell="1" allowOverlap="1" wp14:anchorId="421969BD" wp14:editId="63FA55EB">
            <wp:simplePos x="0" y="0"/>
            <wp:positionH relativeFrom="column">
              <wp:posOffset>2907030</wp:posOffset>
            </wp:positionH>
            <wp:positionV relativeFrom="paragraph">
              <wp:posOffset>77470</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 xml:space="preserve">ORDER ADOPTED:  </w:t>
      </w:r>
      <w:r w:rsidR="00F72401">
        <w:rPr>
          <w:szCs w:val="24"/>
        </w:rPr>
        <w:t>January</w:t>
      </w:r>
      <w:r w:rsidR="00A121B2">
        <w:rPr>
          <w:szCs w:val="24"/>
        </w:rPr>
        <w:t xml:space="preserve"> 1</w:t>
      </w:r>
      <w:r w:rsidR="00F72401">
        <w:rPr>
          <w:szCs w:val="24"/>
        </w:rPr>
        <w:t>2</w:t>
      </w:r>
      <w:r w:rsidRPr="00066A76">
        <w:rPr>
          <w:szCs w:val="24"/>
        </w:rPr>
        <w:t>, 201</w:t>
      </w:r>
      <w:r w:rsidR="00F72401">
        <w:rPr>
          <w:szCs w:val="24"/>
        </w:rPr>
        <w:t>2</w:t>
      </w:r>
      <w:r w:rsidRPr="00066A76">
        <w:rPr>
          <w:szCs w:val="24"/>
        </w:rPr>
        <w:t xml:space="preserve"> </w:t>
      </w:r>
    </w:p>
    <w:p w:rsidR="00066A76" w:rsidRPr="00066A76" w:rsidRDefault="00066A76" w:rsidP="00066A76">
      <w:pPr>
        <w:tabs>
          <w:tab w:val="left" w:pos="-720"/>
        </w:tabs>
        <w:suppressAutoHyphens/>
        <w:rPr>
          <w:szCs w:val="24"/>
        </w:rPr>
      </w:pPr>
    </w:p>
    <w:p w:rsidR="00066A76" w:rsidRPr="00066A76" w:rsidRDefault="00066A76" w:rsidP="00F63337">
      <w:pPr>
        <w:tabs>
          <w:tab w:val="left" w:pos="-720"/>
        </w:tabs>
        <w:suppressAutoHyphens/>
        <w:rPr>
          <w:sz w:val="24"/>
          <w:szCs w:val="24"/>
        </w:rPr>
      </w:pPr>
      <w:r w:rsidRPr="00066A76">
        <w:rPr>
          <w:szCs w:val="24"/>
        </w:rPr>
        <w:t>ORDER ENTERED:</w:t>
      </w:r>
      <w:r w:rsidR="006028DA">
        <w:rPr>
          <w:szCs w:val="24"/>
        </w:rPr>
        <w:t xml:space="preserve">  </w:t>
      </w:r>
      <w:r w:rsidR="004069B6">
        <w:rPr>
          <w:szCs w:val="24"/>
        </w:rPr>
        <w:t>January 12, 2012</w:t>
      </w:r>
    </w:p>
    <w:p w:rsidR="00BC1B7D" w:rsidRPr="00BC1B7D" w:rsidRDefault="000A4744" w:rsidP="00F63337">
      <w:pPr>
        <w:spacing w:line="360" w:lineRule="auto"/>
      </w:pPr>
      <w:r>
        <w:rPr>
          <w:rFonts w:ascii="Times New (W1)" w:hAnsi="Times New (W1)"/>
          <w:szCs w:val="22"/>
        </w:rPr>
        <w:t xml:space="preserve">  </w:t>
      </w:r>
      <w:r w:rsidRPr="000A4744">
        <w:rPr>
          <w:rFonts w:ascii="Times New (W1)" w:hAnsi="Times New (W1)"/>
          <w:szCs w:val="22"/>
        </w:rPr>
        <w:t xml:space="preserve"> </w:t>
      </w:r>
    </w:p>
    <w:sectPr w:rsidR="00BC1B7D" w:rsidRPr="00BC1B7D" w:rsidSect="00A55BFB">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484" w:rsidRDefault="008C5484" w:rsidP="00567496">
      <w:r>
        <w:separator/>
      </w:r>
    </w:p>
  </w:endnote>
  <w:endnote w:type="continuationSeparator" w:id="0">
    <w:p w:rsidR="008C5484" w:rsidRDefault="008C5484"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B0428F" w:rsidRDefault="00B0428F">
        <w:pPr>
          <w:pStyle w:val="Footer"/>
          <w:jc w:val="center"/>
        </w:pPr>
        <w:r>
          <w:fldChar w:fldCharType="begin"/>
        </w:r>
        <w:r>
          <w:instrText xml:space="preserve"> PAGE   \* MERGEFORMAT </w:instrText>
        </w:r>
        <w:r>
          <w:fldChar w:fldCharType="separate"/>
        </w:r>
        <w:r w:rsidR="004069B6">
          <w:rPr>
            <w:noProof/>
          </w:rPr>
          <w:t>9</w:t>
        </w:r>
        <w:r>
          <w:rPr>
            <w:noProof/>
          </w:rPr>
          <w:fldChar w:fldCharType="end"/>
        </w:r>
      </w:p>
    </w:sdtContent>
  </w:sdt>
  <w:p w:rsidR="00B0428F" w:rsidRDefault="00B04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484" w:rsidRDefault="008C5484" w:rsidP="00567496">
      <w:r>
        <w:separator/>
      </w:r>
    </w:p>
  </w:footnote>
  <w:footnote w:type="continuationSeparator" w:id="0">
    <w:p w:rsidR="008C5484" w:rsidRDefault="008C5484" w:rsidP="00567496">
      <w:r>
        <w:continuationSeparator/>
      </w:r>
    </w:p>
  </w:footnote>
  <w:footnote w:id="1">
    <w:p w:rsidR="00B8612F" w:rsidRPr="00B8612F" w:rsidRDefault="00B8612F" w:rsidP="00B8612F">
      <w:pPr>
        <w:pStyle w:val="FootnoteText"/>
        <w:ind w:firstLine="720"/>
        <w:rPr>
          <w:sz w:val="26"/>
          <w:szCs w:val="22"/>
        </w:rPr>
      </w:pPr>
      <w:r w:rsidRPr="00B8612F">
        <w:rPr>
          <w:rStyle w:val="FootnoteReference"/>
          <w:sz w:val="22"/>
          <w:szCs w:val="22"/>
        </w:rPr>
        <w:footnoteRef/>
      </w:r>
      <w:r w:rsidRPr="00B8612F">
        <w:rPr>
          <w:sz w:val="22"/>
          <w:szCs w:val="22"/>
        </w:rPr>
        <w:t xml:space="preserve"> </w:t>
      </w:r>
      <w:r>
        <w:rPr>
          <w:sz w:val="22"/>
          <w:szCs w:val="22"/>
        </w:rPr>
        <w:tab/>
      </w:r>
      <w:r>
        <w:rPr>
          <w:sz w:val="26"/>
          <w:szCs w:val="22"/>
        </w:rPr>
        <w:t xml:space="preserve">By letter dated July 7, 2011, the Commission’s Secretary granted the Complainant an extension of time, until July 22, 2011, to respond to the New Matter and Preliminary Objections.  </w:t>
      </w:r>
    </w:p>
  </w:footnote>
  <w:footnote w:id="2">
    <w:p w:rsidR="000C7A35" w:rsidRPr="000C7A35" w:rsidRDefault="000C7A35" w:rsidP="00A55BFB">
      <w:pPr>
        <w:pStyle w:val="FootnoteText"/>
        <w:tabs>
          <w:tab w:val="left" w:pos="720"/>
          <w:tab w:val="left" w:pos="1440"/>
        </w:tabs>
        <w:rPr>
          <w:sz w:val="26"/>
        </w:rPr>
      </w:pPr>
      <w:r>
        <w:tab/>
      </w:r>
      <w:r w:rsidRPr="000C7A35">
        <w:rPr>
          <w:rStyle w:val="FootnoteReference"/>
          <w:sz w:val="22"/>
          <w:szCs w:val="22"/>
        </w:rPr>
        <w:footnoteRef/>
      </w:r>
      <w:r w:rsidRPr="000C7A35">
        <w:rPr>
          <w:sz w:val="22"/>
          <w:szCs w:val="22"/>
        </w:rPr>
        <w:t xml:space="preserve"> </w:t>
      </w:r>
      <w:r>
        <w:tab/>
      </w:r>
      <w:r w:rsidRPr="000C7A35">
        <w:rPr>
          <w:sz w:val="26"/>
        </w:rPr>
        <w:t xml:space="preserve">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sidRPr="000C7A35">
        <w:rPr>
          <w:i/>
          <w:sz w:val="26"/>
        </w:rPr>
        <w:t>pro se</w:t>
      </w:r>
      <w:r w:rsidRPr="000C7A35">
        <w:rPr>
          <w:sz w:val="26"/>
        </w:rPr>
        <w:t>, we will accept the Exceptions as</w:t>
      </w:r>
      <w:r w:rsidRPr="000C7A35">
        <w:t xml:space="preserve"> </w:t>
      </w:r>
      <w:r w:rsidRPr="000C7A35">
        <w:rPr>
          <w:sz w:val="26"/>
        </w:rPr>
        <w:t xml:space="preserve">filed pursuant to Section 1.2(c) of our Regulations, 52 Pa. Code </w:t>
      </w:r>
      <w:r w:rsidR="002C1776">
        <w:rPr>
          <w:sz w:val="26"/>
        </w:rPr>
        <w:br/>
      </w:r>
      <w:r w:rsidRPr="000C7A35">
        <w:rPr>
          <w:sz w:val="26"/>
        </w:rPr>
        <w:t xml:space="preserve">§ 1.2(c).  </w:t>
      </w:r>
      <w:r w:rsidRPr="000C7A35">
        <w:rPr>
          <w:i/>
          <w:sz w:val="26"/>
        </w:rPr>
        <w:t>See also, Info Connections, Inc. v. Pa. PUC</w:t>
      </w:r>
      <w:r w:rsidRPr="000C7A35">
        <w:rPr>
          <w:sz w:val="26"/>
        </w:rPr>
        <w:t>, 630 A.2d 498 (Pa. Cmwlth. 1993).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DBB"/>
    <w:rsid w:val="00001155"/>
    <w:rsid w:val="00001EBD"/>
    <w:rsid w:val="000036E9"/>
    <w:rsid w:val="00004858"/>
    <w:rsid w:val="00004E2C"/>
    <w:rsid w:val="00004F7C"/>
    <w:rsid w:val="00006415"/>
    <w:rsid w:val="00006ECB"/>
    <w:rsid w:val="00006EFA"/>
    <w:rsid w:val="00013322"/>
    <w:rsid w:val="0001578F"/>
    <w:rsid w:val="00016924"/>
    <w:rsid w:val="00016B40"/>
    <w:rsid w:val="00017680"/>
    <w:rsid w:val="000211D0"/>
    <w:rsid w:val="000222AE"/>
    <w:rsid w:val="00022504"/>
    <w:rsid w:val="0002280B"/>
    <w:rsid w:val="00023CB6"/>
    <w:rsid w:val="00023D09"/>
    <w:rsid w:val="000249BD"/>
    <w:rsid w:val="00026AFF"/>
    <w:rsid w:val="00027499"/>
    <w:rsid w:val="0003033F"/>
    <w:rsid w:val="0003064C"/>
    <w:rsid w:val="00031713"/>
    <w:rsid w:val="00031787"/>
    <w:rsid w:val="0003181E"/>
    <w:rsid w:val="00031B5D"/>
    <w:rsid w:val="0003253F"/>
    <w:rsid w:val="00032E09"/>
    <w:rsid w:val="0003338F"/>
    <w:rsid w:val="00034F46"/>
    <w:rsid w:val="000422E7"/>
    <w:rsid w:val="00042CC3"/>
    <w:rsid w:val="000447CE"/>
    <w:rsid w:val="00044CEB"/>
    <w:rsid w:val="00045551"/>
    <w:rsid w:val="00045911"/>
    <w:rsid w:val="00046962"/>
    <w:rsid w:val="00047785"/>
    <w:rsid w:val="000506DB"/>
    <w:rsid w:val="00050CF6"/>
    <w:rsid w:val="00051324"/>
    <w:rsid w:val="000519B5"/>
    <w:rsid w:val="00052468"/>
    <w:rsid w:val="00052D75"/>
    <w:rsid w:val="000550E9"/>
    <w:rsid w:val="00055623"/>
    <w:rsid w:val="00057D94"/>
    <w:rsid w:val="0006109C"/>
    <w:rsid w:val="00061888"/>
    <w:rsid w:val="00063D15"/>
    <w:rsid w:val="00063E1C"/>
    <w:rsid w:val="00064894"/>
    <w:rsid w:val="000658EB"/>
    <w:rsid w:val="00065A18"/>
    <w:rsid w:val="00065F0E"/>
    <w:rsid w:val="00066A76"/>
    <w:rsid w:val="00066AE5"/>
    <w:rsid w:val="0007219D"/>
    <w:rsid w:val="000728F9"/>
    <w:rsid w:val="000732CB"/>
    <w:rsid w:val="000740B8"/>
    <w:rsid w:val="00074262"/>
    <w:rsid w:val="00074274"/>
    <w:rsid w:val="000749FD"/>
    <w:rsid w:val="0007550D"/>
    <w:rsid w:val="00075FFF"/>
    <w:rsid w:val="00076343"/>
    <w:rsid w:val="0007652E"/>
    <w:rsid w:val="00076FCE"/>
    <w:rsid w:val="000777B3"/>
    <w:rsid w:val="00081D32"/>
    <w:rsid w:val="00081EEF"/>
    <w:rsid w:val="0008220C"/>
    <w:rsid w:val="00082E1B"/>
    <w:rsid w:val="000842FB"/>
    <w:rsid w:val="00085ED7"/>
    <w:rsid w:val="00087216"/>
    <w:rsid w:val="000878DB"/>
    <w:rsid w:val="00090183"/>
    <w:rsid w:val="000917D1"/>
    <w:rsid w:val="00092F02"/>
    <w:rsid w:val="00093996"/>
    <w:rsid w:val="00094193"/>
    <w:rsid w:val="00096209"/>
    <w:rsid w:val="000971B5"/>
    <w:rsid w:val="000979D4"/>
    <w:rsid w:val="000A06B5"/>
    <w:rsid w:val="000A0C77"/>
    <w:rsid w:val="000A13F2"/>
    <w:rsid w:val="000A1613"/>
    <w:rsid w:val="000A1BE6"/>
    <w:rsid w:val="000A4744"/>
    <w:rsid w:val="000A4F3F"/>
    <w:rsid w:val="000A6F8A"/>
    <w:rsid w:val="000A7DED"/>
    <w:rsid w:val="000B0210"/>
    <w:rsid w:val="000B12E3"/>
    <w:rsid w:val="000B1971"/>
    <w:rsid w:val="000B1E0D"/>
    <w:rsid w:val="000B1F90"/>
    <w:rsid w:val="000B531C"/>
    <w:rsid w:val="000B599B"/>
    <w:rsid w:val="000B6883"/>
    <w:rsid w:val="000B6C4C"/>
    <w:rsid w:val="000B710E"/>
    <w:rsid w:val="000B75DD"/>
    <w:rsid w:val="000C35F6"/>
    <w:rsid w:val="000C459A"/>
    <w:rsid w:val="000C5F40"/>
    <w:rsid w:val="000C69AD"/>
    <w:rsid w:val="000C7089"/>
    <w:rsid w:val="000C7A35"/>
    <w:rsid w:val="000D1091"/>
    <w:rsid w:val="000D2A6B"/>
    <w:rsid w:val="000D380B"/>
    <w:rsid w:val="000D3DCC"/>
    <w:rsid w:val="000D43BE"/>
    <w:rsid w:val="000D476B"/>
    <w:rsid w:val="000D48F9"/>
    <w:rsid w:val="000D520C"/>
    <w:rsid w:val="000D6CEF"/>
    <w:rsid w:val="000D74EC"/>
    <w:rsid w:val="000D7FD2"/>
    <w:rsid w:val="000E007A"/>
    <w:rsid w:val="000E01F7"/>
    <w:rsid w:val="000E0269"/>
    <w:rsid w:val="000E0764"/>
    <w:rsid w:val="000E0FA7"/>
    <w:rsid w:val="000E124B"/>
    <w:rsid w:val="000E17B9"/>
    <w:rsid w:val="000E22AE"/>
    <w:rsid w:val="000E285A"/>
    <w:rsid w:val="000E35F4"/>
    <w:rsid w:val="000E3C3B"/>
    <w:rsid w:val="000E4883"/>
    <w:rsid w:val="000E5496"/>
    <w:rsid w:val="000E6231"/>
    <w:rsid w:val="000E75E1"/>
    <w:rsid w:val="000E7645"/>
    <w:rsid w:val="000E7975"/>
    <w:rsid w:val="000F0EA5"/>
    <w:rsid w:val="000F3544"/>
    <w:rsid w:val="000F415F"/>
    <w:rsid w:val="000F45BD"/>
    <w:rsid w:val="000F461C"/>
    <w:rsid w:val="000F46D2"/>
    <w:rsid w:val="000F501F"/>
    <w:rsid w:val="000F50A2"/>
    <w:rsid w:val="000F50C8"/>
    <w:rsid w:val="000F7DAE"/>
    <w:rsid w:val="00100BCA"/>
    <w:rsid w:val="0010174E"/>
    <w:rsid w:val="00101D54"/>
    <w:rsid w:val="00102F7E"/>
    <w:rsid w:val="00104159"/>
    <w:rsid w:val="00105BF5"/>
    <w:rsid w:val="00105E00"/>
    <w:rsid w:val="00105F1D"/>
    <w:rsid w:val="00106B30"/>
    <w:rsid w:val="00107493"/>
    <w:rsid w:val="00107BD9"/>
    <w:rsid w:val="00112874"/>
    <w:rsid w:val="00115130"/>
    <w:rsid w:val="00115FB0"/>
    <w:rsid w:val="00116C7B"/>
    <w:rsid w:val="0011729D"/>
    <w:rsid w:val="00120481"/>
    <w:rsid w:val="001212C2"/>
    <w:rsid w:val="00121D4A"/>
    <w:rsid w:val="00121DD2"/>
    <w:rsid w:val="00122DEA"/>
    <w:rsid w:val="0012301B"/>
    <w:rsid w:val="00123544"/>
    <w:rsid w:val="00124CAA"/>
    <w:rsid w:val="00124D07"/>
    <w:rsid w:val="001251FA"/>
    <w:rsid w:val="00126313"/>
    <w:rsid w:val="00126693"/>
    <w:rsid w:val="00127A3B"/>
    <w:rsid w:val="00130039"/>
    <w:rsid w:val="00130A5C"/>
    <w:rsid w:val="00130A80"/>
    <w:rsid w:val="00130E3F"/>
    <w:rsid w:val="00131318"/>
    <w:rsid w:val="001324BC"/>
    <w:rsid w:val="0013263B"/>
    <w:rsid w:val="0013296C"/>
    <w:rsid w:val="0013363F"/>
    <w:rsid w:val="00134BFA"/>
    <w:rsid w:val="00135DD1"/>
    <w:rsid w:val="00137474"/>
    <w:rsid w:val="00137993"/>
    <w:rsid w:val="00141235"/>
    <w:rsid w:val="0014343B"/>
    <w:rsid w:val="00143548"/>
    <w:rsid w:val="00143873"/>
    <w:rsid w:val="00143B1D"/>
    <w:rsid w:val="00150526"/>
    <w:rsid w:val="00150E8C"/>
    <w:rsid w:val="00151710"/>
    <w:rsid w:val="00151E19"/>
    <w:rsid w:val="001520DA"/>
    <w:rsid w:val="00152175"/>
    <w:rsid w:val="00153381"/>
    <w:rsid w:val="00153DA6"/>
    <w:rsid w:val="00153E8D"/>
    <w:rsid w:val="00153F8F"/>
    <w:rsid w:val="00154722"/>
    <w:rsid w:val="001550A1"/>
    <w:rsid w:val="0015535F"/>
    <w:rsid w:val="00162263"/>
    <w:rsid w:val="001623B6"/>
    <w:rsid w:val="001624A6"/>
    <w:rsid w:val="00163290"/>
    <w:rsid w:val="0016372F"/>
    <w:rsid w:val="001648F1"/>
    <w:rsid w:val="0016528B"/>
    <w:rsid w:val="0016597F"/>
    <w:rsid w:val="00167166"/>
    <w:rsid w:val="00167B7B"/>
    <w:rsid w:val="00167E4A"/>
    <w:rsid w:val="001701B4"/>
    <w:rsid w:val="00172E5B"/>
    <w:rsid w:val="0017378E"/>
    <w:rsid w:val="00174348"/>
    <w:rsid w:val="00174916"/>
    <w:rsid w:val="001757B6"/>
    <w:rsid w:val="00175ED3"/>
    <w:rsid w:val="0018006C"/>
    <w:rsid w:val="00180D82"/>
    <w:rsid w:val="00182093"/>
    <w:rsid w:val="00184831"/>
    <w:rsid w:val="00185FB2"/>
    <w:rsid w:val="00187958"/>
    <w:rsid w:val="0019027A"/>
    <w:rsid w:val="0019028A"/>
    <w:rsid w:val="00191C9B"/>
    <w:rsid w:val="00192C94"/>
    <w:rsid w:val="001960EE"/>
    <w:rsid w:val="001A0BA6"/>
    <w:rsid w:val="001A1EF3"/>
    <w:rsid w:val="001A272B"/>
    <w:rsid w:val="001A2965"/>
    <w:rsid w:val="001A410D"/>
    <w:rsid w:val="001A462A"/>
    <w:rsid w:val="001A4EB7"/>
    <w:rsid w:val="001A6C53"/>
    <w:rsid w:val="001A7031"/>
    <w:rsid w:val="001A7064"/>
    <w:rsid w:val="001A7E39"/>
    <w:rsid w:val="001B1E6E"/>
    <w:rsid w:val="001B2A8A"/>
    <w:rsid w:val="001B4D9F"/>
    <w:rsid w:val="001B4DBE"/>
    <w:rsid w:val="001B5ECD"/>
    <w:rsid w:val="001C1CD8"/>
    <w:rsid w:val="001C1DA1"/>
    <w:rsid w:val="001C27CC"/>
    <w:rsid w:val="001C2933"/>
    <w:rsid w:val="001C2D37"/>
    <w:rsid w:val="001C3981"/>
    <w:rsid w:val="001C3A12"/>
    <w:rsid w:val="001C3E1E"/>
    <w:rsid w:val="001C4360"/>
    <w:rsid w:val="001C44D7"/>
    <w:rsid w:val="001C44FF"/>
    <w:rsid w:val="001C5EF8"/>
    <w:rsid w:val="001C6120"/>
    <w:rsid w:val="001C70A3"/>
    <w:rsid w:val="001C7B31"/>
    <w:rsid w:val="001D0B37"/>
    <w:rsid w:val="001D3050"/>
    <w:rsid w:val="001D6158"/>
    <w:rsid w:val="001D6915"/>
    <w:rsid w:val="001E00F5"/>
    <w:rsid w:val="001E197D"/>
    <w:rsid w:val="001E19B2"/>
    <w:rsid w:val="001E31CE"/>
    <w:rsid w:val="001E3599"/>
    <w:rsid w:val="001E5224"/>
    <w:rsid w:val="001E6D2C"/>
    <w:rsid w:val="001E700E"/>
    <w:rsid w:val="001E7106"/>
    <w:rsid w:val="001E7A0C"/>
    <w:rsid w:val="001E7D0A"/>
    <w:rsid w:val="001F0B51"/>
    <w:rsid w:val="001F0E9C"/>
    <w:rsid w:val="001F1078"/>
    <w:rsid w:val="001F1B72"/>
    <w:rsid w:val="001F1D88"/>
    <w:rsid w:val="001F2E5D"/>
    <w:rsid w:val="001F528A"/>
    <w:rsid w:val="001F56EC"/>
    <w:rsid w:val="001F630C"/>
    <w:rsid w:val="001F66B3"/>
    <w:rsid w:val="001F709D"/>
    <w:rsid w:val="001F71DF"/>
    <w:rsid w:val="0020062B"/>
    <w:rsid w:val="00200D38"/>
    <w:rsid w:val="00200F19"/>
    <w:rsid w:val="00201A51"/>
    <w:rsid w:val="00201C6A"/>
    <w:rsid w:val="00201DF0"/>
    <w:rsid w:val="00203A63"/>
    <w:rsid w:val="00204170"/>
    <w:rsid w:val="00204A77"/>
    <w:rsid w:val="002056F8"/>
    <w:rsid w:val="00205C93"/>
    <w:rsid w:val="0020767E"/>
    <w:rsid w:val="002133BD"/>
    <w:rsid w:val="00213844"/>
    <w:rsid w:val="00213CEC"/>
    <w:rsid w:val="0021490C"/>
    <w:rsid w:val="002166B8"/>
    <w:rsid w:val="00216CD0"/>
    <w:rsid w:val="002177A7"/>
    <w:rsid w:val="00220742"/>
    <w:rsid w:val="00221908"/>
    <w:rsid w:val="00222A33"/>
    <w:rsid w:val="00222E46"/>
    <w:rsid w:val="00223250"/>
    <w:rsid w:val="00223617"/>
    <w:rsid w:val="00223721"/>
    <w:rsid w:val="0022400D"/>
    <w:rsid w:val="002246D7"/>
    <w:rsid w:val="00225062"/>
    <w:rsid w:val="00225DD2"/>
    <w:rsid w:val="0022643D"/>
    <w:rsid w:val="00226A1A"/>
    <w:rsid w:val="00227EA0"/>
    <w:rsid w:val="00230192"/>
    <w:rsid w:val="00230DE7"/>
    <w:rsid w:val="00231DE5"/>
    <w:rsid w:val="00232902"/>
    <w:rsid w:val="00232D7D"/>
    <w:rsid w:val="0023365D"/>
    <w:rsid w:val="00234136"/>
    <w:rsid w:val="00236652"/>
    <w:rsid w:val="002403F6"/>
    <w:rsid w:val="00240734"/>
    <w:rsid w:val="00243200"/>
    <w:rsid w:val="002432FA"/>
    <w:rsid w:val="00245113"/>
    <w:rsid w:val="00245BA0"/>
    <w:rsid w:val="00246E31"/>
    <w:rsid w:val="00247038"/>
    <w:rsid w:val="0025268A"/>
    <w:rsid w:val="00252AD1"/>
    <w:rsid w:val="00252DDE"/>
    <w:rsid w:val="00253336"/>
    <w:rsid w:val="00253D39"/>
    <w:rsid w:val="00254CFC"/>
    <w:rsid w:val="002554F7"/>
    <w:rsid w:val="00255974"/>
    <w:rsid w:val="002561C5"/>
    <w:rsid w:val="00256216"/>
    <w:rsid w:val="00256810"/>
    <w:rsid w:val="00256AF5"/>
    <w:rsid w:val="00261A12"/>
    <w:rsid w:val="00261F96"/>
    <w:rsid w:val="00262B0C"/>
    <w:rsid w:val="002634A2"/>
    <w:rsid w:val="00264338"/>
    <w:rsid w:val="0026462F"/>
    <w:rsid w:val="00267054"/>
    <w:rsid w:val="002675F5"/>
    <w:rsid w:val="0026779F"/>
    <w:rsid w:val="002679A8"/>
    <w:rsid w:val="00267E5C"/>
    <w:rsid w:val="00270E51"/>
    <w:rsid w:val="00271F56"/>
    <w:rsid w:val="00272126"/>
    <w:rsid w:val="00272DDC"/>
    <w:rsid w:val="0027360A"/>
    <w:rsid w:val="00274B3E"/>
    <w:rsid w:val="00274CA0"/>
    <w:rsid w:val="00275369"/>
    <w:rsid w:val="00280E7B"/>
    <w:rsid w:val="00281A01"/>
    <w:rsid w:val="00282B6B"/>
    <w:rsid w:val="002838DA"/>
    <w:rsid w:val="00283FA2"/>
    <w:rsid w:val="002852B8"/>
    <w:rsid w:val="00285779"/>
    <w:rsid w:val="00285AAC"/>
    <w:rsid w:val="00285D20"/>
    <w:rsid w:val="002869C4"/>
    <w:rsid w:val="00286EC9"/>
    <w:rsid w:val="002873E8"/>
    <w:rsid w:val="002876A5"/>
    <w:rsid w:val="002901BA"/>
    <w:rsid w:val="00290EA4"/>
    <w:rsid w:val="002928D1"/>
    <w:rsid w:val="00292DC5"/>
    <w:rsid w:val="00293120"/>
    <w:rsid w:val="00293AFA"/>
    <w:rsid w:val="002957BF"/>
    <w:rsid w:val="0029593E"/>
    <w:rsid w:val="002964BA"/>
    <w:rsid w:val="002974DC"/>
    <w:rsid w:val="002A14E0"/>
    <w:rsid w:val="002A2130"/>
    <w:rsid w:val="002A3932"/>
    <w:rsid w:val="002A4218"/>
    <w:rsid w:val="002A48A3"/>
    <w:rsid w:val="002A5492"/>
    <w:rsid w:val="002A54B9"/>
    <w:rsid w:val="002A609D"/>
    <w:rsid w:val="002A678C"/>
    <w:rsid w:val="002A6C71"/>
    <w:rsid w:val="002A7B3F"/>
    <w:rsid w:val="002B1787"/>
    <w:rsid w:val="002B3D1D"/>
    <w:rsid w:val="002B56B3"/>
    <w:rsid w:val="002C0E1C"/>
    <w:rsid w:val="002C15C0"/>
    <w:rsid w:val="002C1776"/>
    <w:rsid w:val="002C2BA6"/>
    <w:rsid w:val="002C3E78"/>
    <w:rsid w:val="002C403A"/>
    <w:rsid w:val="002C4F37"/>
    <w:rsid w:val="002C5120"/>
    <w:rsid w:val="002C519E"/>
    <w:rsid w:val="002C712F"/>
    <w:rsid w:val="002C73F8"/>
    <w:rsid w:val="002C794E"/>
    <w:rsid w:val="002C7AD3"/>
    <w:rsid w:val="002D035A"/>
    <w:rsid w:val="002D0DE8"/>
    <w:rsid w:val="002D16E5"/>
    <w:rsid w:val="002D2923"/>
    <w:rsid w:val="002D2A5E"/>
    <w:rsid w:val="002D41E3"/>
    <w:rsid w:val="002D4C8C"/>
    <w:rsid w:val="002D4FAC"/>
    <w:rsid w:val="002D5459"/>
    <w:rsid w:val="002D64F1"/>
    <w:rsid w:val="002D731F"/>
    <w:rsid w:val="002D74DC"/>
    <w:rsid w:val="002D79EE"/>
    <w:rsid w:val="002E04FA"/>
    <w:rsid w:val="002E098B"/>
    <w:rsid w:val="002E19A7"/>
    <w:rsid w:val="002E19D3"/>
    <w:rsid w:val="002E1A93"/>
    <w:rsid w:val="002E1B4E"/>
    <w:rsid w:val="002E47ED"/>
    <w:rsid w:val="002E4A5E"/>
    <w:rsid w:val="002F028F"/>
    <w:rsid w:val="002F0B35"/>
    <w:rsid w:val="002F0D1C"/>
    <w:rsid w:val="002F1C7E"/>
    <w:rsid w:val="002F3676"/>
    <w:rsid w:val="002F645C"/>
    <w:rsid w:val="002F6B14"/>
    <w:rsid w:val="002F7734"/>
    <w:rsid w:val="002F7AFB"/>
    <w:rsid w:val="00300758"/>
    <w:rsid w:val="00301D87"/>
    <w:rsid w:val="00302476"/>
    <w:rsid w:val="00303159"/>
    <w:rsid w:val="0030374F"/>
    <w:rsid w:val="003066F3"/>
    <w:rsid w:val="00306F3B"/>
    <w:rsid w:val="0030772B"/>
    <w:rsid w:val="00307D1E"/>
    <w:rsid w:val="003107D8"/>
    <w:rsid w:val="00311DA2"/>
    <w:rsid w:val="00311ECD"/>
    <w:rsid w:val="0031321C"/>
    <w:rsid w:val="00313295"/>
    <w:rsid w:val="003149AB"/>
    <w:rsid w:val="00314A49"/>
    <w:rsid w:val="00314D72"/>
    <w:rsid w:val="003151EA"/>
    <w:rsid w:val="00315C31"/>
    <w:rsid w:val="00315F58"/>
    <w:rsid w:val="00316881"/>
    <w:rsid w:val="00316ED1"/>
    <w:rsid w:val="0031794D"/>
    <w:rsid w:val="00320EF9"/>
    <w:rsid w:val="00321F1A"/>
    <w:rsid w:val="003226C7"/>
    <w:rsid w:val="0032459B"/>
    <w:rsid w:val="003246C9"/>
    <w:rsid w:val="003249EC"/>
    <w:rsid w:val="00324D69"/>
    <w:rsid w:val="003257FD"/>
    <w:rsid w:val="0032598F"/>
    <w:rsid w:val="0032606A"/>
    <w:rsid w:val="00326389"/>
    <w:rsid w:val="00330B22"/>
    <w:rsid w:val="00331602"/>
    <w:rsid w:val="00331885"/>
    <w:rsid w:val="00331985"/>
    <w:rsid w:val="003319DD"/>
    <w:rsid w:val="00332DC9"/>
    <w:rsid w:val="00333DB3"/>
    <w:rsid w:val="0033458B"/>
    <w:rsid w:val="0033524A"/>
    <w:rsid w:val="003356A1"/>
    <w:rsid w:val="00336BF4"/>
    <w:rsid w:val="00337357"/>
    <w:rsid w:val="00341DC5"/>
    <w:rsid w:val="003436D0"/>
    <w:rsid w:val="00343A19"/>
    <w:rsid w:val="00347FE2"/>
    <w:rsid w:val="00350630"/>
    <w:rsid w:val="00350C04"/>
    <w:rsid w:val="00350EB2"/>
    <w:rsid w:val="00351617"/>
    <w:rsid w:val="00351E77"/>
    <w:rsid w:val="003526AD"/>
    <w:rsid w:val="00354842"/>
    <w:rsid w:val="00354B0D"/>
    <w:rsid w:val="00355AEE"/>
    <w:rsid w:val="00355E8E"/>
    <w:rsid w:val="0035698D"/>
    <w:rsid w:val="00356A5D"/>
    <w:rsid w:val="00356C28"/>
    <w:rsid w:val="00357684"/>
    <w:rsid w:val="00357B78"/>
    <w:rsid w:val="00357C2A"/>
    <w:rsid w:val="00357DCF"/>
    <w:rsid w:val="00361584"/>
    <w:rsid w:val="00361A69"/>
    <w:rsid w:val="00362FD4"/>
    <w:rsid w:val="00363A0C"/>
    <w:rsid w:val="00363E3B"/>
    <w:rsid w:val="0036420A"/>
    <w:rsid w:val="00364537"/>
    <w:rsid w:val="003647B6"/>
    <w:rsid w:val="0036503E"/>
    <w:rsid w:val="003663E2"/>
    <w:rsid w:val="003668EF"/>
    <w:rsid w:val="003674E8"/>
    <w:rsid w:val="003715E6"/>
    <w:rsid w:val="0037449F"/>
    <w:rsid w:val="0037610D"/>
    <w:rsid w:val="00377275"/>
    <w:rsid w:val="003773B6"/>
    <w:rsid w:val="0037748F"/>
    <w:rsid w:val="0038179A"/>
    <w:rsid w:val="00383906"/>
    <w:rsid w:val="0038399C"/>
    <w:rsid w:val="003846A6"/>
    <w:rsid w:val="00384A66"/>
    <w:rsid w:val="00384C0D"/>
    <w:rsid w:val="00384EE5"/>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69F0"/>
    <w:rsid w:val="003A14E5"/>
    <w:rsid w:val="003A2E8C"/>
    <w:rsid w:val="003A3420"/>
    <w:rsid w:val="003A3D81"/>
    <w:rsid w:val="003A53FE"/>
    <w:rsid w:val="003A6101"/>
    <w:rsid w:val="003A70D4"/>
    <w:rsid w:val="003A7A08"/>
    <w:rsid w:val="003A7D61"/>
    <w:rsid w:val="003B063B"/>
    <w:rsid w:val="003B14B4"/>
    <w:rsid w:val="003B2D9C"/>
    <w:rsid w:val="003B431A"/>
    <w:rsid w:val="003B4495"/>
    <w:rsid w:val="003B4648"/>
    <w:rsid w:val="003B51D4"/>
    <w:rsid w:val="003B5ADE"/>
    <w:rsid w:val="003B5FFD"/>
    <w:rsid w:val="003B6749"/>
    <w:rsid w:val="003B7145"/>
    <w:rsid w:val="003B7921"/>
    <w:rsid w:val="003B79E7"/>
    <w:rsid w:val="003B7E65"/>
    <w:rsid w:val="003C066C"/>
    <w:rsid w:val="003C126B"/>
    <w:rsid w:val="003C15E8"/>
    <w:rsid w:val="003C1869"/>
    <w:rsid w:val="003C27F1"/>
    <w:rsid w:val="003C36DD"/>
    <w:rsid w:val="003C4974"/>
    <w:rsid w:val="003C49D4"/>
    <w:rsid w:val="003C5846"/>
    <w:rsid w:val="003C78C2"/>
    <w:rsid w:val="003C7E10"/>
    <w:rsid w:val="003C7F9D"/>
    <w:rsid w:val="003D00D4"/>
    <w:rsid w:val="003D02B7"/>
    <w:rsid w:val="003D059B"/>
    <w:rsid w:val="003D457A"/>
    <w:rsid w:val="003D7A67"/>
    <w:rsid w:val="003E0094"/>
    <w:rsid w:val="003E0158"/>
    <w:rsid w:val="003E1087"/>
    <w:rsid w:val="003E1582"/>
    <w:rsid w:val="003E2D04"/>
    <w:rsid w:val="003E3489"/>
    <w:rsid w:val="003E3902"/>
    <w:rsid w:val="003E3BF6"/>
    <w:rsid w:val="003E3D43"/>
    <w:rsid w:val="003E4036"/>
    <w:rsid w:val="003E49D2"/>
    <w:rsid w:val="003E5F24"/>
    <w:rsid w:val="003E61EF"/>
    <w:rsid w:val="003E7C58"/>
    <w:rsid w:val="003F0D49"/>
    <w:rsid w:val="003F1A9A"/>
    <w:rsid w:val="003F2343"/>
    <w:rsid w:val="003F301C"/>
    <w:rsid w:val="003F3031"/>
    <w:rsid w:val="003F34B2"/>
    <w:rsid w:val="003F3D4C"/>
    <w:rsid w:val="003F4EA6"/>
    <w:rsid w:val="00401266"/>
    <w:rsid w:val="00401A88"/>
    <w:rsid w:val="00402A9C"/>
    <w:rsid w:val="00402CE7"/>
    <w:rsid w:val="00402FB6"/>
    <w:rsid w:val="00403424"/>
    <w:rsid w:val="00404584"/>
    <w:rsid w:val="00404B93"/>
    <w:rsid w:val="0040664F"/>
    <w:rsid w:val="0040677B"/>
    <w:rsid w:val="004069B6"/>
    <w:rsid w:val="00407677"/>
    <w:rsid w:val="00407AFD"/>
    <w:rsid w:val="0041131A"/>
    <w:rsid w:val="00411387"/>
    <w:rsid w:val="00411649"/>
    <w:rsid w:val="00412105"/>
    <w:rsid w:val="004121A0"/>
    <w:rsid w:val="0041460A"/>
    <w:rsid w:val="00414F35"/>
    <w:rsid w:val="00416468"/>
    <w:rsid w:val="00417BD6"/>
    <w:rsid w:val="00421932"/>
    <w:rsid w:val="00421ABF"/>
    <w:rsid w:val="00422697"/>
    <w:rsid w:val="00423CDB"/>
    <w:rsid w:val="004240CD"/>
    <w:rsid w:val="00424367"/>
    <w:rsid w:val="0042459E"/>
    <w:rsid w:val="00424786"/>
    <w:rsid w:val="004249BE"/>
    <w:rsid w:val="00425C56"/>
    <w:rsid w:val="00426DFB"/>
    <w:rsid w:val="00431EAD"/>
    <w:rsid w:val="004327CD"/>
    <w:rsid w:val="00433826"/>
    <w:rsid w:val="0043525E"/>
    <w:rsid w:val="004352B1"/>
    <w:rsid w:val="004358C9"/>
    <w:rsid w:val="004358E7"/>
    <w:rsid w:val="00435BA6"/>
    <w:rsid w:val="00435D68"/>
    <w:rsid w:val="00436CED"/>
    <w:rsid w:val="00437D58"/>
    <w:rsid w:val="00441614"/>
    <w:rsid w:val="0044197C"/>
    <w:rsid w:val="004428D1"/>
    <w:rsid w:val="00443444"/>
    <w:rsid w:val="00444B37"/>
    <w:rsid w:val="00444D21"/>
    <w:rsid w:val="00445513"/>
    <w:rsid w:val="0044597E"/>
    <w:rsid w:val="0044608D"/>
    <w:rsid w:val="00446B41"/>
    <w:rsid w:val="00447015"/>
    <w:rsid w:val="00447A4D"/>
    <w:rsid w:val="00447DEA"/>
    <w:rsid w:val="00450395"/>
    <w:rsid w:val="0045102C"/>
    <w:rsid w:val="00451239"/>
    <w:rsid w:val="004523B6"/>
    <w:rsid w:val="0045433D"/>
    <w:rsid w:val="00455D63"/>
    <w:rsid w:val="00455F99"/>
    <w:rsid w:val="00456053"/>
    <w:rsid w:val="0045661F"/>
    <w:rsid w:val="00460630"/>
    <w:rsid w:val="00461029"/>
    <w:rsid w:val="00461396"/>
    <w:rsid w:val="0046257A"/>
    <w:rsid w:val="00462DA5"/>
    <w:rsid w:val="00465726"/>
    <w:rsid w:val="00465EF1"/>
    <w:rsid w:val="00467B47"/>
    <w:rsid w:val="0047257E"/>
    <w:rsid w:val="00472EB7"/>
    <w:rsid w:val="00473BA6"/>
    <w:rsid w:val="00473DF1"/>
    <w:rsid w:val="00474671"/>
    <w:rsid w:val="004763F9"/>
    <w:rsid w:val="00476D6A"/>
    <w:rsid w:val="004774E8"/>
    <w:rsid w:val="004804C0"/>
    <w:rsid w:val="00480FD6"/>
    <w:rsid w:val="004810A6"/>
    <w:rsid w:val="0048189C"/>
    <w:rsid w:val="00483798"/>
    <w:rsid w:val="00484210"/>
    <w:rsid w:val="00485478"/>
    <w:rsid w:val="00487AB5"/>
    <w:rsid w:val="00490D47"/>
    <w:rsid w:val="00492623"/>
    <w:rsid w:val="00492F3F"/>
    <w:rsid w:val="004937D4"/>
    <w:rsid w:val="004938B3"/>
    <w:rsid w:val="00493CAD"/>
    <w:rsid w:val="004945A6"/>
    <w:rsid w:val="00495EDD"/>
    <w:rsid w:val="004962D6"/>
    <w:rsid w:val="00496924"/>
    <w:rsid w:val="00496C05"/>
    <w:rsid w:val="00496DAD"/>
    <w:rsid w:val="004A0ECB"/>
    <w:rsid w:val="004A1AF2"/>
    <w:rsid w:val="004A457F"/>
    <w:rsid w:val="004A4D88"/>
    <w:rsid w:val="004A56DF"/>
    <w:rsid w:val="004A641C"/>
    <w:rsid w:val="004A74B7"/>
    <w:rsid w:val="004A7C3F"/>
    <w:rsid w:val="004B1218"/>
    <w:rsid w:val="004B13E3"/>
    <w:rsid w:val="004B2521"/>
    <w:rsid w:val="004B3847"/>
    <w:rsid w:val="004B5212"/>
    <w:rsid w:val="004B53D5"/>
    <w:rsid w:val="004B5417"/>
    <w:rsid w:val="004C13FC"/>
    <w:rsid w:val="004C175F"/>
    <w:rsid w:val="004C3681"/>
    <w:rsid w:val="004C3B49"/>
    <w:rsid w:val="004C55C6"/>
    <w:rsid w:val="004C576F"/>
    <w:rsid w:val="004C6F98"/>
    <w:rsid w:val="004C6FC9"/>
    <w:rsid w:val="004C7296"/>
    <w:rsid w:val="004C779E"/>
    <w:rsid w:val="004C7F5C"/>
    <w:rsid w:val="004D1FBC"/>
    <w:rsid w:val="004D3124"/>
    <w:rsid w:val="004D3451"/>
    <w:rsid w:val="004D34C7"/>
    <w:rsid w:val="004D3741"/>
    <w:rsid w:val="004D3805"/>
    <w:rsid w:val="004D4091"/>
    <w:rsid w:val="004D4685"/>
    <w:rsid w:val="004D485B"/>
    <w:rsid w:val="004E0B69"/>
    <w:rsid w:val="004E2C91"/>
    <w:rsid w:val="004E2E45"/>
    <w:rsid w:val="004E446A"/>
    <w:rsid w:val="004E4E16"/>
    <w:rsid w:val="004E5252"/>
    <w:rsid w:val="004F20EE"/>
    <w:rsid w:val="004F28BD"/>
    <w:rsid w:val="004F3335"/>
    <w:rsid w:val="004F3B0B"/>
    <w:rsid w:val="004F3D4E"/>
    <w:rsid w:val="004F44B4"/>
    <w:rsid w:val="004F4775"/>
    <w:rsid w:val="004F4E15"/>
    <w:rsid w:val="004F5726"/>
    <w:rsid w:val="004F5A40"/>
    <w:rsid w:val="004F5FEC"/>
    <w:rsid w:val="004F607D"/>
    <w:rsid w:val="004F681C"/>
    <w:rsid w:val="004F6B6E"/>
    <w:rsid w:val="004F6C46"/>
    <w:rsid w:val="004F6DB6"/>
    <w:rsid w:val="004F7B3E"/>
    <w:rsid w:val="0050079B"/>
    <w:rsid w:val="00500DE0"/>
    <w:rsid w:val="005019E2"/>
    <w:rsid w:val="00501A1A"/>
    <w:rsid w:val="00501CA8"/>
    <w:rsid w:val="005021DE"/>
    <w:rsid w:val="00502333"/>
    <w:rsid w:val="00503696"/>
    <w:rsid w:val="0050428E"/>
    <w:rsid w:val="00504323"/>
    <w:rsid w:val="005051AE"/>
    <w:rsid w:val="00505406"/>
    <w:rsid w:val="005060CE"/>
    <w:rsid w:val="005072FD"/>
    <w:rsid w:val="00507D5E"/>
    <w:rsid w:val="00510538"/>
    <w:rsid w:val="005107E0"/>
    <w:rsid w:val="00510914"/>
    <w:rsid w:val="005116AE"/>
    <w:rsid w:val="00511F17"/>
    <w:rsid w:val="005134AF"/>
    <w:rsid w:val="005134D7"/>
    <w:rsid w:val="00514742"/>
    <w:rsid w:val="00515A6F"/>
    <w:rsid w:val="005171CB"/>
    <w:rsid w:val="00520858"/>
    <w:rsid w:val="00520AA0"/>
    <w:rsid w:val="00522CD1"/>
    <w:rsid w:val="00524BED"/>
    <w:rsid w:val="005252D4"/>
    <w:rsid w:val="00527F4E"/>
    <w:rsid w:val="00527F92"/>
    <w:rsid w:val="0053016D"/>
    <w:rsid w:val="00530629"/>
    <w:rsid w:val="00532591"/>
    <w:rsid w:val="0053296A"/>
    <w:rsid w:val="00533945"/>
    <w:rsid w:val="00533A1E"/>
    <w:rsid w:val="00533E96"/>
    <w:rsid w:val="00533F05"/>
    <w:rsid w:val="00535DDD"/>
    <w:rsid w:val="00536215"/>
    <w:rsid w:val="00537A00"/>
    <w:rsid w:val="00537A88"/>
    <w:rsid w:val="0054198D"/>
    <w:rsid w:val="005423FE"/>
    <w:rsid w:val="00542F2C"/>
    <w:rsid w:val="00543594"/>
    <w:rsid w:val="00543747"/>
    <w:rsid w:val="00544695"/>
    <w:rsid w:val="00544AF9"/>
    <w:rsid w:val="00545635"/>
    <w:rsid w:val="00545780"/>
    <w:rsid w:val="00545E23"/>
    <w:rsid w:val="00546413"/>
    <w:rsid w:val="00546C30"/>
    <w:rsid w:val="00547922"/>
    <w:rsid w:val="00550866"/>
    <w:rsid w:val="00550A61"/>
    <w:rsid w:val="00551063"/>
    <w:rsid w:val="005524BB"/>
    <w:rsid w:val="005533B6"/>
    <w:rsid w:val="00553CCA"/>
    <w:rsid w:val="00553DC5"/>
    <w:rsid w:val="00554760"/>
    <w:rsid w:val="0055583D"/>
    <w:rsid w:val="00557611"/>
    <w:rsid w:val="00557DDC"/>
    <w:rsid w:val="00560C20"/>
    <w:rsid w:val="005621B2"/>
    <w:rsid w:val="005625C9"/>
    <w:rsid w:val="00562A88"/>
    <w:rsid w:val="00562B19"/>
    <w:rsid w:val="00563063"/>
    <w:rsid w:val="00563B0B"/>
    <w:rsid w:val="00563CF7"/>
    <w:rsid w:val="0056442E"/>
    <w:rsid w:val="00565EA8"/>
    <w:rsid w:val="0056637A"/>
    <w:rsid w:val="00567496"/>
    <w:rsid w:val="00570F41"/>
    <w:rsid w:val="005714EC"/>
    <w:rsid w:val="00571F5C"/>
    <w:rsid w:val="00571FD3"/>
    <w:rsid w:val="005727EE"/>
    <w:rsid w:val="005728C6"/>
    <w:rsid w:val="00572ADC"/>
    <w:rsid w:val="00573CE4"/>
    <w:rsid w:val="00574A3A"/>
    <w:rsid w:val="00575D5D"/>
    <w:rsid w:val="005765AF"/>
    <w:rsid w:val="00584276"/>
    <w:rsid w:val="005852B1"/>
    <w:rsid w:val="0058540F"/>
    <w:rsid w:val="005861AC"/>
    <w:rsid w:val="005870B1"/>
    <w:rsid w:val="00587E5F"/>
    <w:rsid w:val="005935DB"/>
    <w:rsid w:val="0059436D"/>
    <w:rsid w:val="00594B8F"/>
    <w:rsid w:val="00594E2B"/>
    <w:rsid w:val="00596F1D"/>
    <w:rsid w:val="005A07EC"/>
    <w:rsid w:val="005A0F0F"/>
    <w:rsid w:val="005A28E2"/>
    <w:rsid w:val="005A4911"/>
    <w:rsid w:val="005A4DD3"/>
    <w:rsid w:val="005A54DF"/>
    <w:rsid w:val="005A58B2"/>
    <w:rsid w:val="005A6971"/>
    <w:rsid w:val="005A718B"/>
    <w:rsid w:val="005A77DF"/>
    <w:rsid w:val="005A77F1"/>
    <w:rsid w:val="005B056C"/>
    <w:rsid w:val="005B132E"/>
    <w:rsid w:val="005B1924"/>
    <w:rsid w:val="005B34CA"/>
    <w:rsid w:val="005B3CA6"/>
    <w:rsid w:val="005B44AB"/>
    <w:rsid w:val="005B514E"/>
    <w:rsid w:val="005B5608"/>
    <w:rsid w:val="005B5A5A"/>
    <w:rsid w:val="005B66EB"/>
    <w:rsid w:val="005B737D"/>
    <w:rsid w:val="005B7A7B"/>
    <w:rsid w:val="005B7D2C"/>
    <w:rsid w:val="005C15C4"/>
    <w:rsid w:val="005C17B1"/>
    <w:rsid w:val="005C274E"/>
    <w:rsid w:val="005C43DB"/>
    <w:rsid w:val="005C446F"/>
    <w:rsid w:val="005C58C1"/>
    <w:rsid w:val="005C7162"/>
    <w:rsid w:val="005C720E"/>
    <w:rsid w:val="005C726E"/>
    <w:rsid w:val="005D287F"/>
    <w:rsid w:val="005D35CD"/>
    <w:rsid w:val="005D3A6A"/>
    <w:rsid w:val="005D3D00"/>
    <w:rsid w:val="005D3D10"/>
    <w:rsid w:val="005D4B34"/>
    <w:rsid w:val="005D61AF"/>
    <w:rsid w:val="005D642F"/>
    <w:rsid w:val="005D78E1"/>
    <w:rsid w:val="005E0286"/>
    <w:rsid w:val="005E037C"/>
    <w:rsid w:val="005E1B9D"/>
    <w:rsid w:val="005E2B61"/>
    <w:rsid w:val="005E3461"/>
    <w:rsid w:val="005E3725"/>
    <w:rsid w:val="005E49CD"/>
    <w:rsid w:val="005E51E1"/>
    <w:rsid w:val="005E5BE0"/>
    <w:rsid w:val="005E5DEA"/>
    <w:rsid w:val="005E60DC"/>
    <w:rsid w:val="005E647B"/>
    <w:rsid w:val="005E74B1"/>
    <w:rsid w:val="005E7B20"/>
    <w:rsid w:val="005F124E"/>
    <w:rsid w:val="005F222D"/>
    <w:rsid w:val="005F22EB"/>
    <w:rsid w:val="005F391D"/>
    <w:rsid w:val="005F3CED"/>
    <w:rsid w:val="005F40C4"/>
    <w:rsid w:val="005F4E99"/>
    <w:rsid w:val="005F6075"/>
    <w:rsid w:val="005F637A"/>
    <w:rsid w:val="005F742A"/>
    <w:rsid w:val="00600D1E"/>
    <w:rsid w:val="006028DA"/>
    <w:rsid w:val="0060406B"/>
    <w:rsid w:val="00604213"/>
    <w:rsid w:val="00604732"/>
    <w:rsid w:val="00604BC9"/>
    <w:rsid w:val="0060681D"/>
    <w:rsid w:val="00610346"/>
    <w:rsid w:val="0061074A"/>
    <w:rsid w:val="00610F18"/>
    <w:rsid w:val="0061168C"/>
    <w:rsid w:val="0061212E"/>
    <w:rsid w:val="00612174"/>
    <w:rsid w:val="006127D3"/>
    <w:rsid w:val="00612ABE"/>
    <w:rsid w:val="00613AD4"/>
    <w:rsid w:val="00614345"/>
    <w:rsid w:val="006143BD"/>
    <w:rsid w:val="00614729"/>
    <w:rsid w:val="006148EB"/>
    <w:rsid w:val="00614C39"/>
    <w:rsid w:val="00614EE9"/>
    <w:rsid w:val="00616C9B"/>
    <w:rsid w:val="00622ED8"/>
    <w:rsid w:val="006248B5"/>
    <w:rsid w:val="00624CA0"/>
    <w:rsid w:val="00627124"/>
    <w:rsid w:val="00627147"/>
    <w:rsid w:val="00630A8F"/>
    <w:rsid w:val="0063189C"/>
    <w:rsid w:val="00631AE8"/>
    <w:rsid w:val="006339B2"/>
    <w:rsid w:val="0063544D"/>
    <w:rsid w:val="00635640"/>
    <w:rsid w:val="00635BC9"/>
    <w:rsid w:val="00636A27"/>
    <w:rsid w:val="00636C12"/>
    <w:rsid w:val="0064072D"/>
    <w:rsid w:val="0064189B"/>
    <w:rsid w:val="00641916"/>
    <w:rsid w:val="006432AA"/>
    <w:rsid w:val="00644953"/>
    <w:rsid w:val="0064546E"/>
    <w:rsid w:val="00645A99"/>
    <w:rsid w:val="00646500"/>
    <w:rsid w:val="006468A5"/>
    <w:rsid w:val="00651067"/>
    <w:rsid w:val="006511AF"/>
    <w:rsid w:val="006516F5"/>
    <w:rsid w:val="00651CA7"/>
    <w:rsid w:val="00652EFE"/>
    <w:rsid w:val="00652FE5"/>
    <w:rsid w:val="0065307C"/>
    <w:rsid w:val="00653F5F"/>
    <w:rsid w:val="0065488D"/>
    <w:rsid w:val="00654E32"/>
    <w:rsid w:val="00655175"/>
    <w:rsid w:val="006564A5"/>
    <w:rsid w:val="006567C2"/>
    <w:rsid w:val="00656CB3"/>
    <w:rsid w:val="00660337"/>
    <w:rsid w:val="00661251"/>
    <w:rsid w:val="00661A51"/>
    <w:rsid w:val="00662653"/>
    <w:rsid w:val="00664117"/>
    <w:rsid w:val="006644D0"/>
    <w:rsid w:val="00665289"/>
    <w:rsid w:val="006657F6"/>
    <w:rsid w:val="0066630E"/>
    <w:rsid w:val="0066644E"/>
    <w:rsid w:val="006665EC"/>
    <w:rsid w:val="00666697"/>
    <w:rsid w:val="00666DBC"/>
    <w:rsid w:val="00667AAF"/>
    <w:rsid w:val="00670A27"/>
    <w:rsid w:val="00671438"/>
    <w:rsid w:val="006719E1"/>
    <w:rsid w:val="00671AA4"/>
    <w:rsid w:val="00673439"/>
    <w:rsid w:val="00674FC9"/>
    <w:rsid w:val="0067535F"/>
    <w:rsid w:val="00675A9C"/>
    <w:rsid w:val="00677382"/>
    <w:rsid w:val="00680689"/>
    <w:rsid w:val="0068114D"/>
    <w:rsid w:val="00681BCD"/>
    <w:rsid w:val="00681F82"/>
    <w:rsid w:val="00684638"/>
    <w:rsid w:val="00685B16"/>
    <w:rsid w:val="006872FF"/>
    <w:rsid w:val="006909A3"/>
    <w:rsid w:val="0069120E"/>
    <w:rsid w:val="00693378"/>
    <w:rsid w:val="0069557A"/>
    <w:rsid w:val="00695E3F"/>
    <w:rsid w:val="00695E4C"/>
    <w:rsid w:val="00696CFE"/>
    <w:rsid w:val="00697928"/>
    <w:rsid w:val="006A1585"/>
    <w:rsid w:val="006A3EAE"/>
    <w:rsid w:val="006A3F88"/>
    <w:rsid w:val="006A520A"/>
    <w:rsid w:val="006B0138"/>
    <w:rsid w:val="006B0B4D"/>
    <w:rsid w:val="006B266C"/>
    <w:rsid w:val="006B2831"/>
    <w:rsid w:val="006B3133"/>
    <w:rsid w:val="006B50CA"/>
    <w:rsid w:val="006B6347"/>
    <w:rsid w:val="006B6C8C"/>
    <w:rsid w:val="006B6DDD"/>
    <w:rsid w:val="006B6E8F"/>
    <w:rsid w:val="006B726D"/>
    <w:rsid w:val="006B786A"/>
    <w:rsid w:val="006B7936"/>
    <w:rsid w:val="006C06E9"/>
    <w:rsid w:val="006C07A2"/>
    <w:rsid w:val="006C10C7"/>
    <w:rsid w:val="006C3593"/>
    <w:rsid w:val="006C44D0"/>
    <w:rsid w:val="006C5595"/>
    <w:rsid w:val="006C5B18"/>
    <w:rsid w:val="006C64DD"/>
    <w:rsid w:val="006C6614"/>
    <w:rsid w:val="006C6740"/>
    <w:rsid w:val="006C6D21"/>
    <w:rsid w:val="006D1C93"/>
    <w:rsid w:val="006D1E8C"/>
    <w:rsid w:val="006D2351"/>
    <w:rsid w:val="006D2BCE"/>
    <w:rsid w:val="006D3BB1"/>
    <w:rsid w:val="006D4A50"/>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78EA"/>
    <w:rsid w:val="006E7CCE"/>
    <w:rsid w:val="006E7E70"/>
    <w:rsid w:val="006F08DB"/>
    <w:rsid w:val="006F0E1E"/>
    <w:rsid w:val="006F11D0"/>
    <w:rsid w:val="006F28E4"/>
    <w:rsid w:val="006F3418"/>
    <w:rsid w:val="006F36D9"/>
    <w:rsid w:val="006F3EFC"/>
    <w:rsid w:val="006F47CB"/>
    <w:rsid w:val="006F51DB"/>
    <w:rsid w:val="006F613A"/>
    <w:rsid w:val="006F676B"/>
    <w:rsid w:val="006F690B"/>
    <w:rsid w:val="006F71A0"/>
    <w:rsid w:val="006F77C2"/>
    <w:rsid w:val="006F7FD9"/>
    <w:rsid w:val="0070019E"/>
    <w:rsid w:val="0070073A"/>
    <w:rsid w:val="00702484"/>
    <w:rsid w:val="0070346B"/>
    <w:rsid w:val="00703FFD"/>
    <w:rsid w:val="00704A18"/>
    <w:rsid w:val="00704DC8"/>
    <w:rsid w:val="00705B2A"/>
    <w:rsid w:val="00705C9F"/>
    <w:rsid w:val="00706D1C"/>
    <w:rsid w:val="00707FA3"/>
    <w:rsid w:val="00707FDB"/>
    <w:rsid w:val="00710028"/>
    <w:rsid w:val="0071030E"/>
    <w:rsid w:val="00710F31"/>
    <w:rsid w:val="007116DF"/>
    <w:rsid w:val="00711AD7"/>
    <w:rsid w:val="007121F7"/>
    <w:rsid w:val="0071285C"/>
    <w:rsid w:val="0071373D"/>
    <w:rsid w:val="007162D0"/>
    <w:rsid w:val="0071743D"/>
    <w:rsid w:val="00717625"/>
    <w:rsid w:val="00720F4C"/>
    <w:rsid w:val="00720F81"/>
    <w:rsid w:val="007227DF"/>
    <w:rsid w:val="0072298B"/>
    <w:rsid w:val="00723777"/>
    <w:rsid w:val="007260A7"/>
    <w:rsid w:val="00726574"/>
    <w:rsid w:val="007279BD"/>
    <w:rsid w:val="0073059E"/>
    <w:rsid w:val="00735605"/>
    <w:rsid w:val="00735D17"/>
    <w:rsid w:val="0073611D"/>
    <w:rsid w:val="00736382"/>
    <w:rsid w:val="00736851"/>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5C71"/>
    <w:rsid w:val="00745E48"/>
    <w:rsid w:val="00745F11"/>
    <w:rsid w:val="00746935"/>
    <w:rsid w:val="00746BBF"/>
    <w:rsid w:val="00746D0E"/>
    <w:rsid w:val="00747ACB"/>
    <w:rsid w:val="00750528"/>
    <w:rsid w:val="007505DB"/>
    <w:rsid w:val="00751068"/>
    <w:rsid w:val="007512C5"/>
    <w:rsid w:val="0075193D"/>
    <w:rsid w:val="0075448F"/>
    <w:rsid w:val="00755869"/>
    <w:rsid w:val="00755F14"/>
    <w:rsid w:val="007573A6"/>
    <w:rsid w:val="00757CBE"/>
    <w:rsid w:val="007603D4"/>
    <w:rsid w:val="00760409"/>
    <w:rsid w:val="00761D16"/>
    <w:rsid w:val="00761EE7"/>
    <w:rsid w:val="00762B9F"/>
    <w:rsid w:val="00762EB7"/>
    <w:rsid w:val="00764FDB"/>
    <w:rsid w:val="00766A97"/>
    <w:rsid w:val="00766B6C"/>
    <w:rsid w:val="00766CC5"/>
    <w:rsid w:val="00766E89"/>
    <w:rsid w:val="007672BC"/>
    <w:rsid w:val="00767358"/>
    <w:rsid w:val="007675D1"/>
    <w:rsid w:val="007703FB"/>
    <w:rsid w:val="00770826"/>
    <w:rsid w:val="00771A4C"/>
    <w:rsid w:val="00771C2A"/>
    <w:rsid w:val="00773222"/>
    <w:rsid w:val="00773287"/>
    <w:rsid w:val="00774338"/>
    <w:rsid w:val="007749F8"/>
    <w:rsid w:val="007749FA"/>
    <w:rsid w:val="007750EC"/>
    <w:rsid w:val="00775A0A"/>
    <w:rsid w:val="00776ADC"/>
    <w:rsid w:val="00782082"/>
    <w:rsid w:val="007820A2"/>
    <w:rsid w:val="007822F9"/>
    <w:rsid w:val="007828A8"/>
    <w:rsid w:val="00790638"/>
    <w:rsid w:val="007923ED"/>
    <w:rsid w:val="00793110"/>
    <w:rsid w:val="00794433"/>
    <w:rsid w:val="00795707"/>
    <w:rsid w:val="0079657C"/>
    <w:rsid w:val="0079657E"/>
    <w:rsid w:val="00797E29"/>
    <w:rsid w:val="007A083C"/>
    <w:rsid w:val="007A26A5"/>
    <w:rsid w:val="007A315F"/>
    <w:rsid w:val="007A488F"/>
    <w:rsid w:val="007A600F"/>
    <w:rsid w:val="007A6202"/>
    <w:rsid w:val="007A6318"/>
    <w:rsid w:val="007A6DBD"/>
    <w:rsid w:val="007A7178"/>
    <w:rsid w:val="007B28EB"/>
    <w:rsid w:val="007B2B9C"/>
    <w:rsid w:val="007B3BCE"/>
    <w:rsid w:val="007B3D0A"/>
    <w:rsid w:val="007B432A"/>
    <w:rsid w:val="007B4582"/>
    <w:rsid w:val="007B491F"/>
    <w:rsid w:val="007B5FFB"/>
    <w:rsid w:val="007B6A3C"/>
    <w:rsid w:val="007B73CC"/>
    <w:rsid w:val="007B7412"/>
    <w:rsid w:val="007B7777"/>
    <w:rsid w:val="007C02E3"/>
    <w:rsid w:val="007C18F9"/>
    <w:rsid w:val="007C1DB8"/>
    <w:rsid w:val="007C2569"/>
    <w:rsid w:val="007C2651"/>
    <w:rsid w:val="007C455B"/>
    <w:rsid w:val="007C58E0"/>
    <w:rsid w:val="007C5E78"/>
    <w:rsid w:val="007D02D5"/>
    <w:rsid w:val="007D0595"/>
    <w:rsid w:val="007D0DDB"/>
    <w:rsid w:val="007D0E92"/>
    <w:rsid w:val="007D11E0"/>
    <w:rsid w:val="007D2869"/>
    <w:rsid w:val="007D2A3A"/>
    <w:rsid w:val="007D3A38"/>
    <w:rsid w:val="007D3E1E"/>
    <w:rsid w:val="007D424A"/>
    <w:rsid w:val="007D4C8B"/>
    <w:rsid w:val="007D6624"/>
    <w:rsid w:val="007D7503"/>
    <w:rsid w:val="007D7CD2"/>
    <w:rsid w:val="007E12F7"/>
    <w:rsid w:val="007E2C8E"/>
    <w:rsid w:val="007E2D9A"/>
    <w:rsid w:val="007E334D"/>
    <w:rsid w:val="007E44DC"/>
    <w:rsid w:val="007E494E"/>
    <w:rsid w:val="007E4B27"/>
    <w:rsid w:val="007E50D8"/>
    <w:rsid w:val="007E58E1"/>
    <w:rsid w:val="007E6698"/>
    <w:rsid w:val="007E6A77"/>
    <w:rsid w:val="007E7997"/>
    <w:rsid w:val="007E7AA6"/>
    <w:rsid w:val="007F0150"/>
    <w:rsid w:val="007F03E8"/>
    <w:rsid w:val="007F2AFF"/>
    <w:rsid w:val="007F3A0E"/>
    <w:rsid w:val="007F3CBE"/>
    <w:rsid w:val="007F4F81"/>
    <w:rsid w:val="007F5118"/>
    <w:rsid w:val="007F5DDD"/>
    <w:rsid w:val="007F5EFD"/>
    <w:rsid w:val="007F6AB0"/>
    <w:rsid w:val="007F6FEF"/>
    <w:rsid w:val="007F7315"/>
    <w:rsid w:val="007F7B2F"/>
    <w:rsid w:val="0080083D"/>
    <w:rsid w:val="00800C4D"/>
    <w:rsid w:val="008010F4"/>
    <w:rsid w:val="0080136F"/>
    <w:rsid w:val="00802791"/>
    <w:rsid w:val="00802F32"/>
    <w:rsid w:val="00804F10"/>
    <w:rsid w:val="008056E0"/>
    <w:rsid w:val="00806E9F"/>
    <w:rsid w:val="008078CF"/>
    <w:rsid w:val="008101E2"/>
    <w:rsid w:val="008111CD"/>
    <w:rsid w:val="00812945"/>
    <w:rsid w:val="00813B71"/>
    <w:rsid w:val="00813C34"/>
    <w:rsid w:val="0081568C"/>
    <w:rsid w:val="00815EB1"/>
    <w:rsid w:val="0081664A"/>
    <w:rsid w:val="00823444"/>
    <w:rsid w:val="0082373F"/>
    <w:rsid w:val="00825B5B"/>
    <w:rsid w:val="008302A1"/>
    <w:rsid w:val="00831E5E"/>
    <w:rsid w:val="00831E91"/>
    <w:rsid w:val="00831FFE"/>
    <w:rsid w:val="00833118"/>
    <w:rsid w:val="00833166"/>
    <w:rsid w:val="00834115"/>
    <w:rsid w:val="0083549C"/>
    <w:rsid w:val="00835E01"/>
    <w:rsid w:val="00835F8A"/>
    <w:rsid w:val="00836E76"/>
    <w:rsid w:val="008405F5"/>
    <w:rsid w:val="00840B25"/>
    <w:rsid w:val="00843218"/>
    <w:rsid w:val="00843C35"/>
    <w:rsid w:val="00844D02"/>
    <w:rsid w:val="0084516C"/>
    <w:rsid w:val="00845A05"/>
    <w:rsid w:val="0085081C"/>
    <w:rsid w:val="0085147A"/>
    <w:rsid w:val="008526D7"/>
    <w:rsid w:val="00853D55"/>
    <w:rsid w:val="00853EE1"/>
    <w:rsid w:val="0085571C"/>
    <w:rsid w:val="008559F9"/>
    <w:rsid w:val="00856761"/>
    <w:rsid w:val="00860D78"/>
    <w:rsid w:val="008632A5"/>
    <w:rsid w:val="008634AD"/>
    <w:rsid w:val="00865019"/>
    <w:rsid w:val="00865BB5"/>
    <w:rsid w:val="00865F1A"/>
    <w:rsid w:val="00866BF0"/>
    <w:rsid w:val="0086706E"/>
    <w:rsid w:val="0086732B"/>
    <w:rsid w:val="00870441"/>
    <w:rsid w:val="00870CC2"/>
    <w:rsid w:val="00873CF9"/>
    <w:rsid w:val="00875762"/>
    <w:rsid w:val="00875861"/>
    <w:rsid w:val="00876368"/>
    <w:rsid w:val="00877140"/>
    <w:rsid w:val="00882826"/>
    <w:rsid w:val="00882B47"/>
    <w:rsid w:val="00883114"/>
    <w:rsid w:val="008837F0"/>
    <w:rsid w:val="0088405F"/>
    <w:rsid w:val="00885CD7"/>
    <w:rsid w:val="00886795"/>
    <w:rsid w:val="0089055D"/>
    <w:rsid w:val="008905AA"/>
    <w:rsid w:val="0089122E"/>
    <w:rsid w:val="0089243A"/>
    <w:rsid w:val="008958D5"/>
    <w:rsid w:val="008A0F24"/>
    <w:rsid w:val="008A1C73"/>
    <w:rsid w:val="008A2889"/>
    <w:rsid w:val="008A330E"/>
    <w:rsid w:val="008A3828"/>
    <w:rsid w:val="008A5367"/>
    <w:rsid w:val="008A54E1"/>
    <w:rsid w:val="008A5ADF"/>
    <w:rsid w:val="008A5CE2"/>
    <w:rsid w:val="008A676B"/>
    <w:rsid w:val="008A6BC7"/>
    <w:rsid w:val="008A6CBF"/>
    <w:rsid w:val="008A7139"/>
    <w:rsid w:val="008A74A1"/>
    <w:rsid w:val="008A7DD6"/>
    <w:rsid w:val="008A7F1A"/>
    <w:rsid w:val="008B037E"/>
    <w:rsid w:val="008B0F93"/>
    <w:rsid w:val="008B1D36"/>
    <w:rsid w:val="008B2231"/>
    <w:rsid w:val="008B2685"/>
    <w:rsid w:val="008B4724"/>
    <w:rsid w:val="008B4B55"/>
    <w:rsid w:val="008B4CFB"/>
    <w:rsid w:val="008B54C0"/>
    <w:rsid w:val="008B6211"/>
    <w:rsid w:val="008B65BE"/>
    <w:rsid w:val="008B7097"/>
    <w:rsid w:val="008B7134"/>
    <w:rsid w:val="008B737D"/>
    <w:rsid w:val="008B743B"/>
    <w:rsid w:val="008B7765"/>
    <w:rsid w:val="008B7853"/>
    <w:rsid w:val="008B79D6"/>
    <w:rsid w:val="008C1D29"/>
    <w:rsid w:val="008C282E"/>
    <w:rsid w:val="008C36FD"/>
    <w:rsid w:val="008C3E35"/>
    <w:rsid w:val="008C4A74"/>
    <w:rsid w:val="008C5484"/>
    <w:rsid w:val="008C72F2"/>
    <w:rsid w:val="008D2365"/>
    <w:rsid w:val="008D2D08"/>
    <w:rsid w:val="008D38F3"/>
    <w:rsid w:val="008D457B"/>
    <w:rsid w:val="008D4957"/>
    <w:rsid w:val="008D4DDC"/>
    <w:rsid w:val="008D523F"/>
    <w:rsid w:val="008D5978"/>
    <w:rsid w:val="008D6299"/>
    <w:rsid w:val="008D635C"/>
    <w:rsid w:val="008D7E4D"/>
    <w:rsid w:val="008E036D"/>
    <w:rsid w:val="008E258A"/>
    <w:rsid w:val="008E2967"/>
    <w:rsid w:val="008E34A4"/>
    <w:rsid w:val="008E3A2B"/>
    <w:rsid w:val="008E3D4A"/>
    <w:rsid w:val="008E42F2"/>
    <w:rsid w:val="008E4492"/>
    <w:rsid w:val="008E46AC"/>
    <w:rsid w:val="008E5952"/>
    <w:rsid w:val="008E5B58"/>
    <w:rsid w:val="008E5B5D"/>
    <w:rsid w:val="008F1FC1"/>
    <w:rsid w:val="008F2E4D"/>
    <w:rsid w:val="008F3FA6"/>
    <w:rsid w:val="008F4674"/>
    <w:rsid w:val="008F5EBA"/>
    <w:rsid w:val="008F65D5"/>
    <w:rsid w:val="008F6E06"/>
    <w:rsid w:val="008F774F"/>
    <w:rsid w:val="008F7A43"/>
    <w:rsid w:val="008F7D17"/>
    <w:rsid w:val="00901A48"/>
    <w:rsid w:val="0090209F"/>
    <w:rsid w:val="00903A51"/>
    <w:rsid w:val="00903CEF"/>
    <w:rsid w:val="00903FDC"/>
    <w:rsid w:val="0090609E"/>
    <w:rsid w:val="009063D5"/>
    <w:rsid w:val="009067A2"/>
    <w:rsid w:val="00906897"/>
    <w:rsid w:val="0091225F"/>
    <w:rsid w:val="009122BF"/>
    <w:rsid w:val="009130AC"/>
    <w:rsid w:val="0091424D"/>
    <w:rsid w:val="00914A95"/>
    <w:rsid w:val="009154B8"/>
    <w:rsid w:val="00915A0E"/>
    <w:rsid w:val="009161C8"/>
    <w:rsid w:val="0091789A"/>
    <w:rsid w:val="00917EA2"/>
    <w:rsid w:val="00920281"/>
    <w:rsid w:val="0092196C"/>
    <w:rsid w:val="00921E76"/>
    <w:rsid w:val="0092295B"/>
    <w:rsid w:val="00922C82"/>
    <w:rsid w:val="0092368A"/>
    <w:rsid w:val="00923A3D"/>
    <w:rsid w:val="00924C8A"/>
    <w:rsid w:val="009250E1"/>
    <w:rsid w:val="00925137"/>
    <w:rsid w:val="00925959"/>
    <w:rsid w:val="00926224"/>
    <w:rsid w:val="0092653C"/>
    <w:rsid w:val="00927A56"/>
    <w:rsid w:val="00927DB0"/>
    <w:rsid w:val="009304E4"/>
    <w:rsid w:val="00930F1B"/>
    <w:rsid w:val="009317CC"/>
    <w:rsid w:val="0093194D"/>
    <w:rsid w:val="00931994"/>
    <w:rsid w:val="009324D7"/>
    <w:rsid w:val="00934429"/>
    <w:rsid w:val="00934C68"/>
    <w:rsid w:val="00935991"/>
    <w:rsid w:val="0093650E"/>
    <w:rsid w:val="00936526"/>
    <w:rsid w:val="0093736F"/>
    <w:rsid w:val="00937717"/>
    <w:rsid w:val="009407B7"/>
    <w:rsid w:val="00941485"/>
    <w:rsid w:val="00941E9C"/>
    <w:rsid w:val="00943EB9"/>
    <w:rsid w:val="009449EC"/>
    <w:rsid w:val="00945A02"/>
    <w:rsid w:val="00945D89"/>
    <w:rsid w:val="0094617A"/>
    <w:rsid w:val="00950529"/>
    <w:rsid w:val="00950744"/>
    <w:rsid w:val="009509D3"/>
    <w:rsid w:val="00950C96"/>
    <w:rsid w:val="00950F8D"/>
    <w:rsid w:val="009521F7"/>
    <w:rsid w:val="00952CB5"/>
    <w:rsid w:val="00953658"/>
    <w:rsid w:val="00953756"/>
    <w:rsid w:val="00953FD1"/>
    <w:rsid w:val="00954912"/>
    <w:rsid w:val="00955C20"/>
    <w:rsid w:val="0095649F"/>
    <w:rsid w:val="00960265"/>
    <w:rsid w:val="009608C3"/>
    <w:rsid w:val="0096189A"/>
    <w:rsid w:val="009625FF"/>
    <w:rsid w:val="00963E7B"/>
    <w:rsid w:val="0096463E"/>
    <w:rsid w:val="009648DD"/>
    <w:rsid w:val="00964AD0"/>
    <w:rsid w:val="009677FB"/>
    <w:rsid w:val="00970814"/>
    <w:rsid w:val="0097416E"/>
    <w:rsid w:val="00974450"/>
    <w:rsid w:val="009747D6"/>
    <w:rsid w:val="009752AB"/>
    <w:rsid w:val="009752C8"/>
    <w:rsid w:val="00975B6F"/>
    <w:rsid w:val="00975FE6"/>
    <w:rsid w:val="0097669B"/>
    <w:rsid w:val="0097735E"/>
    <w:rsid w:val="009801CC"/>
    <w:rsid w:val="00980DDF"/>
    <w:rsid w:val="0098194F"/>
    <w:rsid w:val="00981BF1"/>
    <w:rsid w:val="00982410"/>
    <w:rsid w:val="00982685"/>
    <w:rsid w:val="009834A1"/>
    <w:rsid w:val="009838E0"/>
    <w:rsid w:val="00983931"/>
    <w:rsid w:val="00983B94"/>
    <w:rsid w:val="00984D93"/>
    <w:rsid w:val="009850D1"/>
    <w:rsid w:val="009854C1"/>
    <w:rsid w:val="00986129"/>
    <w:rsid w:val="00986A65"/>
    <w:rsid w:val="009901C4"/>
    <w:rsid w:val="00990362"/>
    <w:rsid w:val="00990590"/>
    <w:rsid w:val="00990791"/>
    <w:rsid w:val="0099143E"/>
    <w:rsid w:val="00992EEC"/>
    <w:rsid w:val="00994044"/>
    <w:rsid w:val="009966BB"/>
    <w:rsid w:val="0099684D"/>
    <w:rsid w:val="00997381"/>
    <w:rsid w:val="009976E8"/>
    <w:rsid w:val="00997AA4"/>
    <w:rsid w:val="009A071D"/>
    <w:rsid w:val="009A1237"/>
    <w:rsid w:val="009A2096"/>
    <w:rsid w:val="009A2945"/>
    <w:rsid w:val="009A3072"/>
    <w:rsid w:val="009A4345"/>
    <w:rsid w:val="009A48F8"/>
    <w:rsid w:val="009A6F1C"/>
    <w:rsid w:val="009A707D"/>
    <w:rsid w:val="009B2DF7"/>
    <w:rsid w:val="009B348F"/>
    <w:rsid w:val="009B38A9"/>
    <w:rsid w:val="009B49A1"/>
    <w:rsid w:val="009B4A45"/>
    <w:rsid w:val="009B4C69"/>
    <w:rsid w:val="009B53B3"/>
    <w:rsid w:val="009B6112"/>
    <w:rsid w:val="009B6E8E"/>
    <w:rsid w:val="009B6F6C"/>
    <w:rsid w:val="009B73B5"/>
    <w:rsid w:val="009B7D52"/>
    <w:rsid w:val="009B7E13"/>
    <w:rsid w:val="009C044C"/>
    <w:rsid w:val="009C146E"/>
    <w:rsid w:val="009C2AA3"/>
    <w:rsid w:val="009C2C4E"/>
    <w:rsid w:val="009C2D71"/>
    <w:rsid w:val="009C418A"/>
    <w:rsid w:val="009C56D7"/>
    <w:rsid w:val="009C6456"/>
    <w:rsid w:val="009C6E03"/>
    <w:rsid w:val="009C786D"/>
    <w:rsid w:val="009D003E"/>
    <w:rsid w:val="009D09AD"/>
    <w:rsid w:val="009D1662"/>
    <w:rsid w:val="009D1FFD"/>
    <w:rsid w:val="009D5143"/>
    <w:rsid w:val="009D54C6"/>
    <w:rsid w:val="009D6721"/>
    <w:rsid w:val="009D68C9"/>
    <w:rsid w:val="009D7298"/>
    <w:rsid w:val="009D75BF"/>
    <w:rsid w:val="009D792A"/>
    <w:rsid w:val="009D7CA6"/>
    <w:rsid w:val="009D7D2F"/>
    <w:rsid w:val="009E1586"/>
    <w:rsid w:val="009E19D8"/>
    <w:rsid w:val="009E1AAD"/>
    <w:rsid w:val="009E2295"/>
    <w:rsid w:val="009E2992"/>
    <w:rsid w:val="009E2FD9"/>
    <w:rsid w:val="009E30FE"/>
    <w:rsid w:val="009E52C6"/>
    <w:rsid w:val="009E6485"/>
    <w:rsid w:val="009E64A7"/>
    <w:rsid w:val="009E68F3"/>
    <w:rsid w:val="009E78EA"/>
    <w:rsid w:val="009E7A21"/>
    <w:rsid w:val="009F0762"/>
    <w:rsid w:val="009F1CE5"/>
    <w:rsid w:val="009F2351"/>
    <w:rsid w:val="009F2415"/>
    <w:rsid w:val="009F25B4"/>
    <w:rsid w:val="009F2E57"/>
    <w:rsid w:val="009F30B9"/>
    <w:rsid w:val="009F4B59"/>
    <w:rsid w:val="009F5888"/>
    <w:rsid w:val="009F5A83"/>
    <w:rsid w:val="009F65BA"/>
    <w:rsid w:val="009F6880"/>
    <w:rsid w:val="009F7701"/>
    <w:rsid w:val="00A00BB8"/>
    <w:rsid w:val="00A01B28"/>
    <w:rsid w:val="00A01F83"/>
    <w:rsid w:val="00A0273E"/>
    <w:rsid w:val="00A02E1D"/>
    <w:rsid w:val="00A02F88"/>
    <w:rsid w:val="00A03645"/>
    <w:rsid w:val="00A04310"/>
    <w:rsid w:val="00A0449E"/>
    <w:rsid w:val="00A05041"/>
    <w:rsid w:val="00A052BF"/>
    <w:rsid w:val="00A058BB"/>
    <w:rsid w:val="00A0765C"/>
    <w:rsid w:val="00A10898"/>
    <w:rsid w:val="00A10DAB"/>
    <w:rsid w:val="00A11E1C"/>
    <w:rsid w:val="00A121B2"/>
    <w:rsid w:val="00A1400B"/>
    <w:rsid w:val="00A140D8"/>
    <w:rsid w:val="00A1490B"/>
    <w:rsid w:val="00A14C9A"/>
    <w:rsid w:val="00A14CA0"/>
    <w:rsid w:val="00A158F5"/>
    <w:rsid w:val="00A15D2F"/>
    <w:rsid w:val="00A16206"/>
    <w:rsid w:val="00A17297"/>
    <w:rsid w:val="00A1771F"/>
    <w:rsid w:val="00A22540"/>
    <w:rsid w:val="00A23458"/>
    <w:rsid w:val="00A2427F"/>
    <w:rsid w:val="00A2488E"/>
    <w:rsid w:val="00A26B0E"/>
    <w:rsid w:val="00A30563"/>
    <w:rsid w:val="00A319CA"/>
    <w:rsid w:val="00A333A0"/>
    <w:rsid w:val="00A35F4F"/>
    <w:rsid w:val="00A375C2"/>
    <w:rsid w:val="00A37748"/>
    <w:rsid w:val="00A37B63"/>
    <w:rsid w:val="00A4005D"/>
    <w:rsid w:val="00A40157"/>
    <w:rsid w:val="00A402C0"/>
    <w:rsid w:val="00A4047A"/>
    <w:rsid w:val="00A42094"/>
    <w:rsid w:val="00A4230B"/>
    <w:rsid w:val="00A42868"/>
    <w:rsid w:val="00A42C0B"/>
    <w:rsid w:val="00A42D8A"/>
    <w:rsid w:val="00A434DB"/>
    <w:rsid w:val="00A43F17"/>
    <w:rsid w:val="00A4512E"/>
    <w:rsid w:val="00A451BD"/>
    <w:rsid w:val="00A4530D"/>
    <w:rsid w:val="00A46405"/>
    <w:rsid w:val="00A47715"/>
    <w:rsid w:val="00A47E87"/>
    <w:rsid w:val="00A512C9"/>
    <w:rsid w:val="00A51E29"/>
    <w:rsid w:val="00A540FF"/>
    <w:rsid w:val="00A5412A"/>
    <w:rsid w:val="00A542C4"/>
    <w:rsid w:val="00A55AF4"/>
    <w:rsid w:val="00A55BFB"/>
    <w:rsid w:val="00A57751"/>
    <w:rsid w:val="00A577E3"/>
    <w:rsid w:val="00A61A2A"/>
    <w:rsid w:val="00A6201A"/>
    <w:rsid w:val="00A62A2C"/>
    <w:rsid w:val="00A62A2E"/>
    <w:rsid w:val="00A62EFB"/>
    <w:rsid w:val="00A6325B"/>
    <w:rsid w:val="00A632C8"/>
    <w:rsid w:val="00A6456D"/>
    <w:rsid w:val="00A648BD"/>
    <w:rsid w:val="00A658FC"/>
    <w:rsid w:val="00A65A45"/>
    <w:rsid w:val="00A667FA"/>
    <w:rsid w:val="00A66DA4"/>
    <w:rsid w:val="00A71A39"/>
    <w:rsid w:val="00A71FE2"/>
    <w:rsid w:val="00A727CB"/>
    <w:rsid w:val="00A7282D"/>
    <w:rsid w:val="00A74F7D"/>
    <w:rsid w:val="00A76177"/>
    <w:rsid w:val="00A765CE"/>
    <w:rsid w:val="00A804B6"/>
    <w:rsid w:val="00A807AE"/>
    <w:rsid w:val="00A80864"/>
    <w:rsid w:val="00A81971"/>
    <w:rsid w:val="00A81CEA"/>
    <w:rsid w:val="00A82E99"/>
    <w:rsid w:val="00A83B31"/>
    <w:rsid w:val="00A844B1"/>
    <w:rsid w:val="00A84C93"/>
    <w:rsid w:val="00A85943"/>
    <w:rsid w:val="00A85F19"/>
    <w:rsid w:val="00A8686A"/>
    <w:rsid w:val="00A87FB7"/>
    <w:rsid w:val="00A91A12"/>
    <w:rsid w:val="00A91B45"/>
    <w:rsid w:val="00A931E9"/>
    <w:rsid w:val="00A93305"/>
    <w:rsid w:val="00A93CBF"/>
    <w:rsid w:val="00A93E26"/>
    <w:rsid w:val="00A941BC"/>
    <w:rsid w:val="00A941C5"/>
    <w:rsid w:val="00A9598C"/>
    <w:rsid w:val="00A9644F"/>
    <w:rsid w:val="00AA1FAE"/>
    <w:rsid w:val="00AA27DA"/>
    <w:rsid w:val="00AA345B"/>
    <w:rsid w:val="00AA3B30"/>
    <w:rsid w:val="00AA4A4B"/>
    <w:rsid w:val="00AA586C"/>
    <w:rsid w:val="00AA5E01"/>
    <w:rsid w:val="00AA602F"/>
    <w:rsid w:val="00AA7174"/>
    <w:rsid w:val="00AA7363"/>
    <w:rsid w:val="00AA77B5"/>
    <w:rsid w:val="00AA7C0A"/>
    <w:rsid w:val="00AB037C"/>
    <w:rsid w:val="00AB04D1"/>
    <w:rsid w:val="00AB2B68"/>
    <w:rsid w:val="00AB2E0E"/>
    <w:rsid w:val="00AB2FD1"/>
    <w:rsid w:val="00AB3B02"/>
    <w:rsid w:val="00AB492E"/>
    <w:rsid w:val="00AB595B"/>
    <w:rsid w:val="00AB61A1"/>
    <w:rsid w:val="00AB6EBC"/>
    <w:rsid w:val="00AB7024"/>
    <w:rsid w:val="00AB762C"/>
    <w:rsid w:val="00AC22CA"/>
    <w:rsid w:val="00AC3D1E"/>
    <w:rsid w:val="00AC521D"/>
    <w:rsid w:val="00AC6135"/>
    <w:rsid w:val="00AC6576"/>
    <w:rsid w:val="00AC6EF1"/>
    <w:rsid w:val="00AC75D5"/>
    <w:rsid w:val="00AC7722"/>
    <w:rsid w:val="00AD0B42"/>
    <w:rsid w:val="00AD0C75"/>
    <w:rsid w:val="00AD121B"/>
    <w:rsid w:val="00AD144A"/>
    <w:rsid w:val="00AD1B3B"/>
    <w:rsid w:val="00AD24B4"/>
    <w:rsid w:val="00AD29CD"/>
    <w:rsid w:val="00AD2BE6"/>
    <w:rsid w:val="00AD4BC4"/>
    <w:rsid w:val="00AD73AA"/>
    <w:rsid w:val="00AD774C"/>
    <w:rsid w:val="00AE0C80"/>
    <w:rsid w:val="00AE1B8E"/>
    <w:rsid w:val="00AE2CE9"/>
    <w:rsid w:val="00AE3362"/>
    <w:rsid w:val="00AE3C30"/>
    <w:rsid w:val="00AE498C"/>
    <w:rsid w:val="00AF055C"/>
    <w:rsid w:val="00AF1456"/>
    <w:rsid w:val="00AF18FC"/>
    <w:rsid w:val="00AF1F55"/>
    <w:rsid w:val="00AF2FB1"/>
    <w:rsid w:val="00AF3D6C"/>
    <w:rsid w:val="00AF3E1C"/>
    <w:rsid w:val="00AF4548"/>
    <w:rsid w:val="00AF5A92"/>
    <w:rsid w:val="00B004FE"/>
    <w:rsid w:val="00B01318"/>
    <w:rsid w:val="00B03651"/>
    <w:rsid w:val="00B0428F"/>
    <w:rsid w:val="00B04553"/>
    <w:rsid w:val="00B047D0"/>
    <w:rsid w:val="00B04CD4"/>
    <w:rsid w:val="00B059A1"/>
    <w:rsid w:val="00B061FB"/>
    <w:rsid w:val="00B06454"/>
    <w:rsid w:val="00B06650"/>
    <w:rsid w:val="00B0758E"/>
    <w:rsid w:val="00B0785E"/>
    <w:rsid w:val="00B10114"/>
    <w:rsid w:val="00B11059"/>
    <w:rsid w:val="00B11279"/>
    <w:rsid w:val="00B11627"/>
    <w:rsid w:val="00B11BE0"/>
    <w:rsid w:val="00B124B9"/>
    <w:rsid w:val="00B12C81"/>
    <w:rsid w:val="00B13696"/>
    <w:rsid w:val="00B13A6E"/>
    <w:rsid w:val="00B14A4C"/>
    <w:rsid w:val="00B16376"/>
    <w:rsid w:val="00B16A77"/>
    <w:rsid w:val="00B1756C"/>
    <w:rsid w:val="00B17CE7"/>
    <w:rsid w:val="00B203D5"/>
    <w:rsid w:val="00B20C2F"/>
    <w:rsid w:val="00B21615"/>
    <w:rsid w:val="00B23ED7"/>
    <w:rsid w:val="00B24058"/>
    <w:rsid w:val="00B24F30"/>
    <w:rsid w:val="00B26C80"/>
    <w:rsid w:val="00B279EC"/>
    <w:rsid w:val="00B302F6"/>
    <w:rsid w:val="00B308BA"/>
    <w:rsid w:val="00B3120B"/>
    <w:rsid w:val="00B317A8"/>
    <w:rsid w:val="00B31F53"/>
    <w:rsid w:val="00B327B5"/>
    <w:rsid w:val="00B32B1D"/>
    <w:rsid w:val="00B32DDA"/>
    <w:rsid w:val="00B33B15"/>
    <w:rsid w:val="00B33C81"/>
    <w:rsid w:val="00B33D98"/>
    <w:rsid w:val="00B341A0"/>
    <w:rsid w:val="00B346BE"/>
    <w:rsid w:val="00B34AAC"/>
    <w:rsid w:val="00B34AF6"/>
    <w:rsid w:val="00B34FA3"/>
    <w:rsid w:val="00B41305"/>
    <w:rsid w:val="00B41913"/>
    <w:rsid w:val="00B41AE3"/>
    <w:rsid w:val="00B41ECE"/>
    <w:rsid w:val="00B421E7"/>
    <w:rsid w:val="00B42D26"/>
    <w:rsid w:val="00B42F37"/>
    <w:rsid w:val="00B43266"/>
    <w:rsid w:val="00B43BCE"/>
    <w:rsid w:val="00B443FC"/>
    <w:rsid w:val="00B44C83"/>
    <w:rsid w:val="00B44D71"/>
    <w:rsid w:val="00B454BF"/>
    <w:rsid w:val="00B4554D"/>
    <w:rsid w:val="00B45A91"/>
    <w:rsid w:val="00B461B5"/>
    <w:rsid w:val="00B46C5E"/>
    <w:rsid w:val="00B47B46"/>
    <w:rsid w:val="00B502F3"/>
    <w:rsid w:val="00B508B0"/>
    <w:rsid w:val="00B519F0"/>
    <w:rsid w:val="00B51A61"/>
    <w:rsid w:val="00B5436F"/>
    <w:rsid w:val="00B55185"/>
    <w:rsid w:val="00B55491"/>
    <w:rsid w:val="00B559D1"/>
    <w:rsid w:val="00B567EC"/>
    <w:rsid w:val="00B56D64"/>
    <w:rsid w:val="00B57550"/>
    <w:rsid w:val="00B60DD4"/>
    <w:rsid w:val="00B6288F"/>
    <w:rsid w:val="00B634F2"/>
    <w:rsid w:val="00B64F93"/>
    <w:rsid w:val="00B65FFB"/>
    <w:rsid w:val="00B664DF"/>
    <w:rsid w:val="00B70943"/>
    <w:rsid w:val="00B70FED"/>
    <w:rsid w:val="00B7137E"/>
    <w:rsid w:val="00B723F0"/>
    <w:rsid w:val="00B72EAF"/>
    <w:rsid w:val="00B746E3"/>
    <w:rsid w:val="00B7488F"/>
    <w:rsid w:val="00B748BF"/>
    <w:rsid w:val="00B74AD8"/>
    <w:rsid w:val="00B74E06"/>
    <w:rsid w:val="00B750CF"/>
    <w:rsid w:val="00B75315"/>
    <w:rsid w:val="00B7534E"/>
    <w:rsid w:val="00B75410"/>
    <w:rsid w:val="00B763FF"/>
    <w:rsid w:val="00B82639"/>
    <w:rsid w:val="00B82653"/>
    <w:rsid w:val="00B831FE"/>
    <w:rsid w:val="00B836F0"/>
    <w:rsid w:val="00B837F3"/>
    <w:rsid w:val="00B83CED"/>
    <w:rsid w:val="00B8426F"/>
    <w:rsid w:val="00B852E1"/>
    <w:rsid w:val="00B8599D"/>
    <w:rsid w:val="00B8612F"/>
    <w:rsid w:val="00B86AB7"/>
    <w:rsid w:val="00B870D3"/>
    <w:rsid w:val="00B90DAB"/>
    <w:rsid w:val="00B9185A"/>
    <w:rsid w:val="00B936B8"/>
    <w:rsid w:val="00B94024"/>
    <w:rsid w:val="00B948C8"/>
    <w:rsid w:val="00B94F5F"/>
    <w:rsid w:val="00B95060"/>
    <w:rsid w:val="00B955E4"/>
    <w:rsid w:val="00B9649A"/>
    <w:rsid w:val="00B965AA"/>
    <w:rsid w:val="00BA0B52"/>
    <w:rsid w:val="00BA1874"/>
    <w:rsid w:val="00BA1A0F"/>
    <w:rsid w:val="00BA2386"/>
    <w:rsid w:val="00BA2BB6"/>
    <w:rsid w:val="00BA32F8"/>
    <w:rsid w:val="00BA43F1"/>
    <w:rsid w:val="00BA4D48"/>
    <w:rsid w:val="00BA5631"/>
    <w:rsid w:val="00BA5AA1"/>
    <w:rsid w:val="00BA6153"/>
    <w:rsid w:val="00BA61E7"/>
    <w:rsid w:val="00BA7118"/>
    <w:rsid w:val="00BA7398"/>
    <w:rsid w:val="00BA77B6"/>
    <w:rsid w:val="00BA7B40"/>
    <w:rsid w:val="00BB1284"/>
    <w:rsid w:val="00BB1C0E"/>
    <w:rsid w:val="00BB2016"/>
    <w:rsid w:val="00BB4551"/>
    <w:rsid w:val="00BB457D"/>
    <w:rsid w:val="00BB4E15"/>
    <w:rsid w:val="00BB735C"/>
    <w:rsid w:val="00BC19EE"/>
    <w:rsid w:val="00BC1B7D"/>
    <w:rsid w:val="00BC2C18"/>
    <w:rsid w:val="00BC2FD0"/>
    <w:rsid w:val="00BC53B1"/>
    <w:rsid w:val="00BC602B"/>
    <w:rsid w:val="00BC7138"/>
    <w:rsid w:val="00BD082C"/>
    <w:rsid w:val="00BD0A95"/>
    <w:rsid w:val="00BD0EA6"/>
    <w:rsid w:val="00BD1A1C"/>
    <w:rsid w:val="00BD1BE2"/>
    <w:rsid w:val="00BD26CE"/>
    <w:rsid w:val="00BD4D38"/>
    <w:rsid w:val="00BD50BA"/>
    <w:rsid w:val="00BD679B"/>
    <w:rsid w:val="00BD7247"/>
    <w:rsid w:val="00BE06B6"/>
    <w:rsid w:val="00BE0B9A"/>
    <w:rsid w:val="00BE1366"/>
    <w:rsid w:val="00BE1525"/>
    <w:rsid w:val="00BE2429"/>
    <w:rsid w:val="00BE256C"/>
    <w:rsid w:val="00BE25C9"/>
    <w:rsid w:val="00BE39D0"/>
    <w:rsid w:val="00BE6EBD"/>
    <w:rsid w:val="00BE7DF3"/>
    <w:rsid w:val="00BE7FFE"/>
    <w:rsid w:val="00BF0C57"/>
    <w:rsid w:val="00BF1126"/>
    <w:rsid w:val="00BF1211"/>
    <w:rsid w:val="00BF1902"/>
    <w:rsid w:val="00BF1AF7"/>
    <w:rsid w:val="00BF2E3C"/>
    <w:rsid w:val="00BF3316"/>
    <w:rsid w:val="00BF3602"/>
    <w:rsid w:val="00BF4528"/>
    <w:rsid w:val="00BF538A"/>
    <w:rsid w:val="00BF596C"/>
    <w:rsid w:val="00BF5C73"/>
    <w:rsid w:val="00BF5F5D"/>
    <w:rsid w:val="00BF61D4"/>
    <w:rsid w:val="00BF7D35"/>
    <w:rsid w:val="00C0031D"/>
    <w:rsid w:val="00C00D8C"/>
    <w:rsid w:val="00C02651"/>
    <w:rsid w:val="00C036FF"/>
    <w:rsid w:val="00C044A8"/>
    <w:rsid w:val="00C0534E"/>
    <w:rsid w:val="00C05A1D"/>
    <w:rsid w:val="00C05FBA"/>
    <w:rsid w:val="00C065FA"/>
    <w:rsid w:val="00C06BD7"/>
    <w:rsid w:val="00C06C45"/>
    <w:rsid w:val="00C07622"/>
    <w:rsid w:val="00C076E3"/>
    <w:rsid w:val="00C10285"/>
    <w:rsid w:val="00C11217"/>
    <w:rsid w:val="00C1199F"/>
    <w:rsid w:val="00C12AF5"/>
    <w:rsid w:val="00C1430E"/>
    <w:rsid w:val="00C14593"/>
    <w:rsid w:val="00C14C4F"/>
    <w:rsid w:val="00C152B2"/>
    <w:rsid w:val="00C17164"/>
    <w:rsid w:val="00C203E7"/>
    <w:rsid w:val="00C22960"/>
    <w:rsid w:val="00C22E74"/>
    <w:rsid w:val="00C2370D"/>
    <w:rsid w:val="00C24894"/>
    <w:rsid w:val="00C24FDF"/>
    <w:rsid w:val="00C25108"/>
    <w:rsid w:val="00C2610A"/>
    <w:rsid w:val="00C2731C"/>
    <w:rsid w:val="00C27F6E"/>
    <w:rsid w:val="00C30BEE"/>
    <w:rsid w:val="00C313C4"/>
    <w:rsid w:val="00C31E8C"/>
    <w:rsid w:val="00C328C0"/>
    <w:rsid w:val="00C33342"/>
    <w:rsid w:val="00C346AD"/>
    <w:rsid w:val="00C357B5"/>
    <w:rsid w:val="00C35EDF"/>
    <w:rsid w:val="00C362A6"/>
    <w:rsid w:val="00C36932"/>
    <w:rsid w:val="00C36A72"/>
    <w:rsid w:val="00C37505"/>
    <w:rsid w:val="00C418B1"/>
    <w:rsid w:val="00C42205"/>
    <w:rsid w:val="00C433BD"/>
    <w:rsid w:val="00C43898"/>
    <w:rsid w:val="00C45095"/>
    <w:rsid w:val="00C453D8"/>
    <w:rsid w:val="00C454A9"/>
    <w:rsid w:val="00C466BA"/>
    <w:rsid w:val="00C4674B"/>
    <w:rsid w:val="00C4692E"/>
    <w:rsid w:val="00C46BFA"/>
    <w:rsid w:val="00C47763"/>
    <w:rsid w:val="00C47B24"/>
    <w:rsid w:val="00C47EFC"/>
    <w:rsid w:val="00C504C1"/>
    <w:rsid w:val="00C50629"/>
    <w:rsid w:val="00C50646"/>
    <w:rsid w:val="00C50DFB"/>
    <w:rsid w:val="00C52AC4"/>
    <w:rsid w:val="00C53861"/>
    <w:rsid w:val="00C538C3"/>
    <w:rsid w:val="00C55576"/>
    <w:rsid w:val="00C55AB6"/>
    <w:rsid w:val="00C55FF7"/>
    <w:rsid w:val="00C56008"/>
    <w:rsid w:val="00C56968"/>
    <w:rsid w:val="00C57986"/>
    <w:rsid w:val="00C62C35"/>
    <w:rsid w:val="00C63286"/>
    <w:rsid w:val="00C639E0"/>
    <w:rsid w:val="00C63AC0"/>
    <w:rsid w:val="00C63EC3"/>
    <w:rsid w:val="00C643A1"/>
    <w:rsid w:val="00C66309"/>
    <w:rsid w:val="00C6772D"/>
    <w:rsid w:val="00C677EA"/>
    <w:rsid w:val="00C723D7"/>
    <w:rsid w:val="00C72EB7"/>
    <w:rsid w:val="00C75A69"/>
    <w:rsid w:val="00C7618D"/>
    <w:rsid w:val="00C81A9B"/>
    <w:rsid w:val="00C822AA"/>
    <w:rsid w:val="00C82FC6"/>
    <w:rsid w:val="00C83A1D"/>
    <w:rsid w:val="00C83BBA"/>
    <w:rsid w:val="00C84862"/>
    <w:rsid w:val="00C85D6A"/>
    <w:rsid w:val="00C86362"/>
    <w:rsid w:val="00C866DD"/>
    <w:rsid w:val="00C86A0B"/>
    <w:rsid w:val="00C86F58"/>
    <w:rsid w:val="00C90E8D"/>
    <w:rsid w:val="00C91B89"/>
    <w:rsid w:val="00C95832"/>
    <w:rsid w:val="00C95BAD"/>
    <w:rsid w:val="00C964EB"/>
    <w:rsid w:val="00C967B8"/>
    <w:rsid w:val="00CA0130"/>
    <w:rsid w:val="00CA08F0"/>
    <w:rsid w:val="00CA0A0D"/>
    <w:rsid w:val="00CA150F"/>
    <w:rsid w:val="00CA33F1"/>
    <w:rsid w:val="00CA437F"/>
    <w:rsid w:val="00CA4593"/>
    <w:rsid w:val="00CA5F0E"/>
    <w:rsid w:val="00CA6D40"/>
    <w:rsid w:val="00CA6E7E"/>
    <w:rsid w:val="00CA7D54"/>
    <w:rsid w:val="00CB1931"/>
    <w:rsid w:val="00CB195A"/>
    <w:rsid w:val="00CB230A"/>
    <w:rsid w:val="00CB242F"/>
    <w:rsid w:val="00CB436E"/>
    <w:rsid w:val="00CB5231"/>
    <w:rsid w:val="00CB5875"/>
    <w:rsid w:val="00CB6200"/>
    <w:rsid w:val="00CB6421"/>
    <w:rsid w:val="00CB6589"/>
    <w:rsid w:val="00CB6D8A"/>
    <w:rsid w:val="00CB778D"/>
    <w:rsid w:val="00CC0753"/>
    <w:rsid w:val="00CC334F"/>
    <w:rsid w:val="00CC348D"/>
    <w:rsid w:val="00CC360A"/>
    <w:rsid w:val="00CC3B6D"/>
    <w:rsid w:val="00CC53EF"/>
    <w:rsid w:val="00CC5EDE"/>
    <w:rsid w:val="00CC6670"/>
    <w:rsid w:val="00CC770E"/>
    <w:rsid w:val="00CC78A3"/>
    <w:rsid w:val="00CC7E55"/>
    <w:rsid w:val="00CD020C"/>
    <w:rsid w:val="00CD1AD8"/>
    <w:rsid w:val="00CD1E2A"/>
    <w:rsid w:val="00CD2435"/>
    <w:rsid w:val="00CD2A44"/>
    <w:rsid w:val="00CD392F"/>
    <w:rsid w:val="00CD3B9F"/>
    <w:rsid w:val="00CD473E"/>
    <w:rsid w:val="00CD65F5"/>
    <w:rsid w:val="00CD65F6"/>
    <w:rsid w:val="00CD6A83"/>
    <w:rsid w:val="00CD7289"/>
    <w:rsid w:val="00CD77FC"/>
    <w:rsid w:val="00CD7AEF"/>
    <w:rsid w:val="00CE0578"/>
    <w:rsid w:val="00CE0CDA"/>
    <w:rsid w:val="00CE0D46"/>
    <w:rsid w:val="00CE0FED"/>
    <w:rsid w:val="00CE1F96"/>
    <w:rsid w:val="00CE2EC9"/>
    <w:rsid w:val="00CE2FAC"/>
    <w:rsid w:val="00CE3305"/>
    <w:rsid w:val="00CE3F53"/>
    <w:rsid w:val="00CE4DF4"/>
    <w:rsid w:val="00CE5700"/>
    <w:rsid w:val="00CE6812"/>
    <w:rsid w:val="00CE6933"/>
    <w:rsid w:val="00CE6B8E"/>
    <w:rsid w:val="00CE72B2"/>
    <w:rsid w:val="00CE7F2B"/>
    <w:rsid w:val="00CF0233"/>
    <w:rsid w:val="00CF1107"/>
    <w:rsid w:val="00CF222B"/>
    <w:rsid w:val="00CF2FAE"/>
    <w:rsid w:val="00CF347C"/>
    <w:rsid w:val="00CF3944"/>
    <w:rsid w:val="00CF55FA"/>
    <w:rsid w:val="00CF5CC6"/>
    <w:rsid w:val="00CF5D6C"/>
    <w:rsid w:val="00CF5E17"/>
    <w:rsid w:val="00CF6838"/>
    <w:rsid w:val="00CF7CB2"/>
    <w:rsid w:val="00D000A2"/>
    <w:rsid w:val="00D0071E"/>
    <w:rsid w:val="00D00B16"/>
    <w:rsid w:val="00D030FB"/>
    <w:rsid w:val="00D04CB7"/>
    <w:rsid w:val="00D0504A"/>
    <w:rsid w:val="00D06921"/>
    <w:rsid w:val="00D07461"/>
    <w:rsid w:val="00D075C4"/>
    <w:rsid w:val="00D10BD6"/>
    <w:rsid w:val="00D11684"/>
    <w:rsid w:val="00D11708"/>
    <w:rsid w:val="00D11E52"/>
    <w:rsid w:val="00D123C5"/>
    <w:rsid w:val="00D1300F"/>
    <w:rsid w:val="00D14999"/>
    <w:rsid w:val="00D153F3"/>
    <w:rsid w:val="00D1569D"/>
    <w:rsid w:val="00D15F3E"/>
    <w:rsid w:val="00D17210"/>
    <w:rsid w:val="00D1726C"/>
    <w:rsid w:val="00D205D7"/>
    <w:rsid w:val="00D224FF"/>
    <w:rsid w:val="00D23174"/>
    <w:rsid w:val="00D239C3"/>
    <w:rsid w:val="00D25F97"/>
    <w:rsid w:val="00D27B07"/>
    <w:rsid w:val="00D31272"/>
    <w:rsid w:val="00D31C73"/>
    <w:rsid w:val="00D34379"/>
    <w:rsid w:val="00D34E43"/>
    <w:rsid w:val="00D36B41"/>
    <w:rsid w:val="00D36BF3"/>
    <w:rsid w:val="00D3789F"/>
    <w:rsid w:val="00D37CBE"/>
    <w:rsid w:val="00D4060B"/>
    <w:rsid w:val="00D407CF"/>
    <w:rsid w:val="00D41689"/>
    <w:rsid w:val="00D449F2"/>
    <w:rsid w:val="00D457EF"/>
    <w:rsid w:val="00D5368B"/>
    <w:rsid w:val="00D53EFD"/>
    <w:rsid w:val="00D541B5"/>
    <w:rsid w:val="00D54719"/>
    <w:rsid w:val="00D550B6"/>
    <w:rsid w:val="00D55F6E"/>
    <w:rsid w:val="00D56922"/>
    <w:rsid w:val="00D56E20"/>
    <w:rsid w:val="00D575FA"/>
    <w:rsid w:val="00D57EF1"/>
    <w:rsid w:val="00D607A4"/>
    <w:rsid w:val="00D60BE1"/>
    <w:rsid w:val="00D612D4"/>
    <w:rsid w:val="00D620FE"/>
    <w:rsid w:val="00D66EE3"/>
    <w:rsid w:val="00D671C8"/>
    <w:rsid w:val="00D73682"/>
    <w:rsid w:val="00D73803"/>
    <w:rsid w:val="00D73DA4"/>
    <w:rsid w:val="00D74328"/>
    <w:rsid w:val="00D752C0"/>
    <w:rsid w:val="00D76068"/>
    <w:rsid w:val="00D7620B"/>
    <w:rsid w:val="00D76269"/>
    <w:rsid w:val="00D76AC7"/>
    <w:rsid w:val="00D76D59"/>
    <w:rsid w:val="00D77AF7"/>
    <w:rsid w:val="00D77E53"/>
    <w:rsid w:val="00D816A3"/>
    <w:rsid w:val="00D83D34"/>
    <w:rsid w:val="00D84926"/>
    <w:rsid w:val="00D84D59"/>
    <w:rsid w:val="00D851D3"/>
    <w:rsid w:val="00D90078"/>
    <w:rsid w:val="00D92EC1"/>
    <w:rsid w:val="00D93406"/>
    <w:rsid w:val="00D93737"/>
    <w:rsid w:val="00D94502"/>
    <w:rsid w:val="00D945BA"/>
    <w:rsid w:val="00D94D40"/>
    <w:rsid w:val="00D965E8"/>
    <w:rsid w:val="00D96A07"/>
    <w:rsid w:val="00D973B7"/>
    <w:rsid w:val="00D97948"/>
    <w:rsid w:val="00D97A32"/>
    <w:rsid w:val="00DA0758"/>
    <w:rsid w:val="00DA07A3"/>
    <w:rsid w:val="00DA0A4D"/>
    <w:rsid w:val="00DA1884"/>
    <w:rsid w:val="00DA20AD"/>
    <w:rsid w:val="00DA2D1B"/>
    <w:rsid w:val="00DA322B"/>
    <w:rsid w:val="00DA47D5"/>
    <w:rsid w:val="00DA48FD"/>
    <w:rsid w:val="00DA4FBD"/>
    <w:rsid w:val="00DA5767"/>
    <w:rsid w:val="00DA64CD"/>
    <w:rsid w:val="00DA669C"/>
    <w:rsid w:val="00DA721B"/>
    <w:rsid w:val="00DA779B"/>
    <w:rsid w:val="00DA78D8"/>
    <w:rsid w:val="00DA7CCD"/>
    <w:rsid w:val="00DB0253"/>
    <w:rsid w:val="00DB058E"/>
    <w:rsid w:val="00DB1A46"/>
    <w:rsid w:val="00DB30C9"/>
    <w:rsid w:val="00DB3570"/>
    <w:rsid w:val="00DB4053"/>
    <w:rsid w:val="00DB440F"/>
    <w:rsid w:val="00DB6D0A"/>
    <w:rsid w:val="00DB74B6"/>
    <w:rsid w:val="00DB75DA"/>
    <w:rsid w:val="00DB7CBC"/>
    <w:rsid w:val="00DC185D"/>
    <w:rsid w:val="00DC25DF"/>
    <w:rsid w:val="00DC3EDA"/>
    <w:rsid w:val="00DC3FD2"/>
    <w:rsid w:val="00DC4334"/>
    <w:rsid w:val="00DC4877"/>
    <w:rsid w:val="00DC53DD"/>
    <w:rsid w:val="00DC580A"/>
    <w:rsid w:val="00DC63F3"/>
    <w:rsid w:val="00DC68BB"/>
    <w:rsid w:val="00DC6F68"/>
    <w:rsid w:val="00DC72EE"/>
    <w:rsid w:val="00DC7655"/>
    <w:rsid w:val="00DC7A37"/>
    <w:rsid w:val="00DD3D51"/>
    <w:rsid w:val="00DD4B3F"/>
    <w:rsid w:val="00DD5020"/>
    <w:rsid w:val="00DD5C85"/>
    <w:rsid w:val="00DD67CB"/>
    <w:rsid w:val="00DD6A4C"/>
    <w:rsid w:val="00DD7455"/>
    <w:rsid w:val="00DD7728"/>
    <w:rsid w:val="00DD7EF1"/>
    <w:rsid w:val="00DE0CEF"/>
    <w:rsid w:val="00DE25E1"/>
    <w:rsid w:val="00DE4B21"/>
    <w:rsid w:val="00DE6304"/>
    <w:rsid w:val="00DE68D3"/>
    <w:rsid w:val="00DE7190"/>
    <w:rsid w:val="00DF1837"/>
    <w:rsid w:val="00DF28A9"/>
    <w:rsid w:val="00DF2AB9"/>
    <w:rsid w:val="00DF331C"/>
    <w:rsid w:val="00DF3644"/>
    <w:rsid w:val="00DF5C20"/>
    <w:rsid w:val="00DF6699"/>
    <w:rsid w:val="00DF737C"/>
    <w:rsid w:val="00E00F6E"/>
    <w:rsid w:val="00E01516"/>
    <w:rsid w:val="00E01A2F"/>
    <w:rsid w:val="00E0287E"/>
    <w:rsid w:val="00E02D90"/>
    <w:rsid w:val="00E03B31"/>
    <w:rsid w:val="00E051CA"/>
    <w:rsid w:val="00E0647C"/>
    <w:rsid w:val="00E06FEA"/>
    <w:rsid w:val="00E073C2"/>
    <w:rsid w:val="00E11241"/>
    <w:rsid w:val="00E13489"/>
    <w:rsid w:val="00E13692"/>
    <w:rsid w:val="00E15500"/>
    <w:rsid w:val="00E1662C"/>
    <w:rsid w:val="00E17185"/>
    <w:rsid w:val="00E17413"/>
    <w:rsid w:val="00E1765F"/>
    <w:rsid w:val="00E178F0"/>
    <w:rsid w:val="00E20197"/>
    <w:rsid w:val="00E206EA"/>
    <w:rsid w:val="00E21165"/>
    <w:rsid w:val="00E23360"/>
    <w:rsid w:val="00E23B23"/>
    <w:rsid w:val="00E23B70"/>
    <w:rsid w:val="00E23E32"/>
    <w:rsid w:val="00E2456B"/>
    <w:rsid w:val="00E24CD1"/>
    <w:rsid w:val="00E24EE1"/>
    <w:rsid w:val="00E255AD"/>
    <w:rsid w:val="00E255CB"/>
    <w:rsid w:val="00E26C64"/>
    <w:rsid w:val="00E27360"/>
    <w:rsid w:val="00E27AB4"/>
    <w:rsid w:val="00E33352"/>
    <w:rsid w:val="00E337FC"/>
    <w:rsid w:val="00E33C03"/>
    <w:rsid w:val="00E35A3F"/>
    <w:rsid w:val="00E362C8"/>
    <w:rsid w:val="00E368F5"/>
    <w:rsid w:val="00E36F07"/>
    <w:rsid w:val="00E37CFD"/>
    <w:rsid w:val="00E37FC4"/>
    <w:rsid w:val="00E4010D"/>
    <w:rsid w:val="00E41103"/>
    <w:rsid w:val="00E411C1"/>
    <w:rsid w:val="00E41730"/>
    <w:rsid w:val="00E43159"/>
    <w:rsid w:val="00E438D0"/>
    <w:rsid w:val="00E44750"/>
    <w:rsid w:val="00E460B9"/>
    <w:rsid w:val="00E47752"/>
    <w:rsid w:val="00E506C0"/>
    <w:rsid w:val="00E50DCB"/>
    <w:rsid w:val="00E52A78"/>
    <w:rsid w:val="00E56616"/>
    <w:rsid w:val="00E579AD"/>
    <w:rsid w:val="00E579D9"/>
    <w:rsid w:val="00E57ABF"/>
    <w:rsid w:val="00E60A40"/>
    <w:rsid w:val="00E60BD8"/>
    <w:rsid w:val="00E610D6"/>
    <w:rsid w:val="00E61E04"/>
    <w:rsid w:val="00E62545"/>
    <w:rsid w:val="00E634C2"/>
    <w:rsid w:val="00E66945"/>
    <w:rsid w:val="00E66B54"/>
    <w:rsid w:val="00E676DB"/>
    <w:rsid w:val="00E721AA"/>
    <w:rsid w:val="00E73E2C"/>
    <w:rsid w:val="00E7419E"/>
    <w:rsid w:val="00E75779"/>
    <w:rsid w:val="00E7627D"/>
    <w:rsid w:val="00E766C9"/>
    <w:rsid w:val="00E77754"/>
    <w:rsid w:val="00E810F6"/>
    <w:rsid w:val="00E8136E"/>
    <w:rsid w:val="00E81A08"/>
    <w:rsid w:val="00E82632"/>
    <w:rsid w:val="00E828F1"/>
    <w:rsid w:val="00E82B2E"/>
    <w:rsid w:val="00E83526"/>
    <w:rsid w:val="00E8422F"/>
    <w:rsid w:val="00E84BAC"/>
    <w:rsid w:val="00E84D1B"/>
    <w:rsid w:val="00E84D79"/>
    <w:rsid w:val="00E85980"/>
    <w:rsid w:val="00E87AF5"/>
    <w:rsid w:val="00E87F41"/>
    <w:rsid w:val="00E90E01"/>
    <w:rsid w:val="00E9137B"/>
    <w:rsid w:val="00E92775"/>
    <w:rsid w:val="00E968DD"/>
    <w:rsid w:val="00E97F1F"/>
    <w:rsid w:val="00EA10E9"/>
    <w:rsid w:val="00EA18E4"/>
    <w:rsid w:val="00EA2B54"/>
    <w:rsid w:val="00EA3918"/>
    <w:rsid w:val="00EA456A"/>
    <w:rsid w:val="00EA5A5B"/>
    <w:rsid w:val="00EA6727"/>
    <w:rsid w:val="00EA7647"/>
    <w:rsid w:val="00EB2239"/>
    <w:rsid w:val="00EB2F8D"/>
    <w:rsid w:val="00EB5D44"/>
    <w:rsid w:val="00EB613E"/>
    <w:rsid w:val="00EB66B7"/>
    <w:rsid w:val="00EB6B5B"/>
    <w:rsid w:val="00EB6E71"/>
    <w:rsid w:val="00EB7922"/>
    <w:rsid w:val="00EB7EB7"/>
    <w:rsid w:val="00EC0AEF"/>
    <w:rsid w:val="00EC12F2"/>
    <w:rsid w:val="00EC1FA5"/>
    <w:rsid w:val="00EC4C4C"/>
    <w:rsid w:val="00EC77BE"/>
    <w:rsid w:val="00ED03B0"/>
    <w:rsid w:val="00ED0A7D"/>
    <w:rsid w:val="00ED172A"/>
    <w:rsid w:val="00ED198F"/>
    <w:rsid w:val="00ED1F58"/>
    <w:rsid w:val="00ED2760"/>
    <w:rsid w:val="00ED2AED"/>
    <w:rsid w:val="00ED3323"/>
    <w:rsid w:val="00ED58D9"/>
    <w:rsid w:val="00ED6332"/>
    <w:rsid w:val="00ED6AC5"/>
    <w:rsid w:val="00EE0006"/>
    <w:rsid w:val="00EE0D80"/>
    <w:rsid w:val="00EE0DCF"/>
    <w:rsid w:val="00EE1437"/>
    <w:rsid w:val="00EE143C"/>
    <w:rsid w:val="00EE1F93"/>
    <w:rsid w:val="00EE32CC"/>
    <w:rsid w:val="00EE38BF"/>
    <w:rsid w:val="00EE3E8E"/>
    <w:rsid w:val="00EE5252"/>
    <w:rsid w:val="00EE5D30"/>
    <w:rsid w:val="00EE60BB"/>
    <w:rsid w:val="00EF1BE7"/>
    <w:rsid w:val="00EF2F13"/>
    <w:rsid w:val="00EF3104"/>
    <w:rsid w:val="00EF3C04"/>
    <w:rsid w:val="00EF4D5A"/>
    <w:rsid w:val="00EF5F6B"/>
    <w:rsid w:val="00EF6596"/>
    <w:rsid w:val="00EF69F4"/>
    <w:rsid w:val="00EF6CAD"/>
    <w:rsid w:val="00EF7179"/>
    <w:rsid w:val="00EF770C"/>
    <w:rsid w:val="00F00521"/>
    <w:rsid w:val="00F007BC"/>
    <w:rsid w:val="00F0181A"/>
    <w:rsid w:val="00F0217F"/>
    <w:rsid w:val="00F03D4A"/>
    <w:rsid w:val="00F058F5"/>
    <w:rsid w:val="00F05C5D"/>
    <w:rsid w:val="00F05C96"/>
    <w:rsid w:val="00F06067"/>
    <w:rsid w:val="00F0607D"/>
    <w:rsid w:val="00F06618"/>
    <w:rsid w:val="00F10637"/>
    <w:rsid w:val="00F122A0"/>
    <w:rsid w:val="00F15EFB"/>
    <w:rsid w:val="00F165C6"/>
    <w:rsid w:val="00F1758F"/>
    <w:rsid w:val="00F2005C"/>
    <w:rsid w:val="00F202F9"/>
    <w:rsid w:val="00F2061A"/>
    <w:rsid w:val="00F233B5"/>
    <w:rsid w:val="00F24B1C"/>
    <w:rsid w:val="00F25338"/>
    <w:rsid w:val="00F262DA"/>
    <w:rsid w:val="00F26417"/>
    <w:rsid w:val="00F27645"/>
    <w:rsid w:val="00F27FDB"/>
    <w:rsid w:val="00F301C4"/>
    <w:rsid w:val="00F31D06"/>
    <w:rsid w:val="00F3342C"/>
    <w:rsid w:val="00F3377E"/>
    <w:rsid w:val="00F33B1D"/>
    <w:rsid w:val="00F33B92"/>
    <w:rsid w:val="00F34229"/>
    <w:rsid w:val="00F34282"/>
    <w:rsid w:val="00F3476A"/>
    <w:rsid w:val="00F349A3"/>
    <w:rsid w:val="00F34AF9"/>
    <w:rsid w:val="00F36175"/>
    <w:rsid w:val="00F36530"/>
    <w:rsid w:val="00F372A5"/>
    <w:rsid w:val="00F372FF"/>
    <w:rsid w:val="00F3775F"/>
    <w:rsid w:val="00F4108E"/>
    <w:rsid w:val="00F42138"/>
    <w:rsid w:val="00F42465"/>
    <w:rsid w:val="00F4262F"/>
    <w:rsid w:val="00F42CD1"/>
    <w:rsid w:val="00F4386F"/>
    <w:rsid w:val="00F43F96"/>
    <w:rsid w:val="00F45A7B"/>
    <w:rsid w:val="00F45C80"/>
    <w:rsid w:val="00F461E0"/>
    <w:rsid w:val="00F477A5"/>
    <w:rsid w:val="00F47991"/>
    <w:rsid w:val="00F51CEE"/>
    <w:rsid w:val="00F537FC"/>
    <w:rsid w:val="00F538C6"/>
    <w:rsid w:val="00F54623"/>
    <w:rsid w:val="00F55BBB"/>
    <w:rsid w:val="00F600B2"/>
    <w:rsid w:val="00F611F2"/>
    <w:rsid w:val="00F620A3"/>
    <w:rsid w:val="00F62764"/>
    <w:rsid w:val="00F63337"/>
    <w:rsid w:val="00F64848"/>
    <w:rsid w:val="00F66EC9"/>
    <w:rsid w:val="00F70FBC"/>
    <w:rsid w:val="00F71707"/>
    <w:rsid w:val="00F72401"/>
    <w:rsid w:val="00F72517"/>
    <w:rsid w:val="00F7337E"/>
    <w:rsid w:val="00F73936"/>
    <w:rsid w:val="00F74EA0"/>
    <w:rsid w:val="00F7554B"/>
    <w:rsid w:val="00F75E2D"/>
    <w:rsid w:val="00F76CCA"/>
    <w:rsid w:val="00F76F3D"/>
    <w:rsid w:val="00F7713B"/>
    <w:rsid w:val="00F80284"/>
    <w:rsid w:val="00F80526"/>
    <w:rsid w:val="00F80C15"/>
    <w:rsid w:val="00F81505"/>
    <w:rsid w:val="00F8310C"/>
    <w:rsid w:val="00F8469B"/>
    <w:rsid w:val="00F84D3E"/>
    <w:rsid w:val="00F86CE9"/>
    <w:rsid w:val="00F87154"/>
    <w:rsid w:val="00F8779D"/>
    <w:rsid w:val="00F878E3"/>
    <w:rsid w:val="00F87A1F"/>
    <w:rsid w:val="00F9163C"/>
    <w:rsid w:val="00F91E33"/>
    <w:rsid w:val="00F92426"/>
    <w:rsid w:val="00F9426F"/>
    <w:rsid w:val="00F9467D"/>
    <w:rsid w:val="00F94B51"/>
    <w:rsid w:val="00F95677"/>
    <w:rsid w:val="00F956C8"/>
    <w:rsid w:val="00F95D43"/>
    <w:rsid w:val="00F974EC"/>
    <w:rsid w:val="00F97E58"/>
    <w:rsid w:val="00FA09FA"/>
    <w:rsid w:val="00FA15E3"/>
    <w:rsid w:val="00FA368B"/>
    <w:rsid w:val="00FA5872"/>
    <w:rsid w:val="00FA58AA"/>
    <w:rsid w:val="00FA6A76"/>
    <w:rsid w:val="00FA6F63"/>
    <w:rsid w:val="00FA78E0"/>
    <w:rsid w:val="00FA7BAD"/>
    <w:rsid w:val="00FB064D"/>
    <w:rsid w:val="00FB0C8D"/>
    <w:rsid w:val="00FB3570"/>
    <w:rsid w:val="00FB3A31"/>
    <w:rsid w:val="00FB3E10"/>
    <w:rsid w:val="00FB436A"/>
    <w:rsid w:val="00FB477C"/>
    <w:rsid w:val="00FB486A"/>
    <w:rsid w:val="00FB5996"/>
    <w:rsid w:val="00FB5F7F"/>
    <w:rsid w:val="00FB6370"/>
    <w:rsid w:val="00FB7944"/>
    <w:rsid w:val="00FB7D62"/>
    <w:rsid w:val="00FC0B24"/>
    <w:rsid w:val="00FC169E"/>
    <w:rsid w:val="00FC435B"/>
    <w:rsid w:val="00FC4808"/>
    <w:rsid w:val="00FC4F92"/>
    <w:rsid w:val="00FC7133"/>
    <w:rsid w:val="00FD0742"/>
    <w:rsid w:val="00FD0955"/>
    <w:rsid w:val="00FD1200"/>
    <w:rsid w:val="00FD1372"/>
    <w:rsid w:val="00FD1C84"/>
    <w:rsid w:val="00FD251A"/>
    <w:rsid w:val="00FD2A32"/>
    <w:rsid w:val="00FD2BE7"/>
    <w:rsid w:val="00FD33B4"/>
    <w:rsid w:val="00FD33F0"/>
    <w:rsid w:val="00FD3C2A"/>
    <w:rsid w:val="00FD47C6"/>
    <w:rsid w:val="00FD4C91"/>
    <w:rsid w:val="00FD4FB7"/>
    <w:rsid w:val="00FD5FDF"/>
    <w:rsid w:val="00FD6A36"/>
    <w:rsid w:val="00FD780C"/>
    <w:rsid w:val="00FD7AF7"/>
    <w:rsid w:val="00FD7CEC"/>
    <w:rsid w:val="00FE0463"/>
    <w:rsid w:val="00FE08AC"/>
    <w:rsid w:val="00FE0BB0"/>
    <w:rsid w:val="00FE12FF"/>
    <w:rsid w:val="00FE4664"/>
    <w:rsid w:val="00FE76B5"/>
    <w:rsid w:val="00FE7F2B"/>
    <w:rsid w:val="00FF13B8"/>
    <w:rsid w:val="00FF206E"/>
    <w:rsid w:val="00FF2B9D"/>
    <w:rsid w:val="00FF488C"/>
    <w:rsid w:val="00FF4C04"/>
    <w:rsid w:val="00FF4CA1"/>
    <w:rsid w:val="00FF4D99"/>
    <w:rsid w:val="00FF5026"/>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92499-7F76-4A33-A9E9-3FD3956F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Farner, Joyce</cp:lastModifiedBy>
  <cp:revision>8</cp:revision>
  <cp:lastPrinted>2011-11-28T16:13:00Z</cp:lastPrinted>
  <dcterms:created xsi:type="dcterms:W3CDTF">2011-12-01T14:30:00Z</dcterms:created>
  <dcterms:modified xsi:type="dcterms:W3CDTF">2012-01-12T17:33:00Z</dcterms:modified>
</cp:coreProperties>
</file>