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65" w:rsidRPr="004B5B65" w:rsidRDefault="004B5B65" w:rsidP="004B5B65">
      <w:pPr>
        <w:jc w:val="center"/>
        <w:rPr>
          <w:b/>
          <w:sz w:val="26"/>
          <w:szCs w:val="26"/>
        </w:rPr>
      </w:pPr>
      <w:r w:rsidRPr="004B5B65">
        <w:rPr>
          <w:b/>
          <w:sz w:val="26"/>
          <w:szCs w:val="26"/>
        </w:rPr>
        <w:t>PENNSYLVANIA</w:t>
      </w:r>
    </w:p>
    <w:p w:rsidR="004B5B65" w:rsidRPr="004B5B65" w:rsidRDefault="004B5B65" w:rsidP="004B5B65">
      <w:pPr>
        <w:jc w:val="center"/>
        <w:rPr>
          <w:b/>
          <w:sz w:val="26"/>
          <w:szCs w:val="26"/>
        </w:rPr>
      </w:pPr>
      <w:r w:rsidRPr="004B5B65">
        <w:rPr>
          <w:b/>
          <w:sz w:val="26"/>
          <w:szCs w:val="26"/>
        </w:rPr>
        <w:t>PUBLIC UTILITY COMMISSION</w:t>
      </w:r>
    </w:p>
    <w:p w:rsidR="004B5B65" w:rsidRPr="004B5B65" w:rsidRDefault="004B5B65" w:rsidP="004B5B65">
      <w:pPr>
        <w:jc w:val="center"/>
        <w:rPr>
          <w:b/>
          <w:sz w:val="26"/>
          <w:szCs w:val="26"/>
        </w:rPr>
      </w:pPr>
      <w:r w:rsidRPr="004B5B65">
        <w:rPr>
          <w:b/>
          <w:sz w:val="26"/>
          <w:szCs w:val="26"/>
        </w:rPr>
        <w:t>Harrisburg, P</w:t>
      </w:r>
      <w:r w:rsidR="00574594">
        <w:rPr>
          <w:b/>
          <w:sz w:val="26"/>
          <w:szCs w:val="26"/>
        </w:rPr>
        <w:t>ennsylvania</w:t>
      </w:r>
      <w:r w:rsidRPr="004B5B65">
        <w:rPr>
          <w:b/>
          <w:sz w:val="26"/>
          <w:szCs w:val="26"/>
        </w:rPr>
        <w:t xml:space="preserve">  17105-3265</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155333" w:rsidP="00574594">
      <w:pPr>
        <w:jc w:val="right"/>
        <w:rPr>
          <w:sz w:val="26"/>
          <w:szCs w:val="26"/>
        </w:rPr>
      </w:pPr>
      <w:r>
        <w:rPr>
          <w:sz w:val="26"/>
          <w:szCs w:val="26"/>
        </w:rPr>
        <w:t xml:space="preserve">Public Meeting held </w:t>
      </w:r>
      <w:r w:rsidR="001831C2">
        <w:rPr>
          <w:sz w:val="26"/>
          <w:szCs w:val="26"/>
        </w:rPr>
        <w:t>January</w:t>
      </w:r>
      <w:r w:rsidR="00A228EB">
        <w:rPr>
          <w:sz w:val="26"/>
          <w:szCs w:val="26"/>
        </w:rPr>
        <w:t xml:space="preserve"> 1</w:t>
      </w:r>
      <w:r w:rsidR="001831C2">
        <w:rPr>
          <w:sz w:val="26"/>
          <w:szCs w:val="26"/>
        </w:rPr>
        <w:t>2</w:t>
      </w:r>
      <w:r w:rsidR="00A564D5">
        <w:rPr>
          <w:sz w:val="26"/>
          <w:szCs w:val="26"/>
        </w:rPr>
        <w:t>, 201</w:t>
      </w:r>
      <w:r w:rsidR="001831C2">
        <w:rPr>
          <w:sz w:val="26"/>
          <w:szCs w:val="26"/>
        </w:rPr>
        <w:t>2</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Commissioners Present:</w:t>
      </w:r>
    </w:p>
    <w:p w:rsidR="004B5B65" w:rsidRPr="004B5B65" w:rsidRDefault="004B5B65" w:rsidP="004B5B65">
      <w:pPr>
        <w:rPr>
          <w:sz w:val="26"/>
          <w:szCs w:val="26"/>
        </w:rPr>
      </w:pPr>
    </w:p>
    <w:p w:rsidR="004B5B65" w:rsidRDefault="004B5B65" w:rsidP="00ED4372">
      <w:pPr>
        <w:rPr>
          <w:sz w:val="26"/>
          <w:szCs w:val="26"/>
        </w:rPr>
      </w:pPr>
      <w:r w:rsidRPr="004B5B65">
        <w:rPr>
          <w:sz w:val="26"/>
          <w:szCs w:val="26"/>
        </w:rPr>
        <w:tab/>
      </w:r>
      <w:r w:rsidR="00ED4372">
        <w:rPr>
          <w:sz w:val="26"/>
          <w:szCs w:val="26"/>
        </w:rPr>
        <w:t xml:space="preserve">Robert F. </w:t>
      </w:r>
      <w:proofErr w:type="spellStart"/>
      <w:r w:rsidR="00ED4372">
        <w:rPr>
          <w:sz w:val="26"/>
          <w:szCs w:val="26"/>
        </w:rPr>
        <w:t>Powelson</w:t>
      </w:r>
      <w:proofErr w:type="spellEnd"/>
      <w:r w:rsidR="00ED4372">
        <w:rPr>
          <w:sz w:val="26"/>
          <w:szCs w:val="26"/>
        </w:rPr>
        <w:t>, Chairman</w:t>
      </w:r>
      <w:r w:rsidR="00470C5B">
        <w:rPr>
          <w:sz w:val="26"/>
          <w:szCs w:val="26"/>
        </w:rPr>
        <w:t>, Dissenting</w:t>
      </w:r>
    </w:p>
    <w:p w:rsidR="00ED4372" w:rsidRDefault="00ED4372" w:rsidP="00ED4372">
      <w:pPr>
        <w:rPr>
          <w:sz w:val="26"/>
          <w:szCs w:val="26"/>
        </w:rPr>
      </w:pPr>
      <w:r>
        <w:rPr>
          <w:sz w:val="26"/>
          <w:szCs w:val="26"/>
        </w:rPr>
        <w:tab/>
        <w:t>John F. Coleman, Jr., Vice Chairman</w:t>
      </w:r>
    </w:p>
    <w:p w:rsidR="004B5B65" w:rsidRPr="004B5B65" w:rsidRDefault="00ED4372" w:rsidP="004B5B65">
      <w:pPr>
        <w:rPr>
          <w:sz w:val="26"/>
          <w:szCs w:val="26"/>
        </w:rPr>
      </w:pPr>
      <w:r>
        <w:rPr>
          <w:sz w:val="26"/>
          <w:szCs w:val="26"/>
        </w:rPr>
        <w:tab/>
      </w:r>
      <w:r w:rsidR="004B5B65" w:rsidRPr="004B5B65">
        <w:rPr>
          <w:sz w:val="26"/>
          <w:szCs w:val="26"/>
        </w:rPr>
        <w:t>Wayne E. Gardner</w:t>
      </w:r>
    </w:p>
    <w:p w:rsidR="004B5B65" w:rsidRDefault="004B5B65" w:rsidP="004B5B65">
      <w:pPr>
        <w:rPr>
          <w:sz w:val="26"/>
          <w:szCs w:val="26"/>
        </w:rPr>
      </w:pPr>
      <w:r w:rsidRPr="004B5B65">
        <w:rPr>
          <w:sz w:val="26"/>
          <w:szCs w:val="26"/>
        </w:rPr>
        <w:tab/>
      </w:r>
      <w:r w:rsidR="00ED4372">
        <w:rPr>
          <w:sz w:val="26"/>
          <w:szCs w:val="26"/>
        </w:rPr>
        <w:t>James H. Cawley</w:t>
      </w:r>
    </w:p>
    <w:p w:rsidR="00D52F39" w:rsidRDefault="00CB1D48" w:rsidP="004B5B65">
      <w:pPr>
        <w:rPr>
          <w:sz w:val="26"/>
          <w:szCs w:val="26"/>
        </w:rPr>
      </w:pPr>
      <w:r>
        <w:rPr>
          <w:sz w:val="26"/>
          <w:szCs w:val="26"/>
        </w:rPr>
        <w:tab/>
        <w:t xml:space="preserve">Pamela A. </w:t>
      </w:r>
      <w:proofErr w:type="spellStart"/>
      <w:r w:rsidR="00D52F39">
        <w:rPr>
          <w:sz w:val="26"/>
          <w:szCs w:val="26"/>
        </w:rPr>
        <w:t>Witmer</w:t>
      </w:r>
      <w:proofErr w:type="spellEnd"/>
      <w:r w:rsidR="00470C5B">
        <w:rPr>
          <w:sz w:val="26"/>
          <w:szCs w:val="26"/>
        </w:rPr>
        <w:t>, Dissenting</w:t>
      </w:r>
    </w:p>
    <w:p w:rsidR="00074E29" w:rsidRDefault="00074E29" w:rsidP="004B5B65">
      <w:pPr>
        <w:rPr>
          <w:sz w:val="26"/>
          <w:szCs w:val="26"/>
        </w:rPr>
      </w:pPr>
    </w:p>
    <w:p w:rsidR="00074E29" w:rsidRDefault="00074E29" w:rsidP="004B5B65">
      <w:pPr>
        <w:rPr>
          <w:sz w:val="26"/>
          <w:szCs w:val="26"/>
        </w:rPr>
      </w:pPr>
    </w:p>
    <w:p w:rsidR="00074E29" w:rsidRDefault="00074E29" w:rsidP="004B5B65">
      <w:pPr>
        <w:rPr>
          <w:sz w:val="26"/>
          <w:szCs w:val="26"/>
        </w:rPr>
      </w:pPr>
      <w:r>
        <w:rPr>
          <w:sz w:val="26"/>
          <w:szCs w:val="26"/>
        </w:rPr>
        <w:t>Pennsylvania Public Utility Commission,</w:t>
      </w:r>
      <w:r>
        <w:rPr>
          <w:sz w:val="26"/>
          <w:szCs w:val="26"/>
        </w:rPr>
        <w:tab/>
      </w:r>
      <w:r>
        <w:rPr>
          <w:sz w:val="26"/>
          <w:szCs w:val="26"/>
        </w:rPr>
        <w:tab/>
      </w:r>
      <w:r>
        <w:rPr>
          <w:sz w:val="26"/>
          <w:szCs w:val="26"/>
        </w:rPr>
        <w:tab/>
      </w:r>
      <w:r>
        <w:rPr>
          <w:sz w:val="26"/>
          <w:szCs w:val="26"/>
        </w:rPr>
        <w:tab/>
      </w:r>
      <w:r>
        <w:rPr>
          <w:sz w:val="26"/>
          <w:szCs w:val="26"/>
        </w:rPr>
        <w:tab/>
      </w:r>
      <w:r w:rsidR="00574594">
        <w:rPr>
          <w:sz w:val="26"/>
          <w:szCs w:val="26"/>
        </w:rPr>
        <w:t xml:space="preserve">     </w:t>
      </w:r>
      <w:r>
        <w:rPr>
          <w:sz w:val="26"/>
          <w:szCs w:val="26"/>
        </w:rPr>
        <w:t>C</w:t>
      </w:r>
      <w:r w:rsidR="00792820">
        <w:rPr>
          <w:sz w:val="26"/>
          <w:szCs w:val="26"/>
        </w:rPr>
        <w:t>-</w:t>
      </w:r>
      <w:r w:rsidR="00B52190">
        <w:rPr>
          <w:sz w:val="26"/>
          <w:szCs w:val="26"/>
        </w:rPr>
        <w:t>2011-</w:t>
      </w:r>
      <w:r w:rsidR="00EC6DC3">
        <w:rPr>
          <w:sz w:val="26"/>
          <w:szCs w:val="26"/>
        </w:rPr>
        <w:t>22</w:t>
      </w:r>
      <w:r w:rsidR="00321814">
        <w:rPr>
          <w:sz w:val="26"/>
          <w:szCs w:val="26"/>
        </w:rPr>
        <w:t>01231</w:t>
      </w:r>
    </w:p>
    <w:p w:rsidR="00074E29" w:rsidRDefault="00074E29" w:rsidP="004B5B65">
      <w:pPr>
        <w:rPr>
          <w:sz w:val="26"/>
          <w:szCs w:val="26"/>
        </w:rPr>
      </w:pPr>
      <w:r>
        <w:rPr>
          <w:sz w:val="26"/>
          <w:szCs w:val="26"/>
        </w:rPr>
        <w:t>Bureau of Transportation and Safety</w:t>
      </w:r>
      <w:r>
        <w:rPr>
          <w:sz w:val="26"/>
          <w:szCs w:val="26"/>
        </w:rPr>
        <w:tab/>
      </w:r>
      <w:r>
        <w:rPr>
          <w:sz w:val="26"/>
          <w:szCs w:val="26"/>
        </w:rPr>
        <w:tab/>
      </w:r>
      <w:r>
        <w:rPr>
          <w:sz w:val="26"/>
          <w:szCs w:val="26"/>
        </w:rPr>
        <w:tab/>
      </w:r>
      <w:r>
        <w:rPr>
          <w:sz w:val="26"/>
          <w:szCs w:val="26"/>
        </w:rPr>
        <w:tab/>
      </w:r>
      <w:r>
        <w:rPr>
          <w:sz w:val="26"/>
          <w:szCs w:val="26"/>
        </w:rPr>
        <w:tab/>
      </w:r>
    </w:p>
    <w:p w:rsidR="006B3E4F" w:rsidRDefault="006B3E4F" w:rsidP="004B5B6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6B3E4F" w:rsidRDefault="006B3E4F" w:rsidP="004B5B65">
      <w:pPr>
        <w:rPr>
          <w:sz w:val="26"/>
          <w:szCs w:val="26"/>
        </w:rPr>
      </w:pPr>
      <w:r>
        <w:rPr>
          <w:sz w:val="26"/>
          <w:szCs w:val="26"/>
        </w:rPr>
        <w:tab/>
      </w:r>
      <w:r>
        <w:rPr>
          <w:sz w:val="26"/>
          <w:szCs w:val="26"/>
        </w:rPr>
        <w:tab/>
      </w:r>
      <w:proofErr w:type="gramStart"/>
      <w:r>
        <w:rPr>
          <w:sz w:val="26"/>
          <w:szCs w:val="26"/>
        </w:rPr>
        <w:t>v</w:t>
      </w:r>
      <w:proofErr w:type="gramEnd"/>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6B3E4F" w:rsidRDefault="006B3E4F" w:rsidP="004B5B65">
      <w:pPr>
        <w:rPr>
          <w:sz w:val="26"/>
          <w:szCs w:val="26"/>
        </w:rPr>
      </w:pPr>
    </w:p>
    <w:p w:rsidR="004B5B65" w:rsidRDefault="00321814" w:rsidP="004B5B65">
      <w:pPr>
        <w:rPr>
          <w:sz w:val="26"/>
          <w:szCs w:val="26"/>
        </w:rPr>
      </w:pPr>
      <w:r>
        <w:rPr>
          <w:sz w:val="26"/>
          <w:szCs w:val="26"/>
        </w:rPr>
        <w:t>Capital City Cab Service, Inc.</w:t>
      </w:r>
    </w:p>
    <w:p w:rsidR="00EC6DC3" w:rsidRPr="004B5B65" w:rsidRDefault="00EC6DC3" w:rsidP="004B5B65">
      <w:pPr>
        <w:rPr>
          <w:sz w:val="26"/>
          <w:szCs w:val="26"/>
        </w:rPr>
      </w:pPr>
    </w:p>
    <w:p w:rsidR="00EC6DC3" w:rsidRDefault="00EC6DC3" w:rsidP="00055068">
      <w:pPr>
        <w:spacing w:line="360" w:lineRule="auto"/>
        <w:jc w:val="center"/>
        <w:rPr>
          <w:b/>
          <w:sz w:val="26"/>
          <w:szCs w:val="26"/>
        </w:rPr>
      </w:pPr>
    </w:p>
    <w:p w:rsidR="004B5B65" w:rsidRPr="00055068" w:rsidRDefault="004B5B65" w:rsidP="00055068">
      <w:pPr>
        <w:spacing w:line="360" w:lineRule="auto"/>
        <w:jc w:val="center"/>
        <w:rPr>
          <w:b/>
          <w:sz w:val="26"/>
          <w:szCs w:val="26"/>
        </w:rPr>
      </w:pPr>
      <w:r w:rsidRPr="00055068">
        <w:rPr>
          <w:b/>
          <w:sz w:val="26"/>
          <w:szCs w:val="26"/>
        </w:rPr>
        <w:t>OPINION AND ORDER</w:t>
      </w:r>
    </w:p>
    <w:p w:rsidR="004B5B65" w:rsidRPr="00055068" w:rsidRDefault="004B5B65" w:rsidP="00055068">
      <w:pPr>
        <w:spacing w:line="360" w:lineRule="auto"/>
        <w:jc w:val="center"/>
        <w:rPr>
          <w:b/>
          <w:sz w:val="26"/>
          <w:szCs w:val="26"/>
        </w:rPr>
      </w:pPr>
    </w:p>
    <w:p w:rsidR="004B5B65" w:rsidRDefault="004B5B65" w:rsidP="00055068">
      <w:pPr>
        <w:spacing w:line="360" w:lineRule="auto"/>
        <w:rPr>
          <w:b/>
          <w:sz w:val="26"/>
          <w:szCs w:val="26"/>
        </w:rPr>
      </w:pPr>
      <w:r w:rsidRPr="00055068">
        <w:rPr>
          <w:b/>
          <w:sz w:val="26"/>
          <w:szCs w:val="26"/>
        </w:rPr>
        <w:t>BY THE COMMISSION:</w:t>
      </w:r>
    </w:p>
    <w:p w:rsidR="00055068" w:rsidRDefault="00055068" w:rsidP="00055068">
      <w:pPr>
        <w:spacing w:line="360" w:lineRule="auto"/>
        <w:rPr>
          <w:b/>
          <w:sz w:val="26"/>
          <w:szCs w:val="26"/>
        </w:rPr>
      </w:pPr>
    </w:p>
    <w:p w:rsidR="005C7970" w:rsidRDefault="00644AA6" w:rsidP="00574594">
      <w:pPr>
        <w:spacing w:line="360" w:lineRule="auto"/>
        <w:ind w:firstLine="1440"/>
        <w:rPr>
          <w:sz w:val="26"/>
          <w:szCs w:val="26"/>
        </w:rPr>
      </w:pPr>
      <w:r>
        <w:rPr>
          <w:sz w:val="26"/>
          <w:szCs w:val="26"/>
        </w:rPr>
        <w:t xml:space="preserve">Before </w:t>
      </w:r>
      <w:r w:rsidR="00BD0C52">
        <w:rPr>
          <w:sz w:val="26"/>
          <w:szCs w:val="26"/>
        </w:rPr>
        <w:t>the Pennsylvania Public Utility Commission (Commission)</w:t>
      </w:r>
      <w:r w:rsidR="009C55D2">
        <w:rPr>
          <w:sz w:val="26"/>
          <w:szCs w:val="26"/>
        </w:rPr>
        <w:t xml:space="preserve"> </w:t>
      </w:r>
      <w:r w:rsidR="00E65E6C">
        <w:rPr>
          <w:sz w:val="26"/>
          <w:szCs w:val="26"/>
        </w:rPr>
        <w:t xml:space="preserve">for consideration and disposition is </w:t>
      </w:r>
      <w:r w:rsidR="00BD0C52">
        <w:rPr>
          <w:sz w:val="26"/>
          <w:szCs w:val="26"/>
        </w:rPr>
        <w:t>a</w:t>
      </w:r>
      <w:r w:rsidR="00E65E6C">
        <w:rPr>
          <w:sz w:val="26"/>
          <w:szCs w:val="26"/>
        </w:rPr>
        <w:t xml:space="preserve"> </w:t>
      </w:r>
      <w:r w:rsidR="00915C5F">
        <w:rPr>
          <w:sz w:val="26"/>
          <w:szCs w:val="26"/>
        </w:rPr>
        <w:t xml:space="preserve">Settlement Agreement (Settlement) </w:t>
      </w:r>
      <w:r w:rsidR="00BD0C52">
        <w:rPr>
          <w:sz w:val="26"/>
          <w:szCs w:val="26"/>
        </w:rPr>
        <w:t xml:space="preserve">entered into </w:t>
      </w:r>
      <w:r w:rsidR="00915C5F">
        <w:rPr>
          <w:sz w:val="26"/>
          <w:szCs w:val="26"/>
        </w:rPr>
        <w:t xml:space="preserve">between </w:t>
      </w:r>
      <w:r w:rsidR="00E65E6C">
        <w:rPr>
          <w:sz w:val="26"/>
          <w:szCs w:val="26"/>
        </w:rPr>
        <w:t xml:space="preserve">the Commission’s </w:t>
      </w:r>
      <w:r w:rsidR="00A228EB">
        <w:rPr>
          <w:sz w:val="26"/>
          <w:szCs w:val="26"/>
        </w:rPr>
        <w:t xml:space="preserve">Law Bureau Prosecutory Staff (LBPS), acting on behalf of the Commission’s Bureau of </w:t>
      </w:r>
      <w:r w:rsidR="001642AA">
        <w:rPr>
          <w:sz w:val="26"/>
          <w:szCs w:val="26"/>
        </w:rPr>
        <w:t>Transportation and Safety</w:t>
      </w:r>
      <w:r w:rsidR="00A228EB">
        <w:rPr>
          <w:sz w:val="26"/>
          <w:szCs w:val="26"/>
        </w:rPr>
        <w:t xml:space="preserve"> (BTS),</w:t>
      </w:r>
      <w:r w:rsidR="00A228EB">
        <w:rPr>
          <w:rStyle w:val="FootnoteReference"/>
          <w:sz w:val="26"/>
          <w:szCs w:val="26"/>
        </w:rPr>
        <w:footnoteReference w:id="1"/>
      </w:r>
      <w:r w:rsidR="00A228EB">
        <w:rPr>
          <w:sz w:val="26"/>
          <w:szCs w:val="26"/>
        </w:rPr>
        <w:t xml:space="preserve"> </w:t>
      </w:r>
      <w:r w:rsidR="00E65E6C">
        <w:rPr>
          <w:sz w:val="26"/>
          <w:szCs w:val="26"/>
        </w:rPr>
        <w:t xml:space="preserve">and </w:t>
      </w:r>
      <w:r w:rsidR="00D244FF">
        <w:rPr>
          <w:sz w:val="26"/>
          <w:szCs w:val="26"/>
        </w:rPr>
        <w:t xml:space="preserve">Capital City Cab </w:t>
      </w:r>
      <w:r w:rsidR="00D244FF">
        <w:rPr>
          <w:sz w:val="26"/>
          <w:szCs w:val="26"/>
        </w:rPr>
        <w:lastRenderedPageBreak/>
        <w:t>Service, Inc.</w:t>
      </w:r>
      <w:r w:rsidR="002D1536">
        <w:rPr>
          <w:sz w:val="26"/>
          <w:szCs w:val="26"/>
        </w:rPr>
        <w:t xml:space="preserve"> </w:t>
      </w:r>
      <w:r w:rsidR="00E91948">
        <w:rPr>
          <w:sz w:val="26"/>
          <w:szCs w:val="26"/>
        </w:rPr>
        <w:t xml:space="preserve">(Respondent) for resolution of </w:t>
      </w:r>
      <w:r w:rsidR="00F82D32">
        <w:rPr>
          <w:sz w:val="26"/>
          <w:szCs w:val="26"/>
        </w:rPr>
        <w:t xml:space="preserve">allegations regarding violations of the </w:t>
      </w:r>
      <w:r w:rsidR="00BD0C52">
        <w:rPr>
          <w:sz w:val="26"/>
          <w:szCs w:val="26"/>
        </w:rPr>
        <w:t xml:space="preserve">Public Utility Code (Code), 66 Pa. C.S. §§ 101, </w:t>
      </w:r>
      <w:r w:rsidR="00BD0C52">
        <w:rPr>
          <w:i/>
          <w:sz w:val="26"/>
          <w:szCs w:val="26"/>
        </w:rPr>
        <w:t xml:space="preserve">et </w:t>
      </w:r>
      <w:r w:rsidR="00BD0C52" w:rsidRPr="00D52F39">
        <w:rPr>
          <w:i/>
          <w:sz w:val="26"/>
          <w:szCs w:val="26"/>
        </w:rPr>
        <w:t>seq</w:t>
      </w:r>
      <w:r w:rsidR="00BD0C52">
        <w:rPr>
          <w:sz w:val="26"/>
          <w:szCs w:val="26"/>
        </w:rPr>
        <w:t xml:space="preserve">., and the </w:t>
      </w:r>
      <w:r w:rsidR="001E0443" w:rsidRPr="00BD0C52">
        <w:rPr>
          <w:sz w:val="26"/>
          <w:szCs w:val="26"/>
        </w:rPr>
        <w:t>Commission’s</w:t>
      </w:r>
      <w:r w:rsidR="001E0443">
        <w:rPr>
          <w:sz w:val="26"/>
          <w:szCs w:val="26"/>
        </w:rPr>
        <w:t xml:space="preserve"> Regulations, 52</w:t>
      </w:r>
      <w:r w:rsidR="00574594">
        <w:rPr>
          <w:sz w:val="26"/>
          <w:szCs w:val="26"/>
        </w:rPr>
        <w:t> </w:t>
      </w:r>
      <w:r w:rsidR="001E0443">
        <w:rPr>
          <w:sz w:val="26"/>
          <w:szCs w:val="26"/>
        </w:rPr>
        <w:t>Pa.</w:t>
      </w:r>
      <w:r w:rsidR="008A00D0">
        <w:rPr>
          <w:sz w:val="26"/>
          <w:szCs w:val="26"/>
        </w:rPr>
        <w:t xml:space="preserve"> </w:t>
      </w:r>
      <w:r w:rsidR="001E0443">
        <w:rPr>
          <w:sz w:val="26"/>
          <w:szCs w:val="26"/>
        </w:rPr>
        <w:t xml:space="preserve">Code </w:t>
      </w:r>
      <w:r w:rsidR="00CF7BB3">
        <w:rPr>
          <w:sz w:val="26"/>
          <w:szCs w:val="26"/>
        </w:rPr>
        <w:t xml:space="preserve"> </w:t>
      </w:r>
      <w:r w:rsidR="001151A0">
        <w:rPr>
          <w:sz w:val="26"/>
          <w:szCs w:val="26"/>
        </w:rPr>
        <w:t>§§</w:t>
      </w:r>
      <w:r w:rsidR="00512AA7">
        <w:rPr>
          <w:sz w:val="26"/>
          <w:szCs w:val="26"/>
        </w:rPr>
        <w:t xml:space="preserve"> </w:t>
      </w:r>
      <w:r w:rsidR="001E0443">
        <w:rPr>
          <w:sz w:val="26"/>
          <w:szCs w:val="26"/>
        </w:rPr>
        <w:t xml:space="preserve">1.1, </w:t>
      </w:r>
      <w:r w:rsidR="001E0443" w:rsidRPr="001E0443">
        <w:rPr>
          <w:i/>
          <w:sz w:val="26"/>
          <w:szCs w:val="26"/>
        </w:rPr>
        <w:t>et se</w:t>
      </w:r>
      <w:r w:rsidR="00766510">
        <w:rPr>
          <w:i/>
          <w:sz w:val="26"/>
          <w:szCs w:val="26"/>
        </w:rPr>
        <w:t>q</w:t>
      </w:r>
      <w:r w:rsidR="00766510">
        <w:rPr>
          <w:sz w:val="26"/>
          <w:szCs w:val="26"/>
        </w:rPr>
        <w:t>.</w:t>
      </w:r>
    </w:p>
    <w:p w:rsidR="009C0E57" w:rsidRDefault="009C0E57" w:rsidP="00455B00">
      <w:pPr>
        <w:tabs>
          <w:tab w:val="left" w:pos="3240"/>
        </w:tabs>
        <w:spacing w:line="360" w:lineRule="auto"/>
        <w:jc w:val="center"/>
        <w:rPr>
          <w:b/>
          <w:sz w:val="26"/>
          <w:szCs w:val="26"/>
        </w:rPr>
      </w:pPr>
    </w:p>
    <w:p w:rsidR="00644AA6" w:rsidRPr="00D43290" w:rsidRDefault="00644AA6" w:rsidP="00455B00">
      <w:pPr>
        <w:tabs>
          <w:tab w:val="left" w:pos="3240"/>
        </w:tabs>
        <w:spacing w:line="360" w:lineRule="auto"/>
        <w:jc w:val="center"/>
        <w:rPr>
          <w:sz w:val="26"/>
          <w:szCs w:val="26"/>
        </w:rPr>
      </w:pPr>
      <w:r w:rsidRPr="00134A26">
        <w:rPr>
          <w:b/>
          <w:sz w:val="26"/>
          <w:szCs w:val="26"/>
        </w:rPr>
        <w:t>History of the Proceeding</w:t>
      </w:r>
    </w:p>
    <w:p w:rsidR="00A80A13" w:rsidRPr="00134A26" w:rsidRDefault="00A80A13" w:rsidP="00644AA6">
      <w:pPr>
        <w:spacing w:line="360" w:lineRule="auto"/>
        <w:jc w:val="center"/>
        <w:rPr>
          <w:b/>
          <w:sz w:val="26"/>
          <w:szCs w:val="26"/>
        </w:rPr>
      </w:pPr>
    </w:p>
    <w:p w:rsidR="0082299E" w:rsidRDefault="009C55D2" w:rsidP="00055068">
      <w:pPr>
        <w:spacing w:line="360" w:lineRule="auto"/>
        <w:ind w:firstLine="1440"/>
        <w:rPr>
          <w:sz w:val="26"/>
          <w:szCs w:val="26"/>
        </w:rPr>
      </w:pPr>
      <w:r>
        <w:rPr>
          <w:sz w:val="26"/>
          <w:szCs w:val="26"/>
        </w:rPr>
        <w:t xml:space="preserve">On </w:t>
      </w:r>
      <w:r w:rsidR="00D244FF">
        <w:rPr>
          <w:sz w:val="26"/>
          <w:szCs w:val="26"/>
        </w:rPr>
        <w:t>October 25, 1997</w:t>
      </w:r>
      <w:r w:rsidR="001D3F66">
        <w:rPr>
          <w:sz w:val="26"/>
          <w:szCs w:val="26"/>
        </w:rPr>
        <w:t>,</w:t>
      </w:r>
      <w:r>
        <w:rPr>
          <w:sz w:val="26"/>
          <w:szCs w:val="26"/>
        </w:rPr>
        <w:t xml:space="preserve"> the Respondent was issued a Certificate of Public Convenience (Certificate)</w:t>
      </w:r>
      <w:r w:rsidR="00C52AAF">
        <w:rPr>
          <w:sz w:val="26"/>
          <w:szCs w:val="26"/>
        </w:rPr>
        <w:t>, at Docket No. A-</w:t>
      </w:r>
      <w:r w:rsidR="00D244FF">
        <w:rPr>
          <w:sz w:val="26"/>
          <w:szCs w:val="26"/>
        </w:rPr>
        <w:t>00113875, for call or demand authority.</w:t>
      </w:r>
    </w:p>
    <w:p w:rsidR="006C7C9C" w:rsidRDefault="006C7C9C" w:rsidP="00055068">
      <w:pPr>
        <w:spacing w:line="360" w:lineRule="auto"/>
        <w:ind w:firstLine="1440"/>
        <w:rPr>
          <w:sz w:val="26"/>
          <w:szCs w:val="26"/>
        </w:rPr>
      </w:pPr>
    </w:p>
    <w:p w:rsidR="00D244FF" w:rsidRDefault="00D244FF" w:rsidP="00A228EB">
      <w:pPr>
        <w:spacing w:line="360" w:lineRule="auto"/>
        <w:ind w:firstLine="1440"/>
        <w:rPr>
          <w:sz w:val="26"/>
          <w:szCs w:val="26"/>
        </w:rPr>
      </w:pPr>
      <w:r>
        <w:rPr>
          <w:sz w:val="26"/>
          <w:szCs w:val="26"/>
        </w:rPr>
        <w:t xml:space="preserve">On September 27, </w:t>
      </w:r>
      <w:r w:rsidR="00A05651">
        <w:rPr>
          <w:sz w:val="26"/>
          <w:szCs w:val="26"/>
        </w:rPr>
        <w:t>2010, the Commission received a</w:t>
      </w:r>
      <w:r>
        <w:rPr>
          <w:sz w:val="26"/>
          <w:szCs w:val="26"/>
        </w:rPr>
        <w:t xml:space="preserve"> Complaint from an individual (Complainant) who alleged that on September 24, 2011, the Respondent’s driver charged a flat rate of $15 from Devonshire Road, Harrisburg, Pennsylvania, to downtown Harrisburg.  The Complainant further alleged that the driver’s meter was not running, and that the return trip, provided by a different driver, cost $11.20.</w:t>
      </w:r>
    </w:p>
    <w:p w:rsidR="00D244FF" w:rsidRDefault="00D244FF" w:rsidP="00A05651">
      <w:pPr>
        <w:spacing w:line="360" w:lineRule="auto"/>
        <w:ind w:firstLine="1440"/>
        <w:rPr>
          <w:sz w:val="26"/>
          <w:szCs w:val="26"/>
        </w:rPr>
      </w:pPr>
    </w:p>
    <w:p w:rsidR="00292276" w:rsidRDefault="00292276" w:rsidP="00CF12CB">
      <w:pPr>
        <w:spacing w:line="360" w:lineRule="auto"/>
        <w:ind w:firstLine="1440"/>
        <w:rPr>
          <w:sz w:val="26"/>
          <w:szCs w:val="26"/>
        </w:rPr>
      </w:pPr>
      <w:r>
        <w:rPr>
          <w:sz w:val="26"/>
          <w:szCs w:val="26"/>
        </w:rPr>
        <w:t xml:space="preserve">Pursuant to its enforcement responsibilities, </w:t>
      </w:r>
      <w:r w:rsidR="00A05651">
        <w:rPr>
          <w:sz w:val="26"/>
          <w:szCs w:val="26"/>
        </w:rPr>
        <w:t xml:space="preserve">and following an investigation by Commission Enforcement Officer Timothy Troxell (Officer Troxell), </w:t>
      </w:r>
      <w:r w:rsidR="00A228EB">
        <w:rPr>
          <w:sz w:val="26"/>
          <w:szCs w:val="26"/>
        </w:rPr>
        <w:t xml:space="preserve">BTS </w:t>
      </w:r>
      <w:r w:rsidR="0082299E">
        <w:rPr>
          <w:sz w:val="26"/>
          <w:szCs w:val="26"/>
        </w:rPr>
        <w:t>filed a Formal Complaint against the Respondent alleging that the Respondent</w:t>
      </w:r>
      <w:r w:rsidR="00DC7E4F">
        <w:rPr>
          <w:sz w:val="26"/>
          <w:szCs w:val="26"/>
        </w:rPr>
        <w:t xml:space="preserve"> </w:t>
      </w:r>
      <w:r w:rsidR="006C7C9C">
        <w:rPr>
          <w:sz w:val="26"/>
          <w:szCs w:val="26"/>
        </w:rPr>
        <w:t>violat</w:t>
      </w:r>
      <w:r w:rsidR="00A05651">
        <w:rPr>
          <w:sz w:val="26"/>
          <w:szCs w:val="26"/>
        </w:rPr>
        <w:t xml:space="preserve">ed </w:t>
      </w:r>
      <w:r w:rsidR="00574594">
        <w:rPr>
          <w:sz w:val="26"/>
          <w:szCs w:val="26"/>
        </w:rPr>
        <w:t>Section </w:t>
      </w:r>
      <w:r w:rsidR="00574594" w:rsidRPr="00574594">
        <w:rPr>
          <w:sz w:val="26"/>
          <w:szCs w:val="26"/>
        </w:rPr>
        <w:t>1303 of the Public Utility Code (Code)</w:t>
      </w:r>
      <w:r w:rsidR="00574594">
        <w:rPr>
          <w:sz w:val="26"/>
          <w:szCs w:val="26"/>
        </w:rPr>
        <w:t xml:space="preserve">, </w:t>
      </w:r>
      <w:r w:rsidR="00DC7E4F">
        <w:rPr>
          <w:sz w:val="26"/>
          <w:szCs w:val="26"/>
        </w:rPr>
        <w:t xml:space="preserve">66 Pa. C.S. § </w:t>
      </w:r>
      <w:r w:rsidR="00A05651">
        <w:rPr>
          <w:sz w:val="26"/>
          <w:szCs w:val="26"/>
        </w:rPr>
        <w:t>1303</w:t>
      </w:r>
      <w:r w:rsidR="00574594">
        <w:rPr>
          <w:sz w:val="26"/>
          <w:szCs w:val="26"/>
        </w:rPr>
        <w:t>, and  Section 29.314(b)(7) of the Commission’s Regulations, 5</w:t>
      </w:r>
      <w:r w:rsidR="006C7C9C">
        <w:rPr>
          <w:sz w:val="26"/>
          <w:szCs w:val="26"/>
        </w:rPr>
        <w:t>2 Pa. Code §</w:t>
      </w:r>
      <w:r w:rsidR="00A05651">
        <w:rPr>
          <w:sz w:val="26"/>
          <w:szCs w:val="26"/>
        </w:rPr>
        <w:t xml:space="preserve"> 29.314(b)(7), by not charging in accordance with its current rates on file with the Commission, and by not using a meter to charge a passenger the proper rate.  Additionally, during the course of the investigation, the Respondent was unable to provide Officer Troxell with the driver’s log, in violation of</w:t>
      </w:r>
      <w:r w:rsidR="00574594">
        <w:rPr>
          <w:sz w:val="26"/>
          <w:szCs w:val="26"/>
        </w:rPr>
        <w:t xml:space="preserve"> Section 29.313(c) of the Commissions Regulations,</w:t>
      </w:r>
      <w:r w:rsidR="00A05651">
        <w:rPr>
          <w:sz w:val="26"/>
          <w:szCs w:val="26"/>
        </w:rPr>
        <w:t xml:space="preserve"> 52 Pa. </w:t>
      </w:r>
      <w:r w:rsidR="00CF12CB">
        <w:rPr>
          <w:sz w:val="26"/>
          <w:szCs w:val="26"/>
        </w:rPr>
        <w:t>Code</w:t>
      </w:r>
      <w:r w:rsidR="00A05651">
        <w:rPr>
          <w:sz w:val="26"/>
          <w:szCs w:val="26"/>
        </w:rPr>
        <w:t xml:space="preserve"> </w:t>
      </w:r>
      <w:r w:rsidR="004770CF">
        <w:rPr>
          <w:sz w:val="26"/>
          <w:szCs w:val="26"/>
        </w:rPr>
        <w:t>§</w:t>
      </w:r>
      <w:r w:rsidR="00574594">
        <w:rPr>
          <w:sz w:val="26"/>
          <w:szCs w:val="26"/>
        </w:rPr>
        <w:t> </w:t>
      </w:r>
      <w:r w:rsidR="00A05651">
        <w:rPr>
          <w:sz w:val="26"/>
          <w:szCs w:val="26"/>
        </w:rPr>
        <w:t>29.313(c).</w:t>
      </w:r>
      <w:r w:rsidR="006C7C9C">
        <w:rPr>
          <w:sz w:val="26"/>
          <w:szCs w:val="26"/>
        </w:rPr>
        <w:t xml:space="preserve"> </w:t>
      </w:r>
      <w:r w:rsidR="00A05651">
        <w:rPr>
          <w:sz w:val="26"/>
          <w:szCs w:val="26"/>
        </w:rPr>
        <w:t xml:space="preserve"> </w:t>
      </w:r>
      <w:r w:rsidR="00A228EB">
        <w:rPr>
          <w:sz w:val="26"/>
          <w:szCs w:val="26"/>
        </w:rPr>
        <w:t>BTS</w:t>
      </w:r>
      <w:r w:rsidR="006C7C9C">
        <w:rPr>
          <w:sz w:val="26"/>
          <w:szCs w:val="26"/>
        </w:rPr>
        <w:t xml:space="preserve"> </w:t>
      </w:r>
      <w:r w:rsidR="00E10A4B">
        <w:rPr>
          <w:sz w:val="26"/>
          <w:szCs w:val="26"/>
        </w:rPr>
        <w:t xml:space="preserve">sought a </w:t>
      </w:r>
      <w:r w:rsidR="004770CF">
        <w:rPr>
          <w:sz w:val="26"/>
          <w:szCs w:val="26"/>
        </w:rPr>
        <w:t xml:space="preserve">total </w:t>
      </w:r>
      <w:r w:rsidR="00E10A4B">
        <w:rPr>
          <w:sz w:val="26"/>
          <w:szCs w:val="26"/>
        </w:rPr>
        <w:t>civil penalty of $</w:t>
      </w:r>
      <w:r w:rsidR="004770CF">
        <w:rPr>
          <w:sz w:val="26"/>
          <w:szCs w:val="26"/>
        </w:rPr>
        <w:t>3</w:t>
      </w:r>
      <w:r w:rsidR="00E10A4B">
        <w:rPr>
          <w:sz w:val="26"/>
          <w:szCs w:val="26"/>
        </w:rPr>
        <w:t>00 for the violation</w:t>
      </w:r>
      <w:r w:rsidR="004770CF">
        <w:rPr>
          <w:sz w:val="26"/>
          <w:szCs w:val="26"/>
        </w:rPr>
        <w:t>s; $250 for the tariff violation and $50 for failure to maintain logs for at least two years.</w:t>
      </w:r>
    </w:p>
    <w:p w:rsidR="00A44848" w:rsidRDefault="00A44848" w:rsidP="00D43290">
      <w:pPr>
        <w:spacing w:line="360" w:lineRule="auto"/>
        <w:rPr>
          <w:sz w:val="26"/>
          <w:szCs w:val="26"/>
        </w:rPr>
      </w:pPr>
    </w:p>
    <w:p w:rsidR="00275A8C" w:rsidRDefault="00A44848" w:rsidP="002A1620">
      <w:pPr>
        <w:spacing w:line="360" w:lineRule="auto"/>
        <w:rPr>
          <w:sz w:val="26"/>
          <w:szCs w:val="26"/>
        </w:rPr>
      </w:pPr>
      <w:r>
        <w:rPr>
          <w:sz w:val="26"/>
          <w:szCs w:val="26"/>
        </w:rPr>
        <w:tab/>
      </w:r>
      <w:r>
        <w:rPr>
          <w:sz w:val="26"/>
          <w:szCs w:val="26"/>
        </w:rPr>
        <w:tab/>
        <w:t xml:space="preserve">The Complaint, which was served on the Respondent on </w:t>
      </w:r>
      <w:r w:rsidR="00CE7D9A">
        <w:rPr>
          <w:sz w:val="26"/>
          <w:szCs w:val="26"/>
        </w:rPr>
        <w:t>May 16</w:t>
      </w:r>
      <w:r w:rsidR="00E10A4B">
        <w:rPr>
          <w:sz w:val="26"/>
          <w:szCs w:val="26"/>
        </w:rPr>
        <w:t>,</w:t>
      </w:r>
      <w:r w:rsidR="00B57227">
        <w:rPr>
          <w:sz w:val="26"/>
          <w:szCs w:val="26"/>
        </w:rPr>
        <w:t xml:space="preserve"> 201</w:t>
      </w:r>
      <w:r w:rsidR="00E10A4B">
        <w:rPr>
          <w:sz w:val="26"/>
          <w:szCs w:val="26"/>
        </w:rPr>
        <w:t>1</w:t>
      </w:r>
      <w:r w:rsidR="00B57227">
        <w:rPr>
          <w:sz w:val="26"/>
          <w:szCs w:val="26"/>
        </w:rPr>
        <w:t xml:space="preserve">, </w:t>
      </w:r>
      <w:r>
        <w:rPr>
          <w:sz w:val="26"/>
          <w:szCs w:val="26"/>
        </w:rPr>
        <w:t xml:space="preserve">advised the Respondent that it must file an Answer to the Complaint within twenty days </w:t>
      </w:r>
      <w:r>
        <w:rPr>
          <w:sz w:val="26"/>
          <w:szCs w:val="26"/>
        </w:rPr>
        <w:lastRenderedPageBreak/>
        <w:t>of the date of service of the Complaint</w:t>
      </w:r>
      <w:r w:rsidR="00463809">
        <w:rPr>
          <w:sz w:val="26"/>
          <w:szCs w:val="26"/>
        </w:rPr>
        <w:t xml:space="preserve">.  </w:t>
      </w:r>
      <w:r w:rsidR="00FE366F">
        <w:rPr>
          <w:sz w:val="26"/>
          <w:szCs w:val="26"/>
        </w:rPr>
        <w:t xml:space="preserve">In response to the Complaint, the Respondent filed an Answer on </w:t>
      </w:r>
      <w:r w:rsidR="00CE7D9A">
        <w:rPr>
          <w:sz w:val="26"/>
          <w:szCs w:val="26"/>
        </w:rPr>
        <w:t>June 7, 2011.</w:t>
      </w:r>
      <w:r w:rsidR="00FE366F">
        <w:rPr>
          <w:sz w:val="26"/>
          <w:szCs w:val="26"/>
        </w:rPr>
        <w:t xml:space="preserve">  </w:t>
      </w:r>
      <w:r w:rsidR="00275A8C">
        <w:rPr>
          <w:sz w:val="26"/>
          <w:szCs w:val="26"/>
        </w:rPr>
        <w:t>In its Answer, t</w:t>
      </w:r>
      <w:r w:rsidR="00FE366F">
        <w:rPr>
          <w:sz w:val="26"/>
          <w:szCs w:val="26"/>
        </w:rPr>
        <w:t xml:space="preserve">he </w:t>
      </w:r>
      <w:r w:rsidR="00CF0A9E">
        <w:rPr>
          <w:sz w:val="26"/>
          <w:szCs w:val="26"/>
        </w:rPr>
        <w:t xml:space="preserve">Respondent </w:t>
      </w:r>
      <w:r w:rsidR="00CE7D9A">
        <w:rPr>
          <w:sz w:val="26"/>
          <w:szCs w:val="26"/>
        </w:rPr>
        <w:t>asserted</w:t>
      </w:r>
      <w:r w:rsidR="00CF0A9E">
        <w:rPr>
          <w:sz w:val="26"/>
          <w:szCs w:val="26"/>
        </w:rPr>
        <w:t xml:space="preserve"> that </w:t>
      </w:r>
      <w:r w:rsidR="00CE7D9A">
        <w:rPr>
          <w:sz w:val="26"/>
          <w:szCs w:val="26"/>
        </w:rPr>
        <w:t>the driver in question denied not running the meter, that the meter at destination was estimated at</w:t>
      </w:r>
      <w:r w:rsidR="00574594">
        <w:rPr>
          <w:sz w:val="26"/>
          <w:szCs w:val="26"/>
        </w:rPr>
        <w:t> </w:t>
      </w:r>
      <w:r w:rsidR="00CE7D9A">
        <w:rPr>
          <w:sz w:val="26"/>
          <w:szCs w:val="26"/>
        </w:rPr>
        <w:t>$10, and that he was given $15 and told to keep the balance.  Furthermore, the Respondent avers that the driver was terminated for refusing to provide it with the log sheet in question.</w:t>
      </w:r>
    </w:p>
    <w:p w:rsidR="008A00D0" w:rsidRDefault="008A00D0" w:rsidP="00275A8C">
      <w:pPr>
        <w:spacing w:line="360" w:lineRule="auto"/>
        <w:ind w:firstLine="1440"/>
        <w:rPr>
          <w:sz w:val="26"/>
          <w:szCs w:val="26"/>
        </w:rPr>
      </w:pPr>
    </w:p>
    <w:p w:rsidR="00013844" w:rsidRDefault="007050F4" w:rsidP="006552E8">
      <w:pPr>
        <w:spacing w:line="360" w:lineRule="auto"/>
        <w:ind w:firstLine="1440"/>
        <w:rPr>
          <w:sz w:val="26"/>
          <w:szCs w:val="26"/>
        </w:rPr>
      </w:pPr>
      <w:r>
        <w:rPr>
          <w:sz w:val="26"/>
          <w:szCs w:val="26"/>
        </w:rPr>
        <w:t xml:space="preserve">On </w:t>
      </w:r>
      <w:r w:rsidR="00CE7D9A">
        <w:rPr>
          <w:sz w:val="26"/>
          <w:szCs w:val="26"/>
        </w:rPr>
        <w:t>October 24</w:t>
      </w:r>
      <w:r>
        <w:rPr>
          <w:sz w:val="26"/>
          <w:szCs w:val="26"/>
        </w:rPr>
        <w:t xml:space="preserve">, 2011, the Parties filed a Settlement and urged the Commission to approve the terms of the Settlement </w:t>
      </w:r>
      <w:r w:rsidR="00F24353">
        <w:rPr>
          <w:sz w:val="26"/>
          <w:szCs w:val="26"/>
        </w:rPr>
        <w:t>as being</w:t>
      </w:r>
      <w:r w:rsidR="006552E8">
        <w:rPr>
          <w:sz w:val="26"/>
          <w:szCs w:val="26"/>
        </w:rPr>
        <w:t xml:space="preserve"> </w:t>
      </w:r>
      <w:r w:rsidR="00F24353">
        <w:rPr>
          <w:sz w:val="26"/>
          <w:szCs w:val="26"/>
        </w:rPr>
        <w:t>in the public interest, because the Settlement addresses and attempts to remedy all allega</w:t>
      </w:r>
      <w:r w:rsidR="00574594">
        <w:rPr>
          <w:sz w:val="26"/>
          <w:szCs w:val="26"/>
        </w:rPr>
        <w:t xml:space="preserve">tions </w:t>
      </w:r>
      <w:proofErr w:type="gramStart"/>
      <w:r w:rsidR="00574594">
        <w:rPr>
          <w:sz w:val="26"/>
          <w:szCs w:val="26"/>
        </w:rPr>
        <w:t>raised</w:t>
      </w:r>
      <w:proofErr w:type="gramEnd"/>
      <w:r w:rsidR="00574594">
        <w:rPr>
          <w:sz w:val="26"/>
          <w:szCs w:val="26"/>
        </w:rPr>
        <w:t xml:space="preserve"> in the Complaint.</w:t>
      </w:r>
    </w:p>
    <w:p w:rsidR="00512AA7" w:rsidRDefault="00512AA7" w:rsidP="002A1620">
      <w:pPr>
        <w:spacing w:line="360" w:lineRule="auto"/>
        <w:rPr>
          <w:b/>
          <w:sz w:val="26"/>
          <w:szCs w:val="26"/>
        </w:rPr>
      </w:pPr>
    </w:p>
    <w:p w:rsidR="00013844" w:rsidRDefault="00013844" w:rsidP="002A1620">
      <w:pPr>
        <w:spacing w:line="360" w:lineRule="auto"/>
        <w:rPr>
          <w:b/>
          <w:sz w:val="26"/>
          <w:szCs w:val="26"/>
        </w:rPr>
      </w:pPr>
      <w:r>
        <w:rPr>
          <w:b/>
          <w:sz w:val="26"/>
          <w:szCs w:val="26"/>
        </w:rPr>
        <w:t>Settlement Terms</w:t>
      </w:r>
    </w:p>
    <w:p w:rsidR="008A00D0" w:rsidRDefault="008A00D0" w:rsidP="002A1620">
      <w:pPr>
        <w:spacing w:line="360" w:lineRule="auto"/>
        <w:rPr>
          <w:b/>
          <w:sz w:val="26"/>
          <w:szCs w:val="26"/>
        </w:rPr>
      </w:pPr>
    </w:p>
    <w:p w:rsidR="0051294D" w:rsidRPr="008A00D0" w:rsidRDefault="008A00D0" w:rsidP="002A1620">
      <w:pPr>
        <w:spacing w:line="360" w:lineRule="auto"/>
        <w:rPr>
          <w:b/>
          <w:sz w:val="26"/>
          <w:szCs w:val="26"/>
        </w:rPr>
      </w:pPr>
      <w:r>
        <w:rPr>
          <w:b/>
          <w:sz w:val="26"/>
          <w:szCs w:val="26"/>
        </w:rPr>
        <w:tab/>
      </w:r>
      <w:r>
        <w:rPr>
          <w:b/>
          <w:sz w:val="26"/>
          <w:szCs w:val="26"/>
        </w:rPr>
        <w:tab/>
      </w:r>
      <w:r w:rsidR="0051294D">
        <w:rPr>
          <w:sz w:val="26"/>
          <w:szCs w:val="26"/>
        </w:rPr>
        <w:t xml:space="preserve">In recognition of the cost of further litigation, the time and expense of holding a hearing, and the merits of the Parties’ respective positions, the Parties entered into negotiations and agreed to settle the Complaint according to the terms and conditions of the Settlement.  As part of the Settlement, the Respondent </w:t>
      </w:r>
      <w:r w:rsidR="00B751E3">
        <w:rPr>
          <w:sz w:val="26"/>
          <w:szCs w:val="26"/>
        </w:rPr>
        <w:t>agree</w:t>
      </w:r>
      <w:r w:rsidR="007717D3">
        <w:rPr>
          <w:sz w:val="26"/>
          <w:szCs w:val="26"/>
        </w:rPr>
        <w:t>s</w:t>
      </w:r>
      <w:r w:rsidR="00B751E3">
        <w:rPr>
          <w:sz w:val="26"/>
          <w:szCs w:val="26"/>
        </w:rPr>
        <w:t xml:space="preserve"> </w:t>
      </w:r>
      <w:r w:rsidR="00583CA8">
        <w:rPr>
          <w:sz w:val="26"/>
          <w:szCs w:val="26"/>
        </w:rPr>
        <w:t>to pay a civil penalty of $</w:t>
      </w:r>
      <w:r w:rsidR="007717D3">
        <w:rPr>
          <w:sz w:val="26"/>
          <w:szCs w:val="26"/>
        </w:rPr>
        <w:t>1</w:t>
      </w:r>
      <w:r w:rsidR="00583CA8">
        <w:rPr>
          <w:sz w:val="26"/>
          <w:szCs w:val="26"/>
        </w:rPr>
        <w:t xml:space="preserve">50.  </w:t>
      </w:r>
      <w:r w:rsidR="00B751E3">
        <w:rPr>
          <w:sz w:val="26"/>
          <w:szCs w:val="26"/>
        </w:rPr>
        <w:t>T</w:t>
      </w:r>
      <w:r w:rsidR="0084362B">
        <w:rPr>
          <w:sz w:val="26"/>
          <w:szCs w:val="26"/>
        </w:rPr>
        <w:t xml:space="preserve">he Respondent </w:t>
      </w:r>
      <w:r w:rsidR="00461F9B">
        <w:rPr>
          <w:sz w:val="26"/>
          <w:szCs w:val="26"/>
        </w:rPr>
        <w:t xml:space="preserve">also </w:t>
      </w:r>
      <w:r w:rsidR="0084362B">
        <w:rPr>
          <w:sz w:val="26"/>
          <w:szCs w:val="26"/>
        </w:rPr>
        <w:t>agree</w:t>
      </w:r>
      <w:r w:rsidR="007717D3">
        <w:rPr>
          <w:sz w:val="26"/>
          <w:szCs w:val="26"/>
        </w:rPr>
        <w:t>s</w:t>
      </w:r>
      <w:r w:rsidR="0084362B">
        <w:rPr>
          <w:sz w:val="26"/>
          <w:szCs w:val="26"/>
        </w:rPr>
        <w:t xml:space="preserve"> to comply with the Code and the Commission’s Regulations and </w:t>
      </w:r>
      <w:r w:rsidR="00512AA7">
        <w:rPr>
          <w:sz w:val="26"/>
          <w:szCs w:val="26"/>
        </w:rPr>
        <w:t>O</w:t>
      </w:r>
      <w:r w:rsidR="0084362B">
        <w:rPr>
          <w:sz w:val="26"/>
          <w:szCs w:val="26"/>
        </w:rPr>
        <w:t>rders in the future</w:t>
      </w:r>
      <w:r w:rsidR="007717D3">
        <w:rPr>
          <w:sz w:val="26"/>
          <w:szCs w:val="26"/>
        </w:rPr>
        <w:t>.</w:t>
      </w:r>
      <w:r w:rsidR="0084362B">
        <w:rPr>
          <w:sz w:val="26"/>
          <w:szCs w:val="26"/>
        </w:rPr>
        <w:t xml:space="preserve">  </w:t>
      </w:r>
      <w:proofErr w:type="gramStart"/>
      <w:r w:rsidR="0084362B">
        <w:rPr>
          <w:sz w:val="26"/>
          <w:szCs w:val="26"/>
        </w:rPr>
        <w:t xml:space="preserve">Settlement at ¶ </w:t>
      </w:r>
      <w:r w:rsidR="007717D3">
        <w:rPr>
          <w:sz w:val="26"/>
          <w:szCs w:val="26"/>
        </w:rPr>
        <w:t>4</w:t>
      </w:r>
      <w:r w:rsidR="0084362B">
        <w:rPr>
          <w:sz w:val="26"/>
          <w:szCs w:val="26"/>
        </w:rPr>
        <w:t>.</w:t>
      </w:r>
      <w:proofErr w:type="gramEnd"/>
    </w:p>
    <w:p w:rsidR="00DF64E4" w:rsidRDefault="00DF64E4" w:rsidP="002A1620">
      <w:pPr>
        <w:spacing w:line="360" w:lineRule="auto"/>
        <w:rPr>
          <w:sz w:val="26"/>
          <w:szCs w:val="26"/>
        </w:rPr>
      </w:pPr>
    </w:p>
    <w:p w:rsidR="00351347" w:rsidRPr="00F24353" w:rsidRDefault="00351347" w:rsidP="00F24353">
      <w:pPr>
        <w:spacing w:line="360" w:lineRule="auto"/>
        <w:jc w:val="center"/>
        <w:rPr>
          <w:b/>
          <w:sz w:val="26"/>
          <w:szCs w:val="26"/>
        </w:rPr>
      </w:pPr>
      <w:r w:rsidRPr="00351347">
        <w:rPr>
          <w:b/>
          <w:sz w:val="26"/>
          <w:szCs w:val="26"/>
        </w:rPr>
        <w:t>Discussion</w:t>
      </w:r>
    </w:p>
    <w:p w:rsidR="00351347" w:rsidRDefault="00351347" w:rsidP="00351347">
      <w:pPr>
        <w:jc w:val="center"/>
        <w:rPr>
          <w:b/>
          <w:sz w:val="26"/>
          <w:szCs w:val="26"/>
        </w:rPr>
      </w:pPr>
    </w:p>
    <w:p w:rsidR="00351347" w:rsidRPr="00351347" w:rsidRDefault="00351347" w:rsidP="00351347">
      <w:pPr>
        <w:rPr>
          <w:b/>
          <w:sz w:val="26"/>
          <w:szCs w:val="26"/>
        </w:rPr>
      </w:pPr>
    </w:p>
    <w:p w:rsidR="00F24353" w:rsidRDefault="001858D0" w:rsidP="00F24353">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 w:val="26"/>
          <w:szCs w:val="26"/>
        </w:rPr>
        <w:t>Pa. PUC v. Philadelphia Gas Works</w:t>
      </w:r>
      <w:r w:rsidRPr="00FF22AE">
        <w:rPr>
          <w:sz w:val="26"/>
          <w:szCs w:val="26"/>
        </w:rPr>
        <w:t>, Docket No. M-00031768 (Order entered January 7, 2004).</w:t>
      </w:r>
      <w:r>
        <w:rPr>
          <w:sz w:val="26"/>
          <w:szCs w:val="26"/>
        </w:rPr>
        <w:t xml:space="preserve">   Before addressing the merits of the proposed settlement, however, we must addres</w:t>
      </w:r>
      <w:r w:rsidR="00574594">
        <w:rPr>
          <w:sz w:val="26"/>
          <w:szCs w:val="26"/>
        </w:rPr>
        <w:t>s several preliminary issues.</w:t>
      </w:r>
    </w:p>
    <w:p w:rsidR="0057076C" w:rsidRDefault="0057076C" w:rsidP="0057076C">
      <w:pPr>
        <w:spacing w:line="360" w:lineRule="auto"/>
        <w:ind w:firstLine="1440"/>
        <w:rPr>
          <w:sz w:val="26"/>
          <w:szCs w:val="26"/>
        </w:rPr>
      </w:pPr>
    </w:p>
    <w:p w:rsidR="001858D0" w:rsidRPr="00F24353" w:rsidRDefault="0057076C" w:rsidP="0057076C">
      <w:pPr>
        <w:spacing w:line="360" w:lineRule="auto"/>
        <w:ind w:firstLine="1440"/>
        <w:rPr>
          <w:sz w:val="26"/>
          <w:szCs w:val="26"/>
        </w:rPr>
      </w:pPr>
      <w:r>
        <w:rPr>
          <w:sz w:val="26"/>
          <w:szCs w:val="26"/>
        </w:rPr>
        <w:t>I</w:t>
      </w:r>
      <w:r w:rsidR="001858D0" w:rsidRPr="00F24353">
        <w:rPr>
          <w:sz w:val="26"/>
          <w:szCs w:val="26"/>
        </w:rPr>
        <w:t>n response to the Complaint, the Respondent</w:t>
      </w:r>
      <w:r w:rsidR="00CE58E3" w:rsidRPr="00F24353">
        <w:rPr>
          <w:sz w:val="26"/>
          <w:szCs w:val="26"/>
        </w:rPr>
        <w:t xml:space="preserve"> </w:t>
      </w:r>
      <w:r w:rsidR="001858D0" w:rsidRPr="00F24353">
        <w:rPr>
          <w:sz w:val="26"/>
          <w:szCs w:val="26"/>
        </w:rPr>
        <w:t xml:space="preserve">filed </w:t>
      </w:r>
      <w:r w:rsidR="00CF12CB">
        <w:rPr>
          <w:sz w:val="26"/>
          <w:szCs w:val="26"/>
        </w:rPr>
        <w:t>an Answer</w:t>
      </w:r>
      <w:r w:rsidR="001858D0" w:rsidRPr="00F24353">
        <w:rPr>
          <w:sz w:val="26"/>
          <w:szCs w:val="26"/>
        </w:rPr>
        <w:t xml:space="preserve"> signed by </w:t>
      </w:r>
      <w:r w:rsidR="007717D3">
        <w:rPr>
          <w:sz w:val="26"/>
          <w:szCs w:val="26"/>
        </w:rPr>
        <w:t xml:space="preserve">Joseph T. Sucec, Esquire, </w:t>
      </w:r>
      <w:proofErr w:type="gramStart"/>
      <w:r w:rsidR="007717D3">
        <w:rPr>
          <w:sz w:val="26"/>
          <w:szCs w:val="26"/>
        </w:rPr>
        <w:t>counsel</w:t>
      </w:r>
      <w:proofErr w:type="gramEnd"/>
      <w:r w:rsidR="007717D3">
        <w:rPr>
          <w:sz w:val="26"/>
          <w:szCs w:val="26"/>
        </w:rPr>
        <w:t xml:space="preserve"> for</w:t>
      </w:r>
      <w:r>
        <w:rPr>
          <w:sz w:val="26"/>
          <w:szCs w:val="26"/>
        </w:rPr>
        <w:t xml:space="preserve"> the Respondent.  Also, as part of our initial review, we note that t</w:t>
      </w:r>
      <w:r w:rsidR="006D33E1" w:rsidRPr="00F24353">
        <w:rPr>
          <w:sz w:val="26"/>
          <w:szCs w:val="26"/>
        </w:rPr>
        <w:t xml:space="preserve">he Settlement </w:t>
      </w:r>
      <w:r>
        <w:rPr>
          <w:sz w:val="26"/>
          <w:szCs w:val="26"/>
        </w:rPr>
        <w:t>was</w:t>
      </w:r>
      <w:r w:rsidR="006D33E1" w:rsidRPr="00F24353">
        <w:rPr>
          <w:sz w:val="26"/>
          <w:szCs w:val="26"/>
        </w:rPr>
        <w:t xml:space="preserve"> executed by an attorney from </w:t>
      </w:r>
      <w:r>
        <w:rPr>
          <w:sz w:val="26"/>
          <w:szCs w:val="26"/>
        </w:rPr>
        <w:t>LBPS</w:t>
      </w:r>
      <w:r w:rsidR="00F24353">
        <w:rPr>
          <w:sz w:val="26"/>
          <w:szCs w:val="26"/>
        </w:rPr>
        <w:t xml:space="preserve"> </w:t>
      </w:r>
      <w:r w:rsidR="00620414" w:rsidRPr="00F24353">
        <w:rPr>
          <w:sz w:val="26"/>
          <w:szCs w:val="26"/>
        </w:rPr>
        <w:t xml:space="preserve">and by </w:t>
      </w:r>
      <w:r>
        <w:rPr>
          <w:sz w:val="26"/>
          <w:szCs w:val="26"/>
        </w:rPr>
        <w:t xml:space="preserve">Mr. </w:t>
      </w:r>
      <w:r w:rsidR="007717D3">
        <w:rPr>
          <w:sz w:val="26"/>
          <w:szCs w:val="26"/>
        </w:rPr>
        <w:t>Sucec</w:t>
      </w:r>
      <w:r>
        <w:rPr>
          <w:sz w:val="26"/>
          <w:szCs w:val="26"/>
        </w:rPr>
        <w:t>, on behalf of the Respondent.</w:t>
      </w:r>
      <w:r w:rsidR="00620414" w:rsidRPr="00F24353">
        <w:rPr>
          <w:sz w:val="26"/>
          <w:szCs w:val="26"/>
        </w:rPr>
        <w:t xml:space="preserve">  </w:t>
      </w:r>
      <w:r w:rsidR="00F84923" w:rsidRPr="00F24353">
        <w:rPr>
          <w:sz w:val="26"/>
          <w:szCs w:val="26"/>
        </w:rPr>
        <w:t xml:space="preserve">Our Regulations at 52 Pa. Code </w:t>
      </w:r>
      <w:r w:rsidR="006D33E1" w:rsidRPr="00F24353">
        <w:rPr>
          <w:sz w:val="26"/>
          <w:szCs w:val="26"/>
        </w:rPr>
        <w:t xml:space="preserve">§ 1.35(b) state that a pleading, submittal or other document filed with the Commission on behalf of a corporation must be signed by an authorized attorney or by an officer of the corporation. </w:t>
      </w:r>
      <w:r w:rsidR="00471544" w:rsidRPr="00F24353">
        <w:rPr>
          <w:sz w:val="26"/>
          <w:szCs w:val="26"/>
        </w:rPr>
        <w:t xml:space="preserve"> </w:t>
      </w:r>
      <w:r>
        <w:rPr>
          <w:sz w:val="26"/>
          <w:szCs w:val="26"/>
        </w:rPr>
        <w:t>Therefore,</w:t>
      </w:r>
      <w:r w:rsidR="00F24353">
        <w:rPr>
          <w:sz w:val="26"/>
          <w:szCs w:val="26"/>
        </w:rPr>
        <w:t xml:space="preserve"> </w:t>
      </w:r>
      <w:r w:rsidR="00471544" w:rsidRPr="00F24353">
        <w:rPr>
          <w:sz w:val="26"/>
          <w:szCs w:val="26"/>
        </w:rPr>
        <w:t>we find that both the Answer and Settlement Agreement were properly filed and executed by the Parties.</w:t>
      </w:r>
      <w:r w:rsidR="001858D0" w:rsidRPr="00F24353">
        <w:rPr>
          <w:sz w:val="26"/>
          <w:szCs w:val="26"/>
        </w:rPr>
        <w:t xml:space="preserve"> </w:t>
      </w:r>
    </w:p>
    <w:p w:rsidR="001858D0" w:rsidRPr="00F24353" w:rsidRDefault="001858D0" w:rsidP="00620414">
      <w:pPr>
        <w:pStyle w:val="BodyText"/>
        <w:jc w:val="left"/>
        <w:rPr>
          <w:szCs w:val="26"/>
        </w:rPr>
      </w:pPr>
    </w:p>
    <w:p w:rsidR="001858D0" w:rsidRDefault="001858D0" w:rsidP="00574594">
      <w:pPr>
        <w:spacing w:line="360" w:lineRule="auto"/>
        <w:ind w:firstLine="1440"/>
        <w:rPr>
          <w:sz w:val="26"/>
          <w:szCs w:val="26"/>
        </w:rPr>
      </w:pPr>
      <w:r>
        <w:rPr>
          <w:color w:val="000000"/>
          <w:sz w:val="26"/>
          <w:szCs w:val="26"/>
          <w:u w:color="000000"/>
        </w:rPr>
        <w:t xml:space="preserve">After a review of the terms of the Settlement Agreement, we are satisfied that the Agreement is in the public interest.  We further find that approval of this Settlement is consistent with the Commission’s </w:t>
      </w:r>
      <w:r w:rsidRPr="00B60A20">
        <w:rPr>
          <w:i/>
          <w:color w:val="000000"/>
          <w:sz w:val="26"/>
          <w:szCs w:val="26"/>
          <w:u w:color="000000"/>
        </w:rPr>
        <w:t>Policy Statement</w:t>
      </w:r>
      <w:r>
        <w:rPr>
          <w:color w:val="000000"/>
          <w:sz w:val="26"/>
          <w:szCs w:val="26"/>
          <w:u w:color="000000"/>
        </w:rPr>
        <w:t xml:space="preserve"> at 52 Pa. Code </w:t>
      </w:r>
      <w:r>
        <w:rPr>
          <w:sz w:val="26"/>
          <w:szCs w:val="26"/>
        </w:rPr>
        <w:t>§</w:t>
      </w:r>
      <w:r w:rsidR="00574594">
        <w:rPr>
          <w:sz w:val="26"/>
          <w:szCs w:val="26"/>
        </w:rPr>
        <w:t> </w:t>
      </w:r>
      <w:r>
        <w:rPr>
          <w:sz w:val="26"/>
          <w:szCs w:val="26"/>
        </w:rPr>
        <w:t xml:space="preserve">69.1201.  The </w:t>
      </w:r>
      <w:r w:rsidRPr="00B60A20">
        <w:rPr>
          <w:i/>
          <w:sz w:val="26"/>
          <w:szCs w:val="26"/>
        </w:rPr>
        <w:t>Policy Statement</w:t>
      </w:r>
      <w:r>
        <w:rPr>
          <w:sz w:val="26"/>
          <w:szCs w:val="26"/>
        </w:rPr>
        <w:t xml:space="preserve"> sets forth the guidelines we use when determining whether and to what extent a civil penalty is warranted.  In this case, application of these guidelines supports approval of the Settlement Agreement as filed.</w:t>
      </w:r>
    </w:p>
    <w:p w:rsidR="001005A9" w:rsidRDefault="001005A9" w:rsidP="001858D0">
      <w:pPr>
        <w:spacing w:line="360" w:lineRule="auto"/>
        <w:ind w:firstLine="1440"/>
        <w:rPr>
          <w:sz w:val="26"/>
          <w:szCs w:val="26"/>
        </w:rPr>
      </w:pPr>
    </w:p>
    <w:p w:rsidR="00186A83" w:rsidRPr="00A34E6C" w:rsidRDefault="001005A9" w:rsidP="001858D0">
      <w:pPr>
        <w:spacing w:line="360" w:lineRule="auto"/>
        <w:ind w:firstLine="1440"/>
        <w:rPr>
          <w:sz w:val="26"/>
          <w:szCs w:val="26"/>
        </w:rPr>
      </w:pPr>
      <w:r w:rsidRPr="00A34E6C">
        <w:rPr>
          <w:sz w:val="26"/>
          <w:szCs w:val="26"/>
        </w:rPr>
        <w:t xml:space="preserve">The first factor to be considered under the </w:t>
      </w:r>
      <w:r w:rsidRPr="00A34E6C">
        <w:rPr>
          <w:i/>
          <w:sz w:val="26"/>
          <w:szCs w:val="26"/>
        </w:rPr>
        <w:t>Policy Statement</w:t>
      </w:r>
      <w:r w:rsidRPr="00A34E6C">
        <w:rPr>
          <w:sz w:val="26"/>
          <w:szCs w:val="26"/>
        </w:rPr>
        <w:t xml:space="preserve"> is whether the conduct at issue was of a serious nature, such as willful fraud or misrepresentation, or </w:t>
      </w:r>
      <w:r w:rsidR="00062658" w:rsidRPr="00A34E6C">
        <w:rPr>
          <w:sz w:val="26"/>
          <w:szCs w:val="26"/>
        </w:rPr>
        <w:t>w</w:t>
      </w:r>
      <w:r w:rsidR="00A34E6C" w:rsidRPr="00A34E6C">
        <w:rPr>
          <w:sz w:val="26"/>
          <w:szCs w:val="26"/>
        </w:rPr>
        <w:t>as</w:t>
      </w:r>
      <w:r w:rsidR="006552E8" w:rsidRPr="00A34E6C">
        <w:rPr>
          <w:sz w:val="26"/>
          <w:szCs w:val="26"/>
        </w:rPr>
        <w:t xml:space="preserve"> </w:t>
      </w:r>
      <w:r w:rsidRPr="00A34E6C">
        <w:rPr>
          <w:sz w:val="26"/>
          <w:szCs w:val="26"/>
        </w:rPr>
        <w:t xml:space="preserve">merely administrative or technical errors.  </w:t>
      </w:r>
      <w:r w:rsidR="00AC21A2" w:rsidRPr="00A34E6C">
        <w:rPr>
          <w:sz w:val="26"/>
          <w:szCs w:val="26"/>
        </w:rPr>
        <w:t>52 Pa. Code § 69.1201(c</w:t>
      </w:r>
      <w:proofErr w:type="gramStart"/>
      <w:r w:rsidR="00AC21A2" w:rsidRPr="00A34E6C">
        <w:rPr>
          <w:sz w:val="26"/>
          <w:szCs w:val="26"/>
        </w:rPr>
        <w:t>)(</w:t>
      </w:r>
      <w:proofErr w:type="gramEnd"/>
      <w:r w:rsidR="00AC21A2" w:rsidRPr="00A34E6C">
        <w:rPr>
          <w:sz w:val="26"/>
          <w:szCs w:val="26"/>
        </w:rPr>
        <w:t xml:space="preserve">1).  </w:t>
      </w:r>
      <w:r w:rsidR="005E6752" w:rsidRPr="00A34E6C">
        <w:rPr>
          <w:sz w:val="26"/>
          <w:szCs w:val="26"/>
        </w:rPr>
        <w:t xml:space="preserve">We find that the Respondent’s action in this matter </w:t>
      </w:r>
      <w:r w:rsidR="0057076C" w:rsidRPr="00A34E6C">
        <w:rPr>
          <w:sz w:val="26"/>
          <w:szCs w:val="26"/>
        </w:rPr>
        <w:t>should not be deemed willful fraud or misrepresentation</w:t>
      </w:r>
      <w:r w:rsidR="00A34E6C">
        <w:rPr>
          <w:sz w:val="26"/>
          <w:szCs w:val="26"/>
        </w:rPr>
        <w:t>.</w:t>
      </w:r>
      <w:r w:rsidR="004E3ED9" w:rsidRPr="00A34E6C">
        <w:rPr>
          <w:sz w:val="26"/>
          <w:szCs w:val="26"/>
        </w:rPr>
        <w:t xml:space="preserve">  </w:t>
      </w:r>
      <w:proofErr w:type="gramStart"/>
      <w:r w:rsidR="00150ADC" w:rsidRPr="00A34E6C">
        <w:rPr>
          <w:sz w:val="26"/>
          <w:szCs w:val="26"/>
        </w:rPr>
        <w:t>Settlement</w:t>
      </w:r>
      <w:r w:rsidR="005E6752" w:rsidRPr="00A34E6C">
        <w:rPr>
          <w:sz w:val="26"/>
          <w:szCs w:val="26"/>
        </w:rPr>
        <w:t xml:space="preserve"> at ¶ </w:t>
      </w:r>
      <w:r w:rsidR="0057076C" w:rsidRPr="00A34E6C">
        <w:rPr>
          <w:sz w:val="26"/>
          <w:szCs w:val="26"/>
        </w:rPr>
        <w:t>9</w:t>
      </w:r>
      <w:r w:rsidR="005E6752" w:rsidRPr="00A34E6C">
        <w:rPr>
          <w:sz w:val="26"/>
          <w:szCs w:val="26"/>
        </w:rPr>
        <w:t>.</w:t>
      </w:r>
      <w:proofErr w:type="gramEnd"/>
    </w:p>
    <w:p w:rsidR="007E2623" w:rsidRPr="00574594" w:rsidRDefault="007E2623" w:rsidP="001858D0">
      <w:pPr>
        <w:spacing w:line="360" w:lineRule="auto"/>
        <w:ind w:firstLine="1440"/>
        <w:rPr>
          <w:sz w:val="26"/>
          <w:szCs w:val="26"/>
        </w:rPr>
      </w:pPr>
    </w:p>
    <w:p w:rsidR="004E3ED9" w:rsidRDefault="00150ADC" w:rsidP="001858D0">
      <w:pPr>
        <w:spacing w:line="360" w:lineRule="auto"/>
        <w:ind w:firstLine="1440"/>
        <w:rPr>
          <w:sz w:val="26"/>
          <w:szCs w:val="26"/>
        </w:rPr>
      </w:pPr>
      <w:r>
        <w:rPr>
          <w:sz w:val="26"/>
          <w:szCs w:val="26"/>
        </w:rPr>
        <w:t xml:space="preserve">The second factor found in the </w:t>
      </w:r>
      <w:r>
        <w:rPr>
          <w:i/>
          <w:sz w:val="26"/>
          <w:szCs w:val="26"/>
        </w:rPr>
        <w:t>Policy Statement</w:t>
      </w:r>
      <w:r>
        <w:rPr>
          <w:sz w:val="26"/>
          <w:szCs w:val="26"/>
        </w:rPr>
        <w:t xml:space="preserve"> is an examination of whether the resulting consequences of the conduct at issue were of a serious nature, such as personal injury or property damage.  52 Pa. Code § 69.1201(c</w:t>
      </w:r>
      <w:proofErr w:type="gramStart"/>
      <w:r>
        <w:rPr>
          <w:sz w:val="26"/>
          <w:szCs w:val="26"/>
        </w:rPr>
        <w:t>)(</w:t>
      </w:r>
      <w:proofErr w:type="gramEnd"/>
      <w:r>
        <w:rPr>
          <w:sz w:val="26"/>
          <w:szCs w:val="26"/>
        </w:rPr>
        <w:t xml:space="preserve">2).  </w:t>
      </w:r>
      <w:r w:rsidR="004E3ED9">
        <w:rPr>
          <w:sz w:val="26"/>
          <w:szCs w:val="26"/>
        </w:rPr>
        <w:t xml:space="preserve">Although the violation of not charging a metered rate should be deemed serious, the Respondent has assured the Commission that it will make sure that its drivers use meters at all times in </w:t>
      </w:r>
      <w:r w:rsidR="004E3ED9">
        <w:rPr>
          <w:sz w:val="26"/>
          <w:szCs w:val="26"/>
        </w:rPr>
        <w:lastRenderedPageBreak/>
        <w:t>the future.  Furthermore, the Respondent will maintain driver logs for a period of at least two years.</w:t>
      </w:r>
      <w:r w:rsidR="005E6752">
        <w:rPr>
          <w:sz w:val="26"/>
          <w:szCs w:val="26"/>
        </w:rPr>
        <w:t xml:space="preserve">  </w:t>
      </w:r>
      <w:proofErr w:type="gramStart"/>
      <w:r w:rsidR="00406CCC">
        <w:rPr>
          <w:sz w:val="26"/>
          <w:szCs w:val="26"/>
        </w:rPr>
        <w:t>Settlement</w:t>
      </w:r>
      <w:r w:rsidR="00417777">
        <w:rPr>
          <w:sz w:val="26"/>
          <w:szCs w:val="26"/>
        </w:rPr>
        <w:t xml:space="preserve"> </w:t>
      </w:r>
      <w:r w:rsidR="00406CCC">
        <w:rPr>
          <w:sz w:val="26"/>
          <w:szCs w:val="26"/>
        </w:rPr>
        <w:t xml:space="preserve">at ¶ </w:t>
      </w:r>
      <w:r w:rsidR="005E6752">
        <w:rPr>
          <w:sz w:val="26"/>
          <w:szCs w:val="26"/>
        </w:rPr>
        <w:t>1</w:t>
      </w:r>
      <w:r w:rsidR="00CF791B">
        <w:rPr>
          <w:sz w:val="26"/>
          <w:szCs w:val="26"/>
        </w:rPr>
        <w:t>0</w:t>
      </w:r>
      <w:r w:rsidR="00406CCC">
        <w:rPr>
          <w:sz w:val="26"/>
          <w:szCs w:val="26"/>
        </w:rPr>
        <w:t>.</w:t>
      </w:r>
      <w:proofErr w:type="gramEnd"/>
      <w:r w:rsidR="00417777">
        <w:rPr>
          <w:sz w:val="26"/>
          <w:szCs w:val="26"/>
        </w:rPr>
        <w:t xml:space="preserve"> </w:t>
      </w:r>
    </w:p>
    <w:p w:rsidR="00574594" w:rsidRDefault="00574594" w:rsidP="001858D0">
      <w:pPr>
        <w:spacing w:line="360" w:lineRule="auto"/>
        <w:ind w:firstLine="1440"/>
        <w:rPr>
          <w:sz w:val="26"/>
          <w:szCs w:val="26"/>
        </w:rPr>
      </w:pPr>
    </w:p>
    <w:p w:rsidR="005A110F" w:rsidRDefault="00406CCC" w:rsidP="001858D0">
      <w:pPr>
        <w:spacing w:line="360" w:lineRule="auto"/>
        <w:ind w:firstLine="1440"/>
        <w:rPr>
          <w:sz w:val="26"/>
          <w:szCs w:val="26"/>
        </w:rPr>
      </w:pPr>
      <w:r>
        <w:rPr>
          <w:sz w:val="26"/>
          <w:szCs w:val="26"/>
        </w:rPr>
        <w:t xml:space="preserve">The third factor in the </w:t>
      </w:r>
      <w:r>
        <w:rPr>
          <w:i/>
          <w:sz w:val="26"/>
          <w:szCs w:val="26"/>
        </w:rPr>
        <w:t>Policy Statement</w:t>
      </w:r>
      <w:r>
        <w:rPr>
          <w:sz w:val="26"/>
          <w:szCs w:val="26"/>
        </w:rPr>
        <w:t xml:space="preserve"> </w:t>
      </w:r>
      <w:r w:rsidR="00CF791B">
        <w:rPr>
          <w:sz w:val="26"/>
          <w:szCs w:val="26"/>
        </w:rPr>
        <w:t xml:space="preserve">is </w:t>
      </w:r>
      <w:r>
        <w:rPr>
          <w:sz w:val="26"/>
          <w:szCs w:val="26"/>
        </w:rPr>
        <w:t>whether the conduct at issue was intentional or negligent</w:t>
      </w:r>
      <w:r w:rsidR="00CF791B">
        <w:rPr>
          <w:sz w:val="26"/>
          <w:szCs w:val="26"/>
        </w:rPr>
        <w:t>.</w:t>
      </w:r>
      <w:r>
        <w:rPr>
          <w:sz w:val="26"/>
          <w:szCs w:val="26"/>
        </w:rPr>
        <w:t xml:space="preserve"> </w:t>
      </w:r>
      <w:r w:rsidR="00CF791B">
        <w:rPr>
          <w:sz w:val="26"/>
          <w:szCs w:val="26"/>
        </w:rPr>
        <w:t xml:space="preserve"> </w:t>
      </w:r>
      <w:r w:rsidR="005A110F">
        <w:rPr>
          <w:sz w:val="26"/>
          <w:szCs w:val="26"/>
        </w:rPr>
        <w:t>52 Pa. Code § 69.1201(c</w:t>
      </w:r>
      <w:proofErr w:type="gramStart"/>
      <w:r w:rsidR="005A110F">
        <w:rPr>
          <w:sz w:val="26"/>
          <w:szCs w:val="26"/>
        </w:rPr>
        <w:t>)(</w:t>
      </w:r>
      <w:proofErr w:type="gramEnd"/>
      <w:r w:rsidR="005A110F">
        <w:rPr>
          <w:sz w:val="26"/>
          <w:szCs w:val="26"/>
        </w:rPr>
        <w:t>3).</w:t>
      </w:r>
      <w:r w:rsidR="006961FC">
        <w:rPr>
          <w:sz w:val="26"/>
          <w:szCs w:val="26"/>
        </w:rPr>
        <w:t xml:space="preserve">  </w:t>
      </w:r>
      <w:r w:rsidR="00CF12CB">
        <w:rPr>
          <w:sz w:val="26"/>
          <w:szCs w:val="26"/>
        </w:rPr>
        <w:t xml:space="preserve">This factor may only be considered in evaluating litigated cases.  </w:t>
      </w:r>
      <w:proofErr w:type="gramStart"/>
      <w:r w:rsidR="00CF12CB">
        <w:rPr>
          <w:sz w:val="26"/>
          <w:szCs w:val="26"/>
        </w:rPr>
        <w:t>Settlement at ¶ 11.</w:t>
      </w:r>
      <w:proofErr w:type="gramEnd"/>
    </w:p>
    <w:p w:rsidR="004E3ED9" w:rsidRDefault="004E3ED9" w:rsidP="001858D0">
      <w:pPr>
        <w:spacing w:line="360" w:lineRule="auto"/>
        <w:ind w:firstLine="1440"/>
        <w:rPr>
          <w:sz w:val="26"/>
          <w:szCs w:val="26"/>
        </w:rPr>
      </w:pPr>
    </w:p>
    <w:p w:rsidR="00EA3E5A" w:rsidRDefault="005A110F" w:rsidP="001858D0">
      <w:pPr>
        <w:spacing w:line="360" w:lineRule="auto"/>
        <w:ind w:firstLine="1440"/>
        <w:rPr>
          <w:sz w:val="26"/>
          <w:szCs w:val="26"/>
        </w:rPr>
      </w:pPr>
      <w:r>
        <w:rPr>
          <w:sz w:val="26"/>
          <w:szCs w:val="26"/>
        </w:rPr>
        <w:t xml:space="preserve">The fourth standard in the </w:t>
      </w:r>
      <w:r>
        <w:rPr>
          <w:i/>
          <w:sz w:val="26"/>
          <w:szCs w:val="26"/>
        </w:rPr>
        <w:t>Policy Statement</w:t>
      </w:r>
      <w:r>
        <w:rPr>
          <w:sz w:val="26"/>
          <w:szCs w:val="26"/>
        </w:rPr>
        <w:t xml:space="preserve"> is whether the regulated entity has made an effort to modify internal practices and procedures to address the conduct at issue and to prevent similar conduct in the future.  52 Pa. Code § 69.1201(c</w:t>
      </w:r>
      <w:proofErr w:type="gramStart"/>
      <w:r>
        <w:rPr>
          <w:sz w:val="26"/>
          <w:szCs w:val="26"/>
        </w:rPr>
        <w:t>)(</w:t>
      </w:r>
      <w:proofErr w:type="gramEnd"/>
      <w:r>
        <w:rPr>
          <w:sz w:val="26"/>
          <w:szCs w:val="26"/>
        </w:rPr>
        <w:t>4).</w:t>
      </w:r>
      <w:r w:rsidR="00EA3E5A">
        <w:rPr>
          <w:sz w:val="26"/>
          <w:szCs w:val="26"/>
        </w:rPr>
        <w:t xml:space="preserve">  </w:t>
      </w:r>
      <w:r w:rsidR="004E3ED9">
        <w:rPr>
          <w:sz w:val="26"/>
          <w:szCs w:val="26"/>
        </w:rPr>
        <w:t>As noted above, t</w:t>
      </w:r>
      <w:r w:rsidR="006961FC">
        <w:rPr>
          <w:sz w:val="26"/>
          <w:szCs w:val="26"/>
        </w:rPr>
        <w:t xml:space="preserve">he </w:t>
      </w:r>
      <w:r w:rsidR="00CF791B">
        <w:rPr>
          <w:sz w:val="26"/>
          <w:szCs w:val="26"/>
        </w:rPr>
        <w:t xml:space="preserve">Respondent </w:t>
      </w:r>
      <w:r w:rsidR="004E3ED9">
        <w:rPr>
          <w:sz w:val="26"/>
          <w:szCs w:val="26"/>
        </w:rPr>
        <w:t>will retain driver logs for at least two years and assure that its drivers always use meters in its taxicabs.</w:t>
      </w:r>
      <w:r w:rsidR="00734C08">
        <w:rPr>
          <w:sz w:val="26"/>
          <w:szCs w:val="26"/>
        </w:rPr>
        <w:t xml:space="preserve">  </w:t>
      </w:r>
      <w:proofErr w:type="gramStart"/>
      <w:r w:rsidR="00734C08">
        <w:rPr>
          <w:sz w:val="26"/>
          <w:szCs w:val="26"/>
        </w:rPr>
        <w:t xml:space="preserve">Settlement at </w:t>
      </w:r>
      <w:r w:rsidR="00EA3E5A">
        <w:rPr>
          <w:sz w:val="26"/>
          <w:szCs w:val="26"/>
        </w:rPr>
        <w:t xml:space="preserve">¶ </w:t>
      </w:r>
      <w:r w:rsidR="006961FC">
        <w:rPr>
          <w:sz w:val="26"/>
          <w:szCs w:val="26"/>
        </w:rPr>
        <w:t>1</w:t>
      </w:r>
      <w:r w:rsidR="00CF791B">
        <w:rPr>
          <w:sz w:val="26"/>
          <w:szCs w:val="26"/>
        </w:rPr>
        <w:t>2</w:t>
      </w:r>
      <w:r w:rsidR="007A5E99">
        <w:rPr>
          <w:sz w:val="26"/>
          <w:szCs w:val="26"/>
        </w:rPr>
        <w:t>.</w:t>
      </w:r>
      <w:proofErr w:type="gramEnd"/>
    </w:p>
    <w:p w:rsidR="006961FC" w:rsidRDefault="006961FC" w:rsidP="001858D0">
      <w:pPr>
        <w:spacing w:line="360" w:lineRule="auto"/>
        <w:ind w:firstLine="1440"/>
        <w:rPr>
          <w:sz w:val="26"/>
          <w:szCs w:val="26"/>
        </w:rPr>
      </w:pPr>
    </w:p>
    <w:p w:rsidR="00EA3E5A" w:rsidRDefault="00EA3E5A" w:rsidP="001858D0">
      <w:pPr>
        <w:spacing w:line="360" w:lineRule="auto"/>
        <w:ind w:firstLine="1440"/>
        <w:rPr>
          <w:sz w:val="26"/>
          <w:szCs w:val="26"/>
        </w:rPr>
      </w:pPr>
      <w:r>
        <w:rPr>
          <w:sz w:val="26"/>
          <w:szCs w:val="26"/>
        </w:rPr>
        <w:t xml:space="preserve">The fifth standard in the </w:t>
      </w:r>
      <w:r>
        <w:rPr>
          <w:i/>
          <w:sz w:val="26"/>
          <w:szCs w:val="26"/>
        </w:rPr>
        <w:t>Policy Statement</w:t>
      </w:r>
      <w:r>
        <w:rPr>
          <w:sz w:val="26"/>
          <w:szCs w:val="26"/>
        </w:rPr>
        <w:t xml:space="preserve"> deals with the number of customers affected and the duration of the violation.  52 Pa. Code </w:t>
      </w:r>
      <w:r w:rsidR="00E00E31">
        <w:rPr>
          <w:sz w:val="26"/>
          <w:szCs w:val="26"/>
        </w:rPr>
        <w:t>§ 69.1201(c</w:t>
      </w:r>
      <w:proofErr w:type="gramStart"/>
      <w:r w:rsidR="00E00E31">
        <w:rPr>
          <w:sz w:val="26"/>
          <w:szCs w:val="26"/>
        </w:rPr>
        <w:t>)(</w:t>
      </w:r>
      <w:proofErr w:type="gramEnd"/>
      <w:r w:rsidR="00E00E31">
        <w:rPr>
          <w:sz w:val="26"/>
          <w:szCs w:val="26"/>
        </w:rPr>
        <w:t xml:space="preserve">5).  </w:t>
      </w:r>
      <w:r w:rsidR="004E3ED9">
        <w:rPr>
          <w:sz w:val="26"/>
          <w:szCs w:val="26"/>
        </w:rPr>
        <w:t>In this case, one customer was affected by the Respondent’s actions during one trip.</w:t>
      </w:r>
      <w:r w:rsidR="006961FC">
        <w:rPr>
          <w:sz w:val="26"/>
          <w:szCs w:val="26"/>
        </w:rPr>
        <w:t xml:space="preserve">  </w:t>
      </w:r>
      <w:proofErr w:type="gramStart"/>
      <w:r w:rsidR="00E00E31">
        <w:rPr>
          <w:sz w:val="26"/>
          <w:szCs w:val="26"/>
        </w:rPr>
        <w:t xml:space="preserve">Settlement at ¶ </w:t>
      </w:r>
      <w:r w:rsidR="006961FC">
        <w:rPr>
          <w:sz w:val="26"/>
          <w:szCs w:val="26"/>
        </w:rPr>
        <w:t>1</w:t>
      </w:r>
      <w:r w:rsidR="00CF791B">
        <w:rPr>
          <w:sz w:val="26"/>
          <w:szCs w:val="26"/>
        </w:rPr>
        <w:t>3</w:t>
      </w:r>
      <w:r w:rsidR="00E00E31">
        <w:rPr>
          <w:sz w:val="26"/>
          <w:szCs w:val="26"/>
        </w:rPr>
        <w:t>.</w:t>
      </w:r>
      <w:proofErr w:type="gramEnd"/>
    </w:p>
    <w:p w:rsidR="00E00E31" w:rsidRDefault="00E00E31" w:rsidP="001858D0">
      <w:pPr>
        <w:spacing w:line="360" w:lineRule="auto"/>
        <w:ind w:firstLine="1440"/>
        <w:rPr>
          <w:sz w:val="26"/>
          <w:szCs w:val="26"/>
        </w:rPr>
      </w:pPr>
    </w:p>
    <w:p w:rsidR="00734C08" w:rsidRPr="005D31DB" w:rsidRDefault="00E00E31" w:rsidP="001858D0">
      <w:pPr>
        <w:spacing w:line="360" w:lineRule="auto"/>
        <w:ind w:firstLine="1440"/>
        <w:rPr>
          <w:sz w:val="26"/>
          <w:szCs w:val="26"/>
        </w:rPr>
      </w:pPr>
      <w:r w:rsidRPr="005D31DB">
        <w:rPr>
          <w:sz w:val="26"/>
          <w:szCs w:val="26"/>
        </w:rPr>
        <w:t xml:space="preserve">The sixth standard is a consideration of the Respondent’s compliance history.  52 Pa. Code </w:t>
      </w:r>
      <w:r w:rsidR="00C420DE" w:rsidRPr="005D31DB">
        <w:rPr>
          <w:sz w:val="26"/>
          <w:szCs w:val="26"/>
        </w:rPr>
        <w:t>§ 69.1201(c</w:t>
      </w:r>
      <w:proofErr w:type="gramStart"/>
      <w:r w:rsidR="00C420DE" w:rsidRPr="005D31DB">
        <w:rPr>
          <w:sz w:val="26"/>
          <w:szCs w:val="26"/>
        </w:rPr>
        <w:t>)(</w:t>
      </w:r>
      <w:proofErr w:type="gramEnd"/>
      <w:r w:rsidR="00C420DE" w:rsidRPr="005D31DB">
        <w:rPr>
          <w:sz w:val="26"/>
          <w:szCs w:val="26"/>
        </w:rPr>
        <w:t>6).</w:t>
      </w:r>
      <w:r w:rsidR="00CC62EA" w:rsidRPr="005D31DB">
        <w:rPr>
          <w:sz w:val="26"/>
          <w:szCs w:val="26"/>
        </w:rPr>
        <w:t xml:space="preserve">  </w:t>
      </w:r>
      <w:r w:rsidR="005D31DB" w:rsidRPr="005D31DB">
        <w:rPr>
          <w:sz w:val="26"/>
          <w:szCs w:val="26"/>
        </w:rPr>
        <w:t>From a review of our records, it appears th</w:t>
      </w:r>
      <w:r w:rsidR="00A34E6C" w:rsidRPr="005D31DB">
        <w:rPr>
          <w:sz w:val="26"/>
          <w:szCs w:val="26"/>
        </w:rPr>
        <w:t xml:space="preserve">at the Respondent’s compliance history </w:t>
      </w:r>
      <w:r w:rsidR="005D31DB" w:rsidRPr="005D31DB">
        <w:rPr>
          <w:sz w:val="26"/>
          <w:szCs w:val="26"/>
        </w:rPr>
        <w:t>is</w:t>
      </w:r>
      <w:r w:rsidR="00A34E6C" w:rsidRPr="005D31DB">
        <w:rPr>
          <w:sz w:val="26"/>
          <w:szCs w:val="26"/>
        </w:rPr>
        <w:t xml:space="preserve"> improv</w:t>
      </w:r>
      <w:r w:rsidR="005D31DB" w:rsidRPr="005D31DB">
        <w:rPr>
          <w:sz w:val="26"/>
          <w:szCs w:val="26"/>
        </w:rPr>
        <w:t>ing</w:t>
      </w:r>
      <w:r w:rsidR="00A34E6C" w:rsidRPr="005D31DB">
        <w:rPr>
          <w:sz w:val="26"/>
          <w:szCs w:val="26"/>
        </w:rPr>
        <w:t xml:space="preserve"> </w:t>
      </w:r>
      <w:r w:rsidR="005D31DB" w:rsidRPr="005D31DB">
        <w:rPr>
          <w:sz w:val="26"/>
          <w:szCs w:val="26"/>
        </w:rPr>
        <w:t xml:space="preserve">and the Respondent appears to be making a concerted effort to abide by the Commission’s Regulations.  In fact, aside from the subject Complaint, a complaint has not been issued against the Respondent since 2009. As such, we believe the Respondent’s compliance history </w:t>
      </w:r>
      <w:r w:rsidR="00A34E6C" w:rsidRPr="005D31DB">
        <w:rPr>
          <w:sz w:val="26"/>
          <w:szCs w:val="26"/>
        </w:rPr>
        <w:t>should now be considered satisfactory</w:t>
      </w:r>
      <w:r w:rsidR="007D4A08" w:rsidRPr="005D31DB">
        <w:rPr>
          <w:sz w:val="26"/>
          <w:szCs w:val="26"/>
        </w:rPr>
        <w:t xml:space="preserve">. </w:t>
      </w:r>
      <w:r w:rsidR="005D31DB" w:rsidRPr="005D31DB">
        <w:rPr>
          <w:sz w:val="26"/>
          <w:szCs w:val="26"/>
        </w:rPr>
        <w:t xml:space="preserve">  </w:t>
      </w:r>
    </w:p>
    <w:p w:rsidR="007D4A08" w:rsidRPr="007A5E99" w:rsidRDefault="007D4A08" w:rsidP="007D4A08">
      <w:pPr>
        <w:tabs>
          <w:tab w:val="left" w:pos="0"/>
        </w:tabs>
        <w:spacing w:line="360" w:lineRule="auto"/>
        <w:ind w:firstLine="1440"/>
        <w:rPr>
          <w:sz w:val="26"/>
          <w:szCs w:val="26"/>
        </w:rPr>
      </w:pPr>
    </w:p>
    <w:p w:rsidR="00502ADF" w:rsidRPr="00E854AE" w:rsidRDefault="00502ADF" w:rsidP="001858D0">
      <w:pPr>
        <w:spacing w:line="360" w:lineRule="auto"/>
        <w:ind w:firstLine="1440"/>
        <w:rPr>
          <w:sz w:val="26"/>
          <w:szCs w:val="26"/>
        </w:rPr>
      </w:pPr>
      <w:r w:rsidRPr="00E854AE">
        <w:rPr>
          <w:sz w:val="26"/>
          <w:szCs w:val="26"/>
        </w:rPr>
        <w:t xml:space="preserve">The seventh standard in the </w:t>
      </w:r>
      <w:r w:rsidRPr="00E854AE">
        <w:rPr>
          <w:i/>
          <w:sz w:val="26"/>
          <w:szCs w:val="26"/>
        </w:rPr>
        <w:t>Policy Statement</w:t>
      </w:r>
      <w:r w:rsidRPr="00E854AE">
        <w:rPr>
          <w:sz w:val="26"/>
          <w:szCs w:val="26"/>
        </w:rPr>
        <w:t xml:space="preserve"> is whether the regulated entity cooperated with the Commission’s investigation.  52 Pa. Code § 69.1201(c</w:t>
      </w:r>
      <w:proofErr w:type="gramStart"/>
      <w:r w:rsidRPr="00E854AE">
        <w:rPr>
          <w:sz w:val="26"/>
          <w:szCs w:val="26"/>
        </w:rPr>
        <w:t>)(</w:t>
      </w:r>
      <w:proofErr w:type="gramEnd"/>
      <w:r w:rsidRPr="00E854AE">
        <w:rPr>
          <w:sz w:val="26"/>
          <w:szCs w:val="26"/>
        </w:rPr>
        <w:t xml:space="preserve">7).  In this </w:t>
      </w:r>
      <w:r w:rsidRPr="00E854AE">
        <w:rPr>
          <w:sz w:val="26"/>
          <w:szCs w:val="26"/>
        </w:rPr>
        <w:lastRenderedPageBreak/>
        <w:t>case, the Parties represent</w:t>
      </w:r>
      <w:r w:rsidR="006C2C26" w:rsidRPr="00E854AE">
        <w:rPr>
          <w:sz w:val="26"/>
          <w:szCs w:val="26"/>
        </w:rPr>
        <w:t xml:space="preserve"> that the Respondent </w:t>
      </w:r>
      <w:r w:rsidR="00866322">
        <w:rPr>
          <w:sz w:val="26"/>
          <w:szCs w:val="26"/>
        </w:rPr>
        <w:t xml:space="preserve">fully </w:t>
      </w:r>
      <w:r w:rsidR="006C2C26" w:rsidRPr="00E854AE">
        <w:rPr>
          <w:sz w:val="26"/>
          <w:szCs w:val="26"/>
        </w:rPr>
        <w:t xml:space="preserve">cooperated </w:t>
      </w:r>
      <w:r w:rsidR="006953A2">
        <w:rPr>
          <w:sz w:val="26"/>
          <w:szCs w:val="26"/>
        </w:rPr>
        <w:t xml:space="preserve">with </w:t>
      </w:r>
      <w:r w:rsidR="007D4A08">
        <w:rPr>
          <w:sz w:val="26"/>
          <w:szCs w:val="26"/>
        </w:rPr>
        <w:t>Staff during settlement discussions.</w:t>
      </w:r>
      <w:r w:rsidR="006C2C26" w:rsidRPr="00E854AE">
        <w:rPr>
          <w:sz w:val="26"/>
          <w:szCs w:val="26"/>
        </w:rPr>
        <w:t xml:space="preserve">  </w:t>
      </w:r>
      <w:proofErr w:type="gramStart"/>
      <w:r w:rsidR="006C2C26" w:rsidRPr="00E854AE">
        <w:rPr>
          <w:sz w:val="26"/>
          <w:szCs w:val="26"/>
        </w:rPr>
        <w:t xml:space="preserve">Settlement at ¶ </w:t>
      </w:r>
      <w:r w:rsidR="006953A2">
        <w:rPr>
          <w:sz w:val="26"/>
          <w:szCs w:val="26"/>
        </w:rPr>
        <w:t>1</w:t>
      </w:r>
      <w:r w:rsidR="007D4A08">
        <w:rPr>
          <w:sz w:val="26"/>
          <w:szCs w:val="26"/>
        </w:rPr>
        <w:t>5</w:t>
      </w:r>
      <w:r w:rsidR="006C2C26" w:rsidRPr="00E854AE">
        <w:rPr>
          <w:sz w:val="26"/>
          <w:szCs w:val="26"/>
        </w:rPr>
        <w:t>.</w:t>
      </w:r>
      <w:proofErr w:type="gramEnd"/>
    </w:p>
    <w:p w:rsidR="006C2C26" w:rsidRDefault="006C2C26" w:rsidP="001858D0">
      <w:pPr>
        <w:spacing w:line="360" w:lineRule="auto"/>
        <w:ind w:firstLine="1440"/>
        <w:rPr>
          <w:sz w:val="26"/>
          <w:szCs w:val="26"/>
        </w:rPr>
      </w:pPr>
    </w:p>
    <w:p w:rsidR="006C2C26" w:rsidRDefault="000E0E21" w:rsidP="007A5E99">
      <w:pPr>
        <w:spacing w:line="360" w:lineRule="auto"/>
        <w:ind w:firstLine="1440"/>
        <w:rPr>
          <w:sz w:val="26"/>
          <w:szCs w:val="26"/>
        </w:rPr>
      </w:pPr>
      <w:r>
        <w:rPr>
          <w:sz w:val="26"/>
          <w:szCs w:val="26"/>
        </w:rPr>
        <w:t>The eighth</w:t>
      </w:r>
      <w:r w:rsidR="006C2C26">
        <w:rPr>
          <w:sz w:val="26"/>
          <w:szCs w:val="26"/>
        </w:rPr>
        <w:t xml:space="preserve"> standard in the </w:t>
      </w:r>
      <w:r w:rsidR="006C2C26">
        <w:rPr>
          <w:i/>
          <w:sz w:val="26"/>
          <w:szCs w:val="26"/>
        </w:rPr>
        <w:t>Policy Statement</w:t>
      </w:r>
      <w:r w:rsidR="006C2C26">
        <w:rPr>
          <w:sz w:val="26"/>
          <w:szCs w:val="26"/>
        </w:rPr>
        <w:t xml:space="preserve"> is a consideration of the amount of the civil penalty necessary to deter future violations.  52 Pa. Code §</w:t>
      </w:r>
      <w:r w:rsidR="007A5E99">
        <w:rPr>
          <w:sz w:val="26"/>
          <w:szCs w:val="26"/>
        </w:rPr>
        <w:t> </w:t>
      </w:r>
      <w:r w:rsidR="006C2C26">
        <w:rPr>
          <w:sz w:val="26"/>
          <w:szCs w:val="26"/>
        </w:rPr>
        <w:t>69.1201(c</w:t>
      </w:r>
      <w:proofErr w:type="gramStart"/>
      <w:r w:rsidR="006C2C26">
        <w:rPr>
          <w:sz w:val="26"/>
          <w:szCs w:val="26"/>
        </w:rPr>
        <w:t>)(</w:t>
      </w:r>
      <w:proofErr w:type="gramEnd"/>
      <w:r w:rsidR="006C2C26">
        <w:rPr>
          <w:sz w:val="26"/>
          <w:szCs w:val="26"/>
        </w:rPr>
        <w:t xml:space="preserve">8).  </w:t>
      </w:r>
      <w:r w:rsidR="00CF12CB">
        <w:rPr>
          <w:sz w:val="26"/>
          <w:szCs w:val="26"/>
        </w:rPr>
        <w:t>We find that</w:t>
      </w:r>
      <w:r w:rsidR="006C2C26">
        <w:rPr>
          <w:sz w:val="26"/>
          <w:szCs w:val="26"/>
        </w:rPr>
        <w:t xml:space="preserve"> a civil penalty in the amount of $</w:t>
      </w:r>
      <w:r w:rsidR="00A34E6C">
        <w:rPr>
          <w:sz w:val="26"/>
          <w:szCs w:val="26"/>
        </w:rPr>
        <w:t>1</w:t>
      </w:r>
      <w:r w:rsidR="006953A2">
        <w:rPr>
          <w:sz w:val="26"/>
          <w:szCs w:val="26"/>
        </w:rPr>
        <w:t>5</w:t>
      </w:r>
      <w:r w:rsidR="006C2C26">
        <w:rPr>
          <w:sz w:val="26"/>
          <w:szCs w:val="26"/>
        </w:rPr>
        <w:t xml:space="preserve">0 </w:t>
      </w:r>
      <w:r w:rsidR="006953A2">
        <w:rPr>
          <w:sz w:val="26"/>
          <w:szCs w:val="26"/>
        </w:rPr>
        <w:t>constitutes a reasonable and appropriate resolution of the merits of this proceeding.</w:t>
      </w:r>
      <w:r w:rsidR="006552E8">
        <w:rPr>
          <w:sz w:val="26"/>
          <w:szCs w:val="26"/>
        </w:rPr>
        <w:t xml:space="preserve">  </w:t>
      </w:r>
      <w:proofErr w:type="gramStart"/>
      <w:r w:rsidR="006C2C26">
        <w:rPr>
          <w:sz w:val="26"/>
          <w:szCs w:val="26"/>
        </w:rPr>
        <w:t>Settlement</w:t>
      </w:r>
      <w:r w:rsidR="006552E8">
        <w:rPr>
          <w:sz w:val="26"/>
          <w:szCs w:val="26"/>
        </w:rPr>
        <w:t xml:space="preserve"> </w:t>
      </w:r>
      <w:r w:rsidR="007D4A08">
        <w:rPr>
          <w:sz w:val="26"/>
          <w:szCs w:val="26"/>
        </w:rPr>
        <w:t>at</w:t>
      </w:r>
      <w:r w:rsidR="007A5E99">
        <w:rPr>
          <w:sz w:val="26"/>
          <w:szCs w:val="26"/>
        </w:rPr>
        <w:t xml:space="preserve"> </w:t>
      </w:r>
      <w:r w:rsidR="006552E8">
        <w:rPr>
          <w:sz w:val="26"/>
          <w:szCs w:val="26"/>
        </w:rPr>
        <w:t>¶</w:t>
      </w:r>
      <w:r w:rsidR="007A5E99">
        <w:rPr>
          <w:sz w:val="26"/>
          <w:szCs w:val="26"/>
        </w:rPr>
        <w:t> </w:t>
      </w:r>
      <w:r w:rsidR="006953A2">
        <w:rPr>
          <w:sz w:val="26"/>
          <w:szCs w:val="26"/>
        </w:rPr>
        <w:t>1</w:t>
      </w:r>
      <w:r w:rsidR="007D4A08">
        <w:rPr>
          <w:sz w:val="26"/>
          <w:szCs w:val="26"/>
        </w:rPr>
        <w:t>5</w:t>
      </w:r>
      <w:r w:rsidR="00375155">
        <w:rPr>
          <w:sz w:val="26"/>
          <w:szCs w:val="26"/>
        </w:rPr>
        <w:t>.</w:t>
      </w:r>
      <w:proofErr w:type="gramEnd"/>
    </w:p>
    <w:p w:rsidR="00C17777" w:rsidRDefault="00C17777" w:rsidP="00C17777">
      <w:pPr>
        <w:spacing w:line="360" w:lineRule="auto"/>
        <w:ind w:firstLine="1440"/>
        <w:rPr>
          <w:sz w:val="26"/>
          <w:szCs w:val="26"/>
        </w:rPr>
      </w:pPr>
    </w:p>
    <w:p w:rsidR="00C17777" w:rsidRDefault="00C17777" w:rsidP="001858D0">
      <w:pPr>
        <w:spacing w:line="360" w:lineRule="auto"/>
        <w:ind w:firstLine="1440"/>
        <w:rPr>
          <w:sz w:val="26"/>
          <w:szCs w:val="26"/>
        </w:rPr>
      </w:pPr>
      <w:r>
        <w:rPr>
          <w:sz w:val="26"/>
          <w:szCs w:val="26"/>
        </w:rPr>
        <w:t xml:space="preserve">The ninth standard in the </w:t>
      </w:r>
      <w:r>
        <w:rPr>
          <w:i/>
          <w:sz w:val="26"/>
          <w:szCs w:val="26"/>
        </w:rPr>
        <w:t>Policy Statement</w:t>
      </w:r>
      <w:r>
        <w:rPr>
          <w:sz w:val="26"/>
          <w:szCs w:val="26"/>
        </w:rPr>
        <w:t xml:space="preserve"> examines past Commission decisions in similar situations.  52 Pa. Code § 69.1201(c</w:t>
      </w:r>
      <w:proofErr w:type="gramStart"/>
      <w:r>
        <w:rPr>
          <w:sz w:val="26"/>
          <w:szCs w:val="26"/>
        </w:rPr>
        <w:t>)(</w:t>
      </w:r>
      <w:proofErr w:type="gramEnd"/>
      <w:r>
        <w:rPr>
          <w:sz w:val="26"/>
          <w:szCs w:val="26"/>
        </w:rPr>
        <w:t xml:space="preserve">9).  </w:t>
      </w:r>
      <w:r w:rsidR="006953A2">
        <w:rPr>
          <w:sz w:val="26"/>
          <w:szCs w:val="26"/>
        </w:rPr>
        <w:t xml:space="preserve">This Agreement is consistent with prior decisions and is appropriate based upon the circumstances of this case.  </w:t>
      </w:r>
      <w:proofErr w:type="gramStart"/>
      <w:r w:rsidR="006953A2">
        <w:rPr>
          <w:sz w:val="26"/>
          <w:szCs w:val="26"/>
        </w:rPr>
        <w:t xml:space="preserve">Settlement at ¶ </w:t>
      </w:r>
      <w:r w:rsidR="007D4A08">
        <w:rPr>
          <w:sz w:val="26"/>
          <w:szCs w:val="26"/>
        </w:rPr>
        <w:t>16</w:t>
      </w:r>
      <w:r w:rsidR="006953A2">
        <w:rPr>
          <w:sz w:val="26"/>
          <w:szCs w:val="26"/>
        </w:rPr>
        <w:t>.</w:t>
      </w:r>
      <w:proofErr w:type="gramEnd"/>
    </w:p>
    <w:p w:rsidR="009D195B" w:rsidRDefault="009D195B" w:rsidP="009D195B">
      <w:pPr>
        <w:spacing w:line="360" w:lineRule="auto"/>
        <w:ind w:firstLine="1440"/>
        <w:rPr>
          <w:sz w:val="26"/>
          <w:szCs w:val="26"/>
        </w:rPr>
      </w:pPr>
    </w:p>
    <w:p w:rsidR="009D195B" w:rsidRDefault="009D195B" w:rsidP="009D195B">
      <w:pPr>
        <w:spacing w:line="360" w:lineRule="auto"/>
        <w:ind w:firstLine="1440"/>
        <w:rPr>
          <w:sz w:val="26"/>
          <w:szCs w:val="26"/>
        </w:rPr>
      </w:pPr>
      <w:r>
        <w:rPr>
          <w:sz w:val="26"/>
          <w:szCs w:val="26"/>
        </w:rPr>
        <w:t xml:space="preserve">The tenth standard in the </w:t>
      </w:r>
      <w:r>
        <w:rPr>
          <w:i/>
          <w:sz w:val="26"/>
          <w:szCs w:val="26"/>
        </w:rPr>
        <w:t>Policy Statement</w:t>
      </w:r>
      <w:r>
        <w:rPr>
          <w:sz w:val="26"/>
          <w:szCs w:val="26"/>
        </w:rPr>
        <w:t xml:space="preserve"> </w:t>
      </w:r>
      <w:r w:rsidR="006953A2">
        <w:rPr>
          <w:sz w:val="26"/>
          <w:szCs w:val="26"/>
        </w:rPr>
        <w:t>ex</w:t>
      </w:r>
      <w:r w:rsidR="003E1D1F">
        <w:rPr>
          <w:sz w:val="26"/>
          <w:szCs w:val="26"/>
        </w:rPr>
        <w:t>a</w:t>
      </w:r>
      <w:r w:rsidR="006953A2">
        <w:rPr>
          <w:sz w:val="26"/>
          <w:szCs w:val="26"/>
        </w:rPr>
        <w:t>mines</w:t>
      </w:r>
      <w:r>
        <w:rPr>
          <w:sz w:val="26"/>
          <w:szCs w:val="26"/>
        </w:rPr>
        <w:t xml:space="preserve"> other relevant factors.  52 Pa. Code § 69.1201(c</w:t>
      </w:r>
      <w:proofErr w:type="gramStart"/>
      <w:r>
        <w:rPr>
          <w:sz w:val="26"/>
          <w:szCs w:val="26"/>
        </w:rPr>
        <w:t>)(</w:t>
      </w:r>
      <w:proofErr w:type="gramEnd"/>
      <w:r>
        <w:rPr>
          <w:sz w:val="26"/>
          <w:szCs w:val="26"/>
        </w:rPr>
        <w:t>10).  In this case, the civil penalty would arise from a settlement reached prior to a hearing and will save the Parties the time and</w:t>
      </w:r>
      <w:r w:rsidR="007A5E99">
        <w:rPr>
          <w:sz w:val="26"/>
          <w:szCs w:val="26"/>
        </w:rPr>
        <w:t xml:space="preserve"> expense of holding a hearing.</w:t>
      </w:r>
    </w:p>
    <w:p w:rsidR="002C6FFF" w:rsidRPr="00F336A3" w:rsidRDefault="002C6FFF" w:rsidP="00140EFA">
      <w:pPr>
        <w:spacing w:line="360" w:lineRule="auto"/>
        <w:rPr>
          <w:sz w:val="26"/>
          <w:szCs w:val="26"/>
          <w:u w:color="000000"/>
        </w:rPr>
      </w:pPr>
    </w:p>
    <w:p w:rsidR="001858D0" w:rsidRPr="00F336A3" w:rsidRDefault="001858D0" w:rsidP="001858D0">
      <w:pPr>
        <w:spacing w:line="360" w:lineRule="auto"/>
        <w:jc w:val="center"/>
        <w:rPr>
          <w:sz w:val="26"/>
          <w:szCs w:val="26"/>
        </w:rPr>
      </w:pPr>
      <w:r w:rsidRPr="00F336A3">
        <w:rPr>
          <w:b/>
          <w:sz w:val="26"/>
          <w:szCs w:val="26"/>
        </w:rPr>
        <w:t>Conclusion</w:t>
      </w:r>
    </w:p>
    <w:p w:rsidR="001858D0" w:rsidRPr="00FF22AE" w:rsidRDefault="001858D0" w:rsidP="001858D0">
      <w:pPr>
        <w:spacing w:line="360" w:lineRule="auto"/>
        <w:ind w:firstLine="1440"/>
        <w:rPr>
          <w:sz w:val="26"/>
          <w:szCs w:val="26"/>
        </w:rPr>
      </w:pPr>
    </w:p>
    <w:p w:rsidR="001858D0" w:rsidRPr="009D79E1" w:rsidRDefault="001858D0" w:rsidP="009D79E1">
      <w:pPr>
        <w:spacing w:line="360" w:lineRule="auto"/>
        <w:ind w:firstLine="1440"/>
        <w:rPr>
          <w:sz w:val="26"/>
          <w:szCs w:val="26"/>
        </w:rPr>
      </w:pPr>
      <w:r w:rsidRPr="00FF22AE">
        <w:rPr>
          <w:sz w:val="26"/>
          <w:szCs w:val="26"/>
        </w:rPr>
        <w:t xml:space="preserve">It is the Commission’s policy to promote settlements.  </w:t>
      </w:r>
      <w:proofErr w:type="gramStart"/>
      <w:r w:rsidRPr="00FF22AE">
        <w:rPr>
          <w:sz w:val="26"/>
          <w:szCs w:val="26"/>
        </w:rPr>
        <w:t>52 Pa. Code § 5.231.</w:t>
      </w:r>
      <w:proofErr w:type="gramEnd"/>
      <w:r w:rsidRPr="00FF22AE">
        <w:rPr>
          <w:sz w:val="26"/>
          <w:szCs w:val="26"/>
        </w:rPr>
        <w:t xml:space="preserve">  The Parties herein have provided the Commission with sufficient information upon which to thoroughly consider the terms of the </w:t>
      </w:r>
      <w:r>
        <w:rPr>
          <w:sz w:val="26"/>
          <w:szCs w:val="26"/>
        </w:rPr>
        <w:t>proposed S</w:t>
      </w:r>
      <w:r w:rsidRPr="00FF22AE">
        <w:rPr>
          <w:sz w:val="26"/>
          <w:szCs w:val="26"/>
        </w:rPr>
        <w:t xml:space="preserve">ettlement.  </w:t>
      </w:r>
      <w:r>
        <w:rPr>
          <w:sz w:val="26"/>
          <w:szCs w:val="26"/>
        </w:rPr>
        <w:t>The Settlement effectively addresses the issues that arose during the course of this proceeding and avoids the expense of litigation and the possibility of appeals.  The Respondent agrees that it will comply with the Code and the Commission’s Regulations and Orders in the future an</w:t>
      </w:r>
      <w:r w:rsidR="001D2098">
        <w:rPr>
          <w:sz w:val="26"/>
          <w:szCs w:val="26"/>
        </w:rPr>
        <w:t xml:space="preserve">d </w:t>
      </w:r>
      <w:r w:rsidR="006953A2">
        <w:rPr>
          <w:sz w:val="26"/>
          <w:szCs w:val="26"/>
        </w:rPr>
        <w:t>has taken</w:t>
      </w:r>
      <w:r>
        <w:rPr>
          <w:sz w:val="26"/>
          <w:szCs w:val="26"/>
        </w:rPr>
        <w:t xml:space="preserve"> steps to ensure</w:t>
      </w:r>
      <w:r w:rsidR="006953A2">
        <w:rPr>
          <w:sz w:val="26"/>
          <w:szCs w:val="26"/>
        </w:rPr>
        <w:t xml:space="preserve"> future</w:t>
      </w:r>
      <w:r>
        <w:rPr>
          <w:sz w:val="26"/>
          <w:szCs w:val="26"/>
        </w:rPr>
        <w:t xml:space="preserve"> compliance.  Accordingly, w</w:t>
      </w:r>
      <w:r w:rsidRPr="00FF22AE">
        <w:rPr>
          <w:sz w:val="26"/>
          <w:szCs w:val="26"/>
        </w:rPr>
        <w:t xml:space="preserve">e find that the proposed </w:t>
      </w:r>
      <w:r>
        <w:rPr>
          <w:sz w:val="26"/>
          <w:szCs w:val="26"/>
        </w:rPr>
        <w:t>S</w:t>
      </w:r>
      <w:r w:rsidRPr="00FF22AE">
        <w:rPr>
          <w:sz w:val="26"/>
          <w:szCs w:val="26"/>
        </w:rPr>
        <w:t xml:space="preserve">ettlement </w:t>
      </w:r>
      <w:r>
        <w:rPr>
          <w:sz w:val="26"/>
          <w:szCs w:val="26"/>
        </w:rPr>
        <w:t xml:space="preserve">Agreement between </w:t>
      </w:r>
      <w:r w:rsidR="00140EFA">
        <w:rPr>
          <w:sz w:val="26"/>
          <w:szCs w:val="26"/>
        </w:rPr>
        <w:t>LBPS</w:t>
      </w:r>
      <w:r>
        <w:rPr>
          <w:sz w:val="26"/>
          <w:szCs w:val="26"/>
        </w:rPr>
        <w:t xml:space="preserve"> and the Respondent is </w:t>
      </w:r>
      <w:r w:rsidRPr="00FF22AE">
        <w:rPr>
          <w:sz w:val="26"/>
          <w:szCs w:val="26"/>
        </w:rPr>
        <w:t xml:space="preserve">in the public interest and merits approval; </w:t>
      </w:r>
      <w:r w:rsidRPr="00DA57A9">
        <w:rPr>
          <w:b/>
          <w:sz w:val="26"/>
          <w:szCs w:val="26"/>
        </w:rPr>
        <w:t>THER</w:t>
      </w:r>
      <w:r w:rsidRPr="00FF22AE">
        <w:rPr>
          <w:b/>
          <w:sz w:val="26"/>
          <w:szCs w:val="26"/>
        </w:rPr>
        <w:t>EFORE</w:t>
      </w:r>
      <w:r w:rsidRPr="00FF22AE">
        <w:rPr>
          <w:sz w:val="26"/>
          <w:szCs w:val="26"/>
        </w:rPr>
        <w:t>,</w:t>
      </w:r>
    </w:p>
    <w:p w:rsidR="000E0E21" w:rsidRDefault="000E0E21" w:rsidP="001858D0">
      <w:pPr>
        <w:spacing w:line="360" w:lineRule="auto"/>
        <w:rPr>
          <w:b/>
          <w:sz w:val="26"/>
          <w:szCs w:val="26"/>
        </w:rPr>
      </w:pPr>
    </w:p>
    <w:p w:rsidR="00A34E6C" w:rsidRDefault="00A34E6C" w:rsidP="001858D0">
      <w:pPr>
        <w:spacing w:line="360" w:lineRule="auto"/>
        <w:rPr>
          <w:b/>
          <w:sz w:val="26"/>
          <w:szCs w:val="26"/>
        </w:rPr>
      </w:pPr>
    </w:p>
    <w:p w:rsidR="001858D0" w:rsidRPr="00FF22AE" w:rsidRDefault="005D31DB" w:rsidP="001858D0">
      <w:pPr>
        <w:spacing w:line="360" w:lineRule="auto"/>
        <w:rPr>
          <w:b/>
          <w:sz w:val="26"/>
          <w:szCs w:val="26"/>
        </w:rPr>
      </w:pPr>
      <w:r>
        <w:rPr>
          <w:b/>
          <w:sz w:val="26"/>
          <w:szCs w:val="26"/>
        </w:rPr>
        <w:tab/>
      </w:r>
      <w:r w:rsidR="00A34E6C">
        <w:rPr>
          <w:b/>
          <w:sz w:val="26"/>
          <w:szCs w:val="26"/>
        </w:rPr>
        <w:tab/>
      </w:r>
      <w:r w:rsidR="001858D0" w:rsidRPr="00FF22AE">
        <w:rPr>
          <w:b/>
          <w:sz w:val="26"/>
          <w:szCs w:val="26"/>
        </w:rPr>
        <w:t>IT IS ORDERED:</w:t>
      </w:r>
    </w:p>
    <w:p w:rsidR="001858D0" w:rsidRPr="00FF22AE" w:rsidRDefault="001858D0" w:rsidP="001858D0">
      <w:pPr>
        <w:spacing w:line="360" w:lineRule="auto"/>
        <w:rPr>
          <w:sz w:val="26"/>
          <w:szCs w:val="26"/>
        </w:rPr>
      </w:pPr>
    </w:p>
    <w:p w:rsidR="001858D0" w:rsidRDefault="001858D0" w:rsidP="001858D0">
      <w:pPr>
        <w:spacing w:line="360" w:lineRule="auto"/>
        <w:rPr>
          <w:sz w:val="26"/>
          <w:szCs w:val="26"/>
        </w:rPr>
      </w:pPr>
      <w:r w:rsidRPr="00FF22AE">
        <w:rPr>
          <w:sz w:val="26"/>
          <w:szCs w:val="26"/>
        </w:rPr>
        <w:tab/>
      </w:r>
      <w:r w:rsidRPr="00FF22AE">
        <w:rPr>
          <w:sz w:val="26"/>
          <w:szCs w:val="26"/>
        </w:rPr>
        <w:tab/>
        <w:t>1.</w:t>
      </w:r>
      <w:r w:rsidRPr="00FF22AE">
        <w:rPr>
          <w:sz w:val="26"/>
          <w:szCs w:val="26"/>
        </w:rPr>
        <w:tab/>
        <w:t xml:space="preserve"> That the Settlement Agreement between </w:t>
      </w:r>
      <w:r w:rsidR="006953A2">
        <w:rPr>
          <w:sz w:val="26"/>
          <w:szCs w:val="26"/>
        </w:rPr>
        <w:t xml:space="preserve">the </w:t>
      </w:r>
      <w:r w:rsidR="00140EFA">
        <w:rPr>
          <w:sz w:val="26"/>
          <w:szCs w:val="26"/>
        </w:rPr>
        <w:t xml:space="preserve">Pennsylvania Public Utility Commission’s Law Bureau Prosecutory Staff and </w:t>
      </w:r>
      <w:r w:rsidR="00A34E6C">
        <w:rPr>
          <w:sz w:val="26"/>
          <w:szCs w:val="26"/>
        </w:rPr>
        <w:t>Capital City Cab Service, Inc</w:t>
      </w:r>
      <w:r w:rsidR="00140EFA">
        <w:rPr>
          <w:sz w:val="26"/>
          <w:szCs w:val="26"/>
        </w:rPr>
        <w:t>.</w:t>
      </w:r>
      <w:r w:rsidR="009D79E1">
        <w:rPr>
          <w:sz w:val="26"/>
          <w:szCs w:val="26"/>
        </w:rPr>
        <w:t>,</w:t>
      </w:r>
      <w:r>
        <w:rPr>
          <w:sz w:val="26"/>
          <w:szCs w:val="26"/>
        </w:rPr>
        <w:t xml:space="preserve"> filed</w:t>
      </w:r>
      <w:r w:rsidRPr="00FF22AE">
        <w:rPr>
          <w:sz w:val="26"/>
          <w:szCs w:val="26"/>
        </w:rPr>
        <w:t xml:space="preserve"> </w:t>
      </w:r>
      <w:r w:rsidR="00A34E6C">
        <w:rPr>
          <w:sz w:val="26"/>
          <w:szCs w:val="26"/>
        </w:rPr>
        <w:t>October 24</w:t>
      </w:r>
      <w:r>
        <w:rPr>
          <w:sz w:val="26"/>
          <w:szCs w:val="26"/>
        </w:rPr>
        <w:t>,</w:t>
      </w:r>
      <w:r w:rsidR="006953A2">
        <w:rPr>
          <w:sz w:val="26"/>
          <w:szCs w:val="26"/>
        </w:rPr>
        <w:t xml:space="preserve"> 2011,</w:t>
      </w:r>
      <w:r>
        <w:rPr>
          <w:sz w:val="26"/>
          <w:szCs w:val="26"/>
        </w:rPr>
        <w:t xml:space="preserve"> is approved.</w:t>
      </w:r>
    </w:p>
    <w:p w:rsidR="00A71BFF" w:rsidRDefault="00A71BFF" w:rsidP="001858D0">
      <w:pPr>
        <w:spacing w:line="360" w:lineRule="auto"/>
        <w:ind w:firstLine="1440"/>
        <w:rPr>
          <w:sz w:val="26"/>
          <w:szCs w:val="26"/>
        </w:rPr>
      </w:pPr>
    </w:p>
    <w:p w:rsidR="001858D0" w:rsidRDefault="001858D0" w:rsidP="001858D0">
      <w:pPr>
        <w:spacing w:line="360" w:lineRule="auto"/>
        <w:ind w:firstLine="1440"/>
        <w:rPr>
          <w:sz w:val="26"/>
          <w:szCs w:val="26"/>
        </w:rPr>
      </w:pPr>
      <w:r>
        <w:rPr>
          <w:sz w:val="26"/>
          <w:szCs w:val="26"/>
        </w:rPr>
        <w:t>2.</w:t>
      </w:r>
      <w:r>
        <w:rPr>
          <w:sz w:val="26"/>
          <w:szCs w:val="26"/>
        </w:rPr>
        <w:tab/>
        <w:t>That the Complaint at Docket No. C-</w:t>
      </w:r>
      <w:r w:rsidR="006953A2">
        <w:rPr>
          <w:sz w:val="26"/>
          <w:szCs w:val="26"/>
        </w:rPr>
        <w:t>2011-</w:t>
      </w:r>
      <w:r w:rsidR="00140EFA">
        <w:rPr>
          <w:sz w:val="26"/>
          <w:szCs w:val="26"/>
        </w:rPr>
        <w:t>22</w:t>
      </w:r>
      <w:r w:rsidR="00A71BFF">
        <w:rPr>
          <w:sz w:val="26"/>
          <w:szCs w:val="26"/>
        </w:rPr>
        <w:t>01231</w:t>
      </w:r>
      <w:r>
        <w:rPr>
          <w:sz w:val="26"/>
          <w:szCs w:val="26"/>
        </w:rPr>
        <w:t xml:space="preserve"> is sustained to the extent outlined in this Opinion and Order.</w:t>
      </w:r>
    </w:p>
    <w:p w:rsidR="001858D0" w:rsidRDefault="001858D0" w:rsidP="006953A2">
      <w:pPr>
        <w:rPr>
          <w:sz w:val="26"/>
        </w:rPr>
      </w:pPr>
    </w:p>
    <w:p w:rsidR="00140EFA" w:rsidRDefault="006953A2" w:rsidP="001858D0">
      <w:pPr>
        <w:spacing w:line="360" w:lineRule="auto"/>
        <w:ind w:firstLine="1440"/>
        <w:rPr>
          <w:sz w:val="26"/>
        </w:rPr>
      </w:pPr>
      <w:r>
        <w:rPr>
          <w:sz w:val="26"/>
        </w:rPr>
        <w:t>3</w:t>
      </w:r>
      <w:r w:rsidR="001858D0">
        <w:rPr>
          <w:sz w:val="26"/>
        </w:rPr>
        <w:t>.</w:t>
      </w:r>
      <w:r w:rsidR="001858D0">
        <w:rPr>
          <w:sz w:val="26"/>
        </w:rPr>
        <w:tab/>
      </w:r>
      <w:r w:rsidR="00140EFA">
        <w:rPr>
          <w:sz w:val="26"/>
        </w:rPr>
        <w:t xml:space="preserve">That </w:t>
      </w:r>
      <w:r w:rsidR="00A71BFF">
        <w:rPr>
          <w:sz w:val="26"/>
        </w:rPr>
        <w:t>Capital City Cab Service</w:t>
      </w:r>
      <w:r w:rsidR="00140EFA">
        <w:rPr>
          <w:sz w:val="26"/>
        </w:rPr>
        <w:t>, Inc. shall pay a civil penalty in the amount of $</w:t>
      </w:r>
      <w:r w:rsidR="00A71BFF">
        <w:rPr>
          <w:sz w:val="26"/>
        </w:rPr>
        <w:t>1</w:t>
      </w:r>
      <w:r w:rsidR="00140EFA">
        <w:rPr>
          <w:sz w:val="26"/>
        </w:rPr>
        <w:t>50 by check or money order within twenty (20) days from the entry date of this Opinion and Order.  Said check or money order shall be made payable to:</w:t>
      </w:r>
    </w:p>
    <w:p w:rsidR="00140EFA" w:rsidRDefault="00140EFA" w:rsidP="001858D0">
      <w:pPr>
        <w:spacing w:line="360" w:lineRule="auto"/>
        <w:ind w:firstLine="1440"/>
        <w:rPr>
          <w:sz w:val="26"/>
        </w:rPr>
      </w:pPr>
    </w:p>
    <w:p w:rsidR="00140EFA" w:rsidRDefault="00140EFA" w:rsidP="00140EFA">
      <w:pPr>
        <w:ind w:firstLine="1440"/>
        <w:rPr>
          <w:sz w:val="26"/>
        </w:rPr>
      </w:pPr>
      <w:r>
        <w:rPr>
          <w:sz w:val="26"/>
        </w:rPr>
        <w:tab/>
      </w:r>
      <w:r>
        <w:rPr>
          <w:sz w:val="26"/>
        </w:rPr>
        <w:tab/>
        <w:t>Pennsylvania Public Utility Commission</w:t>
      </w:r>
    </w:p>
    <w:p w:rsidR="00140EFA" w:rsidRDefault="00140EFA" w:rsidP="00140EFA">
      <w:pPr>
        <w:ind w:firstLine="1440"/>
        <w:rPr>
          <w:sz w:val="26"/>
        </w:rPr>
      </w:pPr>
      <w:r>
        <w:rPr>
          <w:sz w:val="26"/>
        </w:rPr>
        <w:tab/>
      </w:r>
      <w:r>
        <w:rPr>
          <w:sz w:val="26"/>
        </w:rPr>
        <w:tab/>
        <w:t>P. O. Box 3265</w:t>
      </w:r>
    </w:p>
    <w:p w:rsidR="00140EFA" w:rsidRDefault="00140EFA" w:rsidP="00140EFA">
      <w:pPr>
        <w:ind w:firstLine="1440"/>
        <w:rPr>
          <w:sz w:val="26"/>
        </w:rPr>
      </w:pPr>
      <w:r>
        <w:rPr>
          <w:sz w:val="26"/>
        </w:rPr>
        <w:tab/>
      </w:r>
      <w:r>
        <w:rPr>
          <w:sz w:val="26"/>
        </w:rPr>
        <w:tab/>
        <w:t>Harrisburg, PA  17105-3265</w:t>
      </w:r>
    </w:p>
    <w:p w:rsidR="00140EFA" w:rsidRDefault="00140EFA" w:rsidP="00140EFA">
      <w:pPr>
        <w:ind w:firstLine="1440"/>
        <w:rPr>
          <w:sz w:val="26"/>
        </w:rPr>
      </w:pPr>
    </w:p>
    <w:p w:rsidR="001858D0" w:rsidRDefault="00140EFA" w:rsidP="001858D0">
      <w:pPr>
        <w:spacing w:line="360" w:lineRule="auto"/>
        <w:ind w:firstLine="1440"/>
        <w:rPr>
          <w:sz w:val="26"/>
          <w:szCs w:val="26"/>
        </w:rPr>
      </w:pPr>
      <w:r>
        <w:rPr>
          <w:sz w:val="26"/>
        </w:rPr>
        <w:t>4.</w:t>
      </w:r>
      <w:r>
        <w:rPr>
          <w:sz w:val="26"/>
        </w:rPr>
        <w:tab/>
      </w:r>
      <w:r w:rsidR="001858D0">
        <w:rPr>
          <w:sz w:val="26"/>
        </w:rPr>
        <w:t xml:space="preserve">That </w:t>
      </w:r>
      <w:r w:rsidR="00A71BFF">
        <w:rPr>
          <w:sz w:val="26"/>
        </w:rPr>
        <w:t>Capital City Cab Service</w:t>
      </w:r>
      <w:r>
        <w:rPr>
          <w:sz w:val="26"/>
        </w:rPr>
        <w:t xml:space="preserve">, Inc., </w:t>
      </w:r>
      <w:r w:rsidR="001858D0">
        <w:rPr>
          <w:sz w:val="26"/>
          <w:szCs w:val="26"/>
        </w:rPr>
        <w:t xml:space="preserve">shall cease and desist from any further violations of the Public Utility Code, 66 Pa. C.S. §§ 101, </w:t>
      </w:r>
      <w:r w:rsidR="001858D0" w:rsidRPr="00172FBA">
        <w:rPr>
          <w:i/>
          <w:sz w:val="26"/>
          <w:szCs w:val="26"/>
        </w:rPr>
        <w:t>et seq</w:t>
      </w:r>
      <w:r w:rsidR="001858D0">
        <w:rPr>
          <w:sz w:val="26"/>
          <w:szCs w:val="26"/>
        </w:rPr>
        <w:t xml:space="preserve">., and the </w:t>
      </w:r>
      <w:r w:rsidR="001858D0" w:rsidRPr="00BD0C52">
        <w:rPr>
          <w:sz w:val="26"/>
          <w:szCs w:val="26"/>
        </w:rPr>
        <w:t>Commission’s</w:t>
      </w:r>
      <w:r w:rsidR="001858D0">
        <w:rPr>
          <w:sz w:val="26"/>
          <w:szCs w:val="26"/>
        </w:rPr>
        <w:t xml:space="preserve"> Regulations, 52 Pa. Code §§ 1.1, </w:t>
      </w:r>
      <w:r w:rsidR="001858D0" w:rsidRPr="001E0443">
        <w:rPr>
          <w:i/>
          <w:sz w:val="26"/>
          <w:szCs w:val="26"/>
        </w:rPr>
        <w:t>et se</w:t>
      </w:r>
      <w:r w:rsidR="001858D0">
        <w:rPr>
          <w:i/>
          <w:sz w:val="26"/>
          <w:szCs w:val="26"/>
        </w:rPr>
        <w:t>q</w:t>
      </w:r>
      <w:r w:rsidR="001858D0">
        <w:rPr>
          <w:sz w:val="26"/>
          <w:szCs w:val="26"/>
        </w:rPr>
        <w:t xml:space="preserve">. </w:t>
      </w:r>
    </w:p>
    <w:p w:rsidR="001858D0" w:rsidRDefault="001858D0" w:rsidP="001858D0">
      <w:pPr>
        <w:spacing w:line="360" w:lineRule="auto"/>
        <w:ind w:firstLine="1440"/>
        <w:rPr>
          <w:sz w:val="26"/>
        </w:rPr>
      </w:pPr>
    </w:p>
    <w:p w:rsidR="001858D0" w:rsidRDefault="00C20E25" w:rsidP="001858D0">
      <w:pPr>
        <w:spacing w:line="360" w:lineRule="auto"/>
        <w:ind w:firstLine="1440"/>
        <w:rPr>
          <w:sz w:val="26"/>
        </w:rPr>
      </w:pPr>
      <w:r>
        <w:rPr>
          <w:sz w:val="26"/>
        </w:rPr>
        <w:t>5</w:t>
      </w:r>
      <w:r w:rsidR="001858D0">
        <w:rPr>
          <w:sz w:val="26"/>
        </w:rPr>
        <w:t>.</w:t>
      </w:r>
      <w:r w:rsidR="001858D0">
        <w:rPr>
          <w:sz w:val="26"/>
        </w:rPr>
        <w:tab/>
        <w:t xml:space="preserve">That a copy of this Opinion and Order shall be served on the Bureau of </w:t>
      </w:r>
      <w:r w:rsidR="001246D0">
        <w:rPr>
          <w:sz w:val="26"/>
        </w:rPr>
        <w:t>Investigation and Enforcement</w:t>
      </w:r>
      <w:r w:rsidR="001858D0">
        <w:rPr>
          <w:sz w:val="26"/>
        </w:rPr>
        <w:t xml:space="preserve">.  </w:t>
      </w:r>
    </w:p>
    <w:p w:rsidR="001858D0" w:rsidRDefault="001858D0" w:rsidP="001858D0">
      <w:pPr>
        <w:spacing w:line="360" w:lineRule="auto"/>
        <w:ind w:firstLine="1440"/>
        <w:rPr>
          <w:sz w:val="26"/>
        </w:rPr>
      </w:pPr>
    </w:p>
    <w:p w:rsidR="001858D0" w:rsidRDefault="00C20E25" w:rsidP="001858D0">
      <w:pPr>
        <w:spacing w:line="360" w:lineRule="auto"/>
        <w:ind w:firstLine="1440"/>
        <w:rPr>
          <w:sz w:val="26"/>
        </w:rPr>
      </w:pPr>
      <w:r>
        <w:rPr>
          <w:sz w:val="26"/>
        </w:rPr>
        <w:t>6</w:t>
      </w:r>
      <w:r w:rsidR="001858D0">
        <w:rPr>
          <w:sz w:val="26"/>
        </w:rPr>
        <w:t>.</w:t>
      </w:r>
      <w:r w:rsidR="001858D0">
        <w:rPr>
          <w:sz w:val="26"/>
        </w:rPr>
        <w:tab/>
      </w:r>
      <w:r w:rsidR="001858D0" w:rsidRPr="0090056F">
        <w:rPr>
          <w:sz w:val="26"/>
        </w:rPr>
        <w:t xml:space="preserve">That a copy of this Opinion and Order </w:t>
      </w:r>
      <w:r w:rsidR="001858D0">
        <w:rPr>
          <w:sz w:val="26"/>
        </w:rPr>
        <w:t xml:space="preserve">shall </w:t>
      </w:r>
      <w:r w:rsidR="001858D0" w:rsidRPr="0090056F">
        <w:rPr>
          <w:sz w:val="26"/>
        </w:rPr>
        <w:t xml:space="preserve">be served on the Financial and Assessment Chief, </w:t>
      </w:r>
      <w:r w:rsidR="009D195B">
        <w:rPr>
          <w:sz w:val="26"/>
        </w:rPr>
        <w:t>Bureau of Administration.</w:t>
      </w:r>
    </w:p>
    <w:p w:rsidR="00C20E25" w:rsidRDefault="00C20E25" w:rsidP="001858D0">
      <w:pPr>
        <w:spacing w:line="360" w:lineRule="auto"/>
        <w:ind w:firstLine="1440"/>
        <w:rPr>
          <w:sz w:val="26"/>
        </w:rPr>
      </w:pPr>
    </w:p>
    <w:p w:rsidR="00140EFA" w:rsidRDefault="00140EFA" w:rsidP="00140EFA">
      <w:pPr>
        <w:spacing w:line="360" w:lineRule="auto"/>
        <w:ind w:firstLine="1440"/>
        <w:rPr>
          <w:sz w:val="26"/>
        </w:rPr>
      </w:pPr>
    </w:p>
    <w:p w:rsidR="00140EFA" w:rsidRDefault="00140EFA" w:rsidP="00140EFA">
      <w:pPr>
        <w:spacing w:line="360" w:lineRule="auto"/>
        <w:ind w:firstLine="1440"/>
        <w:rPr>
          <w:sz w:val="26"/>
        </w:rPr>
      </w:pPr>
    </w:p>
    <w:p w:rsidR="001858D0" w:rsidRDefault="00C20E25" w:rsidP="00140EFA">
      <w:pPr>
        <w:spacing w:line="360" w:lineRule="auto"/>
        <w:ind w:firstLine="1440"/>
        <w:rPr>
          <w:sz w:val="26"/>
          <w:szCs w:val="26"/>
        </w:rPr>
      </w:pPr>
      <w:r>
        <w:rPr>
          <w:sz w:val="26"/>
        </w:rPr>
        <w:t>7</w:t>
      </w:r>
      <w:r w:rsidR="001858D0">
        <w:rPr>
          <w:sz w:val="26"/>
        </w:rPr>
        <w:t>.</w:t>
      </w:r>
      <w:r w:rsidR="001858D0">
        <w:rPr>
          <w:sz w:val="26"/>
        </w:rPr>
        <w:tab/>
      </w:r>
      <w:r w:rsidR="001858D0" w:rsidRPr="0090056F">
        <w:rPr>
          <w:sz w:val="26"/>
        </w:rPr>
        <w:t xml:space="preserve">That </w:t>
      </w:r>
      <w:r w:rsidR="001858D0">
        <w:rPr>
          <w:sz w:val="26"/>
        </w:rPr>
        <w:t>the Secretary shall mark th</w:t>
      </w:r>
      <w:r w:rsidR="00B057A1">
        <w:rPr>
          <w:sz w:val="26"/>
        </w:rPr>
        <w:t>ese</w:t>
      </w:r>
      <w:r w:rsidR="001858D0">
        <w:rPr>
          <w:sz w:val="26"/>
        </w:rPr>
        <w:t xml:space="preserve"> </w:t>
      </w:r>
      <w:r w:rsidR="001858D0" w:rsidRPr="0090056F">
        <w:rPr>
          <w:sz w:val="26"/>
        </w:rPr>
        <w:t>proceeding</w:t>
      </w:r>
      <w:r w:rsidR="00B057A1">
        <w:rPr>
          <w:sz w:val="26"/>
        </w:rPr>
        <w:t>s</w:t>
      </w:r>
      <w:r w:rsidR="003E1D1F">
        <w:rPr>
          <w:sz w:val="26"/>
        </w:rPr>
        <w:t xml:space="preserve"> closed</w:t>
      </w:r>
      <w:r w:rsidR="00140EFA">
        <w:rPr>
          <w:sz w:val="26"/>
        </w:rPr>
        <w:t xml:space="preserve"> upon payment of the civil penalty assessed herein.</w:t>
      </w:r>
      <w:r w:rsidR="001858D0" w:rsidRPr="0090056F">
        <w:rPr>
          <w:sz w:val="26"/>
        </w:rPr>
        <w:t xml:space="preserve"> </w:t>
      </w:r>
    </w:p>
    <w:p w:rsidR="003E1D1F" w:rsidRDefault="003E1D1F" w:rsidP="001858D0">
      <w:pPr>
        <w:tabs>
          <w:tab w:val="left" w:pos="-720"/>
        </w:tabs>
        <w:suppressAutoHyphens/>
        <w:rPr>
          <w:b/>
          <w:sz w:val="26"/>
        </w:rPr>
      </w:pPr>
    </w:p>
    <w:p w:rsidR="007A5E99" w:rsidRDefault="007A5E99" w:rsidP="001858D0">
      <w:pPr>
        <w:tabs>
          <w:tab w:val="left" w:pos="-720"/>
        </w:tabs>
        <w:suppressAutoHyphens/>
        <w:rPr>
          <w:b/>
          <w:sz w:val="26"/>
        </w:rPr>
      </w:pPr>
    </w:p>
    <w:p w:rsidR="007A5E99" w:rsidRDefault="007A5E99" w:rsidP="001858D0">
      <w:pPr>
        <w:tabs>
          <w:tab w:val="left" w:pos="-720"/>
        </w:tabs>
        <w:suppressAutoHyphens/>
        <w:rPr>
          <w:b/>
          <w:sz w:val="26"/>
        </w:rPr>
      </w:pPr>
    </w:p>
    <w:p w:rsidR="001858D0" w:rsidRPr="003C63B1" w:rsidRDefault="00496140" w:rsidP="001858D0">
      <w:pPr>
        <w:tabs>
          <w:tab w:val="left" w:pos="-720"/>
        </w:tabs>
        <w:suppressAutoHyphens/>
        <w:rPr>
          <w:sz w:val="26"/>
        </w:rPr>
      </w:pPr>
      <w:bookmarkStart w:id="0" w:name="_GoBack"/>
      <w:r w:rsidRPr="00A4345F">
        <w:rPr>
          <w:noProof/>
        </w:rPr>
        <w:drawing>
          <wp:anchor distT="0" distB="0" distL="114300" distR="114300" simplePos="0" relativeHeight="251659264" behindDoc="1" locked="0" layoutInCell="1" allowOverlap="1" wp14:anchorId="493AEE73" wp14:editId="74DA97FA">
            <wp:simplePos x="0" y="0"/>
            <wp:positionH relativeFrom="column">
              <wp:posOffset>3181350</wp:posOffset>
            </wp:positionH>
            <wp:positionV relativeFrom="paragraph">
              <wp:posOffset>107950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3E1D1F">
        <w:rPr>
          <w:b/>
          <w:sz w:val="26"/>
        </w:rPr>
        <w:tab/>
      </w:r>
      <w:r w:rsidR="003E1D1F">
        <w:rPr>
          <w:b/>
          <w:sz w:val="26"/>
        </w:rPr>
        <w:tab/>
      </w:r>
      <w:r w:rsidR="003E1D1F">
        <w:rPr>
          <w:b/>
          <w:sz w:val="26"/>
        </w:rPr>
        <w:tab/>
      </w:r>
      <w:r w:rsidR="003E1D1F">
        <w:rPr>
          <w:b/>
          <w:sz w:val="26"/>
        </w:rPr>
        <w:tab/>
      </w:r>
      <w:r w:rsidR="003E1D1F">
        <w:rPr>
          <w:b/>
          <w:sz w:val="26"/>
        </w:rPr>
        <w:tab/>
      </w:r>
      <w:r w:rsidR="003E1D1F">
        <w:rPr>
          <w:b/>
          <w:sz w:val="26"/>
        </w:rPr>
        <w:tab/>
      </w:r>
      <w:r w:rsidR="003E1D1F">
        <w:rPr>
          <w:b/>
          <w:sz w:val="26"/>
        </w:rPr>
        <w:tab/>
      </w:r>
      <w:r w:rsidR="001858D0" w:rsidRPr="003C63B1">
        <w:rPr>
          <w:b/>
          <w:sz w:val="26"/>
        </w:rPr>
        <w:t>BY THE COMMISSION,</w:t>
      </w:r>
    </w:p>
    <w:p w:rsidR="001858D0" w:rsidRPr="003C63B1" w:rsidRDefault="001858D0" w:rsidP="001858D0">
      <w:pPr>
        <w:tabs>
          <w:tab w:val="left" w:pos="-720"/>
        </w:tabs>
        <w:suppressAutoHyphens/>
        <w:rPr>
          <w:sz w:val="26"/>
        </w:rPr>
      </w:pPr>
    </w:p>
    <w:p w:rsidR="001858D0" w:rsidRPr="003C63B1" w:rsidRDefault="001858D0" w:rsidP="001858D0">
      <w:pPr>
        <w:tabs>
          <w:tab w:val="left" w:pos="-720"/>
        </w:tabs>
        <w:suppressAutoHyphens/>
        <w:rPr>
          <w:sz w:val="26"/>
        </w:rPr>
      </w:pPr>
    </w:p>
    <w:p w:rsidR="001858D0" w:rsidRDefault="001858D0" w:rsidP="001858D0">
      <w:pPr>
        <w:tabs>
          <w:tab w:val="left" w:pos="-720"/>
        </w:tabs>
        <w:suppressAutoHyphens/>
        <w:rPr>
          <w:sz w:val="26"/>
        </w:rPr>
      </w:pPr>
    </w:p>
    <w:p w:rsidR="007A5E99" w:rsidRPr="003C63B1" w:rsidRDefault="007A5E99" w:rsidP="001858D0">
      <w:pPr>
        <w:tabs>
          <w:tab w:val="left" w:pos="-720"/>
        </w:tabs>
        <w:suppressAutoHyphens/>
        <w:rPr>
          <w:sz w:val="26"/>
        </w:rPr>
      </w:pPr>
    </w:p>
    <w:p w:rsidR="001858D0" w:rsidRPr="003C63B1" w:rsidRDefault="001858D0" w:rsidP="001858D0">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1858D0" w:rsidRPr="003C63B1" w:rsidRDefault="001858D0" w:rsidP="001858D0">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1858D0" w:rsidRPr="003C63B1" w:rsidRDefault="001858D0" w:rsidP="001858D0">
      <w:pPr>
        <w:tabs>
          <w:tab w:val="left" w:pos="-720"/>
        </w:tabs>
        <w:suppressAutoHyphens/>
        <w:rPr>
          <w:sz w:val="26"/>
        </w:rPr>
      </w:pPr>
    </w:p>
    <w:p w:rsidR="003E1D1F" w:rsidRDefault="003E1D1F" w:rsidP="001858D0">
      <w:pPr>
        <w:tabs>
          <w:tab w:val="left" w:pos="-720"/>
        </w:tabs>
        <w:suppressAutoHyphens/>
        <w:rPr>
          <w:sz w:val="26"/>
        </w:rPr>
      </w:pPr>
    </w:p>
    <w:p w:rsidR="001858D0" w:rsidRPr="003C63B1" w:rsidRDefault="001858D0" w:rsidP="001858D0">
      <w:pPr>
        <w:tabs>
          <w:tab w:val="left" w:pos="-720"/>
        </w:tabs>
        <w:suppressAutoHyphens/>
        <w:rPr>
          <w:sz w:val="26"/>
        </w:rPr>
      </w:pPr>
      <w:r w:rsidRPr="003C63B1">
        <w:rPr>
          <w:sz w:val="26"/>
        </w:rPr>
        <w:t>(SEAL)</w:t>
      </w:r>
    </w:p>
    <w:p w:rsidR="001858D0" w:rsidRPr="003C63B1" w:rsidRDefault="001858D0" w:rsidP="001858D0">
      <w:pPr>
        <w:tabs>
          <w:tab w:val="left" w:pos="-720"/>
        </w:tabs>
        <w:suppressAutoHyphens/>
        <w:rPr>
          <w:sz w:val="26"/>
        </w:rPr>
      </w:pPr>
    </w:p>
    <w:p w:rsidR="001858D0" w:rsidRPr="003C63B1" w:rsidRDefault="001858D0" w:rsidP="001858D0">
      <w:pPr>
        <w:tabs>
          <w:tab w:val="left" w:pos="-720"/>
        </w:tabs>
        <w:suppressAutoHyphens/>
        <w:rPr>
          <w:sz w:val="26"/>
        </w:rPr>
      </w:pPr>
      <w:r>
        <w:rPr>
          <w:sz w:val="26"/>
        </w:rPr>
        <w:t xml:space="preserve">ORDER ADOPTED:  </w:t>
      </w:r>
      <w:r w:rsidR="001831C2">
        <w:rPr>
          <w:sz w:val="26"/>
        </w:rPr>
        <w:t>January</w:t>
      </w:r>
      <w:r w:rsidR="00140EFA">
        <w:rPr>
          <w:sz w:val="26"/>
        </w:rPr>
        <w:t xml:space="preserve"> 1</w:t>
      </w:r>
      <w:r w:rsidR="001831C2">
        <w:rPr>
          <w:sz w:val="26"/>
        </w:rPr>
        <w:t>2</w:t>
      </w:r>
      <w:r>
        <w:rPr>
          <w:sz w:val="26"/>
        </w:rPr>
        <w:t>, 201</w:t>
      </w:r>
      <w:r w:rsidR="001831C2">
        <w:rPr>
          <w:sz w:val="26"/>
        </w:rPr>
        <w:t>2</w:t>
      </w:r>
      <w:r>
        <w:rPr>
          <w:sz w:val="26"/>
        </w:rPr>
        <w:t xml:space="preserve"> </w:t>
      </w:r>
    </w:p>
    <w:p w:rsidR="001858D0" w:rsidRPr="003C63B1" w:rsidRDefault="001858D0" w:rsidP="001858D0">
      <w:pPr>
        <w:tabs>
          <w:tab w:val="left" w:pos="-720"/>
        </w:tabs>
        <w:suppressAutoHyphens/>
        <w:rPr>
          <w:sz w:val="26"/>
        </w:rPr>
      </w:pPr>
    </w:p>
    <w:p w:rsidR="001858D0" w:rsidRPr="003C63B1" w:rsidRDefault="001858D0" w:rsidP="001858D0">
      <w:pPr>
        <w:tabs>
          <w:tab w:val="left" w:pos="-720"/>
        </w:tabs>
        <w:suppressAutoHyphens/>
        <w:rPr>
          <w:sz w:val="26"/>
        </w:rPr>
      </w:pPr>
      <w:r w:rsidRPr="003C63B1">
        <w:rPr>
          <w:sz w:val="26"/>
        </w:rPr>
        <w:t xml:space="preserve">ORDER ENTERED: </w:t>
      </w:r>
      <w:r w:rsidR="00496140">
        <w:rPr>
          <w:sz w:val="26"/>
        </w:rPr>
        <w:t xml:space="preserve">  January 12, 2012</w:t>
      </w:r>
    </w:p>
    <w:sectPr w:rsidR="001858D0" w:rsidRPr="003C63B1" w:rsidSect="005A350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E5" w:rsidRDefault="009B28E5" w:rsidP="005A3508">
      <w:r>
        <w:separator/>
      </w:r>
    </w:p>
  </w:endnote>
  <w:endnote w:type="continuationSeparator" w:id="0">
    <w:p w:rsidR="009B28E5" w:rsidRDefault="009B28E5"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EC3251" w:rsidRDefault="00B57B3C">
        <w:pPr>
          <w:pStyle w:val="Footer"/>
          <w:jc w:val="center"/>
        </w:pPr>
        <w:r>
          <w:fldChar w:fldCharType="begin"/>
        </w:r>
        <w:r>
          <w:instrText xml:space="preserve"> PAGE   \* MERGEFORMAT </w:instrText>
        </w:r>
        <w:r>
          <w:fldChar w:fldCharType="separate"/>
        </w:r>
        <w:r w:rsidR="00496140">
          <w:rPr>
            <w:noProof/>
          </w:rPr>
          <w:t>8</w:t>
        </w:r>
        <w:r>
          <w:rPr>
            <w:noProof/>
          </w:rPr>
          <w:fldChar w:fldCharType="end"/>
        </w:r>
      </w:p>
    </w:sdtContent>
  </w:sdt>
  <w:p w:rsidR="00EC3251" w:rsidRDefault="00EC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E5" w:rsidRDefault="009B28E5" w:rsidP="005A3508">
      <w:r>
        <w:separator/>
      </w:r>
    </w:p>
  </w:footnote>
  <w:footnote w:type="continuationSeparator" w:id="0">
    <w:p w:rsidR="009B28E5" w:rsidRDefault="009B28E5" w:rsidP="005A3508">
      <w:r>
        <w:continuationSeparator/>
      </w:r>
    </w:p>
  </w:footnote>
  <w:footnote w:id="1">
    <w:p w:rsidR="00A228EB" w:rsidRPr="00A228EB" w:rsidRDefault="00A228EB" w:rsidP="00A228EB">
      <w:pPr>
        <w:pStyle w:val="FootnoteText"/>
        <w:ind w:firstLine="720"/>
        <w:rPr>
          <w:sz w:val="26"/>
          <w:szCs w:val="26"/>
        </w:rPr>
      </w:pPr>
      <w:r w:rsidRPr="00A228EB">
        <w:rPr>
          <w:rStyle w:val="FootnoteReference"/>
          <w:sz w:val="26"/>
          <w:szCs w:val="26"/>
        </w:rPr>
        <w:footnoteRef/>
      </w:r>
      <w:r w:rsidRPr="00A228EB">
        <w:rPr>
          <w:sz w:val="26"/>
          <w:szCs w:val="26"/>
        </w:rPr>
        <w:t xml:space="preserve"> </w:t>
      </w:r>
      <w:r w:rsidRPr="00A228EB">
        <w:rPr>
          <w:sz w:val="26"/>
          <w:szCs w:val="26"/>
        </w:rPr>
        <w:tab/>
        <w:t>By Order entered August 11, 2011, at Docket No. M-2008-2071852, the Commission reorganized this function of BTS into the new Bureau of Investigation and Enforcement.  For purposes of consistency, this Opinion and Order shall use the term “BTS” throughout.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BEE75F3"/>
    <w:multiLevelType w:val="hybridMultilevel"/>
    <w:tmpl w:val="EF60C422"/>
    <w:lvl w:ilvl="0" w:tplc="4BD22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1E81"/>
    <w:rsid w:val="000032BD"/>
    <w:rsid w:val="00003D98"/>
    <w:rsid w:val="0000559C"/>
    <w:rsid w:val="00010582"/>
    <w:rsid w:val="00012530"/>
    <w:rsid w:val="000131E0"/>
    <w:rsid w:val="000136EA"/>
    <w:rsid w:val="00013844"/>
    <w:rsid w:val="00013CA7"/>
    <w:rsid w:val="00015D05"/>
    <w:rsid w:val="00015ECD"/>
    <w:rsid w:val="00016D57"/>
    <w:rsid w:val="00017852"/>
    <w:rsid w:val="000205AA"/>
    <w:rsid w:val="0002132C"/>
    <w:rsid w:val="00021E46"/>
    <w:rsid w:val="00022B74"/>
    <w:rsid w:val="000258E1"/>
    <w:rsid w:val="00025F3F"/>
    <w:rsid w:val="0002754E"/>
    <w:rsid w:val="0003711B"/>
    <w:rsid w:val="00040AEA"/>
    <w:rsid w:val="00041FA5"/>
    <w:rsid w:val="00042EC0"/>
    <w:rsid w:val="00046814"/>
    <w:rsid w:val="00047874"/>
    <w:rsid w:val="00047F4A"/>
    <w:rsid w:val="00051979"/>
    <w:rsid w:val="00052B8F"/>
    <w:rsid w:val="00054612"/>
    <w:rsid w:val="00055068"/>
    <w:rsid w:val="00056286"/>
    <w:rsid w:val="000562A0"/>
    <w:rsid w:val="00062658"/>
    <w:rsid w:val="000649EC"/>
    <w:rsid w:val="000733E8"/>
    <w:rsid w:val="00074E29"/>
    <w:rsid w:val="00075B79"/>
    <w:rsid w:val="00084AF9"/>
    <w:rsid w:val="000918D4"/>
    <w:rsid w:val="00097504"/>
    <w:rsid w:val="000A01AA"/>
    <w:rsid w:val="000A365D"/>
    <w:rsid w:val="000A6E54"/>
    <w:rsid w:val="000B0ED7"/>
    <w:rsid w:val="000B216D"/>
    <w:rsid w:val="000B4EAE"/>
    <w:rsid w:val="000B607A"/>
    <w:rsid w:val="000B6B15"/>
    <w:rsid w:val="000B73C7"/>
    <w:rsid w:val="000C2AE3"/>
    <w:rsid w:val="000C5065"/>
    <w:rsid w:val="000C6AB3"/>
    <w:rsid w:val="000D0713"/>
    <w:rsid w:val="000D3499"/>
    <w:rsid w:val="000E0E21"/>
    <w:rsid w:val="000E0E77"/>
    <w:rsid w:val="000E6DE6"/>
    <w:rsid w:val="000F004F"/>
    <w:rsid w:val="000F1A8F"/>
    <w:rsid w:val="000F6043"/>
    <w:rsid w:val="000F627A"/>
    <w:rsid w:val="001005A9"/>
    <w:rsid w:val="0010158F"/>
    <w:rsid w:val="00104D9B"/>
    <w:rsid w:val="00105888"/>
    <w:rsid w:val="001062A7"/>
    <w:rsid w:val="00106884"/>
    <w:rsid w:val="0010716E"/>
    <w:rsid w:val="001123D1"/>
    <w:rsid w:val="00113A76"/>
    <w:rsid w:val="00113C81"/>
    <w:rsid w:val="001151A0"/>
    <w:rsid w:val="00117CB2"/>
    <w:rsid w:val="0012214A"/>
    <w:rsid w:val="001238A2"/>
    <w:rsid w:val="00123A2E"/>
    <w:rsid w:val="00123B3A"/>
    <w:rsid w:val="001246D0"/>
    <w:rsid w:val="001267D4"/>
    <w:rsid w:val="00127300"/>
    <w:rsid w:val="001327F0"/>
    <w:rsid w:val="00134A26"/>
    <w:rsid w:val="00135972"/>
    <w:rsid w:val="001360FC"/>
    <w:rsid w:val="001372FE"/>
    <w:rsid w:val="00140EFA"/>
    <w:rsid w:val="001410A0"/>
    <w:rsid w:val="0014497F"/>
    <w:rsid w:val="001455C5"/>
    <w:rsid w:val="00145886"/>
    <w:rsid w:val="00146AFA"/>
    <w:rsid w:val="00147145"/>
    <w:rsid w:val="00150ADC"/>
    <w:rsid w:val="0015316A"/>
    <w:rsid w:val="00153710"/>
    <w:rsid w:val="00155333"/>
    <w:rsid w:val="0016342A"/>
    <w:rsid w:val="001642AA"/>
    <w:rsid w:val="00164DA4"/>
    <w:rsid w:val="001663C8"/>
    <w:rsid w:val="001666B5"/>
    <w:rsid w:val="00170BF4"/>
    <w:rsid w:val="00171EBE"/>
    <w:rsid w:val="00172558"/>
    <w:rsid w:val="00172FBA"/>
    <w:rsid w:val="0017322D"/>
    <w:rsid w:val="00173A7B"/>
    <w:rsid w:val="00174D3D"/>
    <w:rsid w:val="00174EB3"/>
    <w:rsid w:val="001831C2"/>
    <w:rsid w:val="00184D23"/>
    <w:rsid w:val="00185351"/>
    <w:rsid w:val="001858D0"/>
    <w:rsid w:val="00186A83"/>
    <w:rsid w:val="00186A97"/>
    <w:rsid w:val="001900F6"/>
    <w:rsid w:val="00191404"/>
    <w:rsid w:val="0019443D"/>
    <w:rsid w:val="001949FE"/>
    <w:rsid w:val="001970E2"/>
    <w:rsid w:val="001A0DCE"/>
    <w:rsid w:val="001A1CD3"/>
    <w:rsid w:val="001B1DB4"/>
    <w:rsid w:val="001B2EE5"/>
    <w:rsid w:val="001B532C"/>
    <w:rsid w:val="001B58B1"/>
    <w:rsid w:val="001B5934"/>
    <w:rsid w:val="001C0927"/>
    <w:rsid w:val="001C3767"/>
    <w:rsid w:val="001C3CE4"/>
    <w:rsid w:val="001C4978"/>
    <w:rsid w:val="001C4F48"/>
    <w:rsid w:val="001C6F98"/>
    <w:rsid w:val="001D1DAF"/>
    <w:rsid w:val="001D1F15"/>
    <w:rsid w:val="001D2098"/>
    <w:rsid w:val="001D2783"/>
    <w:rsid w:val="001D3F66"/>
    <w:rsid w:val="001D4833"/>
    <w:rsid w:val="001D6E49"/>
    <w:rsid w:val="001E0443"/>
    <w:rsid w:val="001E04D6"/>
    <w:rsid w:val="001E1276"/>
    <w:rsid w:val="001E3452"/>
    <w:rsid w:val="001E4BBB"/>
    <w:rsid w:val="001E654B"/>
    <w:rsid w:val="00200AA3"/>
    <w:rsid w:val="00201752"/>
    <w:rsid w:val="00202524"/>
    <w:rsid w:val="002062E5"/>
    <w:rsid w:val="002100F0"/>
    <w:rsid w:val="00210F81"/>
    <w:rsid w:val="00211622"/>
    <w:rsid w:val="002145B8"/>
    <w:rsid w:val="00216F1C"/>
    <w:rsid w:val="00217B9C"/>
    <w:rsid w:val="00223D6E"/>
    <w:rsid w:val="00224E98"/>
    <w:rsid w:val="00227795"/>
    <w:rsid w:val="0023261E"/>
    <w:rsid w:val="00232FFB"/>
    <w:rsid w:val="002359EC"/>
    <w:rsid w:val="00237AEF"/>
    <w:rsid w:val="00240D7B"/>
    <w:rsid w:val="00241196"/>
    <w:rsid w:val="0024128E"/>
    <w:rsid w:val="0024316B"/>
    <w:rsid w:val="002440BF"/>
    <w:rsid w:val="002446A4"/>
    <w:rsid w:val="00250C1F"/>
    <w:rsid w:val="002511A6"/>
    <w:rsid w:val="002532F2"/>
    <w:rsid w:val="00253E68"/>
    <w:rsid w:val="00254FAF"/>
    <w:rsid w:val="00255E4E"/>
    <w:rsid w:val="00260957"/>
    <w:rsid w:val="00264A69"/>
    <w:rsid w:val="00265FF4"/>
    <w:rsid w:val="0027232D"/>
    <w:rsid w:val="00275A8C"/>
    <w:rsid w:val="00276DE5"/>
    <w:rsid w:val="00281731"/>
    <w:rsid w:val="00281E34"/>
    <w:rsid w:val="0028256B"/>
    <w:rsid w:val="00282D0B"/>
    <w:rsid w:val="00285B54"/>
    <w:rsid w:val="002911CD"/>
    <w:rsid w:val="00291F68"/>
    <w:rsid w:val="00292276"/>
    <w:rsid w:val="002935B1"/>
    <w:rsid w:val="00295796"/>
    <w:rsid w:val="00296282"/>
    <w:rsid w:val="002A1620"/>
    <w:rsid w:val="002A2405"/>
    <w:rsid w:val="002A2E0B"/>
    <w:rsid w:val="002A4450"/>
    <w:rsid w:val="002A635E"/>
    <w:rsid w:val="002B0445"/>
    <w:rsid w:val="002B34FD"/>
    <w:rsid w:val="002B5927"/>
    <w:rsid w:val="002B67B7"/>
    <w:rsid w:val="002C0429"/>
    <w:rsid w:val="002C4C61"/>
    <w:rsid w:val="002C6FFF"/>
    <w:rsid w:val="002C79FB"/>
    <w:rsid w:val="002D1536"/>
    <w:rsid w:val="002D17D4"/>
    <w:rsid w:val="002D2311"/>
    <w:rsid w:val="002D275E"/>
    <w:rsid w:val="002D4197"/>
    <w:rsid w:val="002D6357"/>
    <w:rsid w:val="002E0EA2"/>
    <w:rsid w:val="002E3026"/>
    <w:rsid w:val="002E3F06"/>
    <w:rsid w:val="002E42F0"/>
    <w:rsid w:val="002E6955"/>
    <w:rsid w:val="002F0C9B"/>
    <w:rsid w:val="002F3F04"/>
    <w:rsid w:val="002F41BA"/>
    <w:rsid w:val="002F4DA7"/>
    <w:rsid w:val="002F75D7"/>
    <w:rsid w:val="003018AA"/>
    <w:rsid w:val="00301A19"/>
    <w:rsid w:val="00302EA9"/>
    <w:rsid w:val="00303B99"/>
    <w:rsid w:val="003046D1"/>
    <w:rsid w:val="00304BED"/>
    <w:rsid w:val="00305A41"/>
    <w:rsid w:val="0030714F"/>
    <w:rsid w:val="0031298B"/>
    <w:rsid w:val="00313CFA"/>
    <w:rsid w:val="00314A43"/>
    <w:rsid w:val="0031590F"/>
    <w:rsid w:val="00315F10"/>
    <w:rsid w:val="003169BF"/>
    <w:rsid w:val="003209F4"/>
    <w:rsid w:val="00321354"/>
    <w:rsid w:val="00321814"/>
    <w:rsid w:val="00327E67"/>
    <w:rsid w:val="00337DBB"/>
    <w:rsid w:val="00345D85"/>
    <w:rsid w:val="00346D8F"/>
    <w:rsid w:val="00351347"/>
    <w:rsid w:val="00353396"/>
    <w:rsid w:val="003617BB"/>
    <w:rsid w:val="003622CA"/>
    <w:rsid w:val="00362B3D"/>
    <w:rsid w:val="00363030"/>
    <w:rsid w:val="0036309F"/>
    <w:rsid w:val="0036462C"/>
    <w:rsid w:val="00364A42"/>
    <w:rsid w:val="0036581C"/>
    <w:rsid w:val="00375155"/>
    <w:rsid w:val="003755FB"/>
    <w:rsid w:val="0037577C"/>
    <w:rsid w:val="003765CD"/>
    <w:rsid w:val="00377B0A"/>
    <w:rsid w:val="00380C9F"/>
    <w:rsid w:val="00381F17"/>
    <w:rsid w:val="00383086"/>
    <w:rsid w:val="00385232"/>
    <w:rsid w:val="00385502"/>
    <w:rsid w:val="00387D9B"/>
    <w:rsid w:val="00390811"/>
    <w:rsid w:val="00390ECA"/>
    <w:rsid w:val="00395222"/>
    <w:rsid w:val="00395237"/>
    <w:rsid w:val="003A2162"/>
    <w:rsid w:val="003B05E9"/>
    <w:rsid w:val="003B0611"/>
    <w:rsid w:val="003B3F46"/>
    <w:rsid w:val="003C0F90"/>
    <w:rsid w:val="003C2279"/>
    <w:rsid w:val="003C22DC"/>
    <w:rsid w:val="003C2F9D"/>
    <w:rsid w:val="003C30B6"/>
    <w:rsid w:val="003C3140"/>
    <w:rsid w:val="003C37B3"/>
    <w:rsid w:val="003C3E02"/>
    <w:rsid w:val="003C3E66"/>
    <w:rsid w:val="003C3FE8"/>
    <w:rsid w:val="003C6784"/>
    <w:rsid w:val="003C68AD"/>
    <w:rsid w:val="003D0ED1"/>
    <w:rsid w:val="003D3B29"/>
    <w:rsid w:val="003D6AB5"/>
    <w:rsid w:val="003E182F"/>
    <w:rsid w:val="003E1D1F"/>
    <w:rsid w:val="003E6A1D"/>
    <w:rsid w:val="003E7284"/>
    <w:rsid w:val="003F0B68"/>
    <w:rsid w:val="003F4CDA"/>
    <w:rsid w:val="003F56D9"/>
    <w:rsid w:val="003F5E94"/>
    <w:rsid w:val="0040251A"/>
    <w:rsid w:val="00403D6E"/>
    <w:rsid w:val="00406CCC"/>
    <w:rsid w:val="004078F0"/>
    <w:rsid w:val="00407A73"/>
    <w:rsid w:val="00412D39"/>
    <w:rsid w:val="00412F14"/>
    <w:rsid w:val="00417777"/>
    <w:rsid w:val="004210C1"/>
    <w:rsid w:val="0042624F"/>
    <w:rsid w:val="0042661A"/>
    <w:rsid w:val="004276A6"/>
    <w:rsid w:val="00432769"/>
    <w:rsid w:val="00441207"/>
    <w:rsid w:val="0044539E"/>
    <w:rsid w:val="004462F7"/>
    <w:rsid w:val="0045013B"/>
    <w:rsid w:val="00450C15"/>
    <w:rsid w:val="00454BB4"/>
    <w:rsid w:val="00455B00"/>
    <w:rsid w:val="0045687E"/>
    <w:rsid w:val="0046019D"/>
    <w:rsid w:val="00461F9B"/>
    <w:rsid w:val="00463809"/>
    <w:rsid w:val="0046514E"/>
    <w:rsid w:val="00467C6B"/>
    <w:rsid w:val="00470C5B"/>
    <w:rsid w:val="004713A9"/>
    <w:rsid w:val="00471544"/>
    <w:rsid w:val="00471560"/>
    <w:rsid w:val="00472BC4"/>
    <w:rsid w:val="0047475D"/>
    <w:rsid w:val="00474E22"/>
    <w:rsid w:val="0047608F"/>
    <w:rsid w:val="00476554"/>
    <w:rsid w:val="004770CF"/>
    <w:rsid w:val="00477BC8"/>
    <w:rsid w:val="00481449"/>
    <w:rsid w:val="00484F29"/>
    <w:rsid w:val="00491D91"/>
    <w:rsid w:val="00491E00"/>
    <w:rsid w:val="00494AAA"/>
    <w:rsid w:val="00494EEA"/>
    <w:rsid w:val="00496140"/>
    <w:rsid w:val="004973AD"/>
    <w:rsid w:val="0049768F"/>
    <w:rsid w:val="004A04E5"/>
    <w:rsid w:val="004A1BC2"/>
    <w:rsid w:val="004A1DB6"/>
    <w:rsid w:val="004A2165"/>
    <w:rsid w:val="004A3743"/>
    <w:rsid w:val="004A3C84"/>
    <w:rsid w:val="004A45F8"/>
    <w:rsid w:val="004A63D2"/>
    <w:rsid w:val="004B1052"/>
    <w:rsid w:val="004B2454"/>
    <w:rsid w:val="004B373F"/>
    <w:rsid w:val="004B5293"/>
    <w:rsid w:val="004B5B65"/>
    <w:rsid w:val="004B69F4"/>
    <w:rsid w:val="004C2162"/>
    <w:rsid w:val="004C6DC0"/>
    <w:rsid w:val="004D00A6"/>
    <w:rsid w:val="004D0910"/>
    <w:rsid w:val="004D10E7"/>
    <w:rsid w:val="004D55B2"/>
    <w:rsid w:val="004D62D9"/>
    <w:rsid w:val="004D7208"/>
    <w:rsid w:val="004D726D"/>
    <w:rsid w:val="004E3ED9"/>
    <w:rsid w:val="004E514F"/>
    <w:rsid w:val="004E737F"/>
    <w:rsid w:val="004E7AC7"/>
    <w:rsid w:val="004E7C89"/>
    <w:rsid w:val="004F00C9"/>
    <w:rsid w:val="004F10ED"/>
    <w:rsid w:val="004F22DA"/>
    <w:rsid w:val="004F3E39"/>
    <w:rsid w:val="00502ADF"/>
    <w:rsid w:val="00504834"/>
    <w:rsid w:val="00505AEE"/>
    <w:rsid w:val="0050632E"/>
    <w:rsid w:val="00507F38"/>
    <w:rsid w:val="00511C34"/>
    <w:rsid w:val="00511EF3"/>
    <w:rsid w:val="00511F3C"/>
    <w:rsid w:val="0051294D"/>
    <w:rsid w:val="00512AA7"/>
    <w:rsid w:val="00512B22"/>
    <w:rsid w:val="00514507"/>
    <w:rsid w:val="00521350"/>
    <w:rsid w:val="00522EA3"/>
    <w:rsid w:val="0052352A"/>
    <w:rsid w:val="0052582A"/>
    <w:rsid w:val="0052643A"/>
    <w:rsid w:val="005267FE"/>
    <w:rsid w:val="00531421"/>
    <w:rsid w:val="00536011"/>
    <w:rsid w:val="00537F61"/>
    <w:rsid w:val="00540789"/>
    <w:rsid w:val="0054119E"/>
    <w:rsid w:val="00543ED7"/>
    <w:rsid w:val="00551AC5"/>
    <w:rsid w:val="00552C84"/>
    <w:rsid w:val="005532F9"/>
    <w:rsid w:val="0055440B"/>
    <w:rsid w:val="00555E7D"/>
    <w:rsid w:val="0055708D"/>
    <w:rsid w:val="00561CA6"/>
    <w:rsid w:val="00570700"/>
    <w:rsid w:val="0057076C"/>
    <w:rsid w:val="00571AAE"/>
    <w:rsid w:val="00572C1C"/>
    <w:rsid w:val="00574594"/>
    <w:rsid w:val="005764DA"/>
    <w:rsid w:val="00577448"/>
    <w:rsid w:val="00580251"/>
    <w:rsid w:val="00580A78"/>
    <w:rsid w:val="00583CA8"/>
    <w:rsid w:val="0058499B"/>
    <w:rsid w:val="00584D2B"/>
    <w:rsid w:val="00590DA0"/>
    <w:rsid w:val="005917A1"/>
    <w:rsid w:val="00593A7A"/>
    <w:rsid w:val="0059459D"/>
    <w:rsid w:val="00594C78"/>
    <w:rsid w:val="0059558A"/>
    <w:rsid w:val="00595FF3"/>
    <w:rsid w:val="00596A0B"/>
    <w:rsid w:val="00596E05"/>
    <w:rsid w:val="005970FA"/>
    <w:rsid w:val="005A110F"/>
    <w:rsid w:val="005A2298"/>
    <w:rsid w:val="005A3508"/>
    <w:rsid w:val="005A72FC"/>
    <w:rsid w:val="005B0388"/>
    <w:rsid w:val="005B0DEB"/>
    <w:rsid w:val="005B109A"/>
    <w:rsid w:val="005B333F"/>
    <w:rsid w:val="005B4F13"/>
    <w:rsid w:val="005B5ECA"/>
    <w:rsid w:val="005C01CF"/>
    <w:rsid w:val="005C2F29"/>
    <w:rsid w:val="005C4187"/>
    <w:rsid w:val="005C5D48"/>
    <w:rsid w:val="005C7970"/>
    <w:rsid w:val="005D040A"/>
    <w:rsid w:val="005D2AB9"/>
    <w:rsid w:val="005D2E94"/>
    <w:rsid w:val="005D30A2"/>
    <w:rsid w:val="005D31DB"/>
    <w:rsid w:val="005D7417"/>
    <w:rsid w:val="005E05CA"/>
    <w:rsid w:val="005E1AC6"/>
    <w:rsid w:val="005E6752"/>
    <w:rsid w:val="005E6960"/>
    <w:rsid w:val="005E6A2B"/>
    <w:rsid w:val="005F09AA"/>
    <w:rsid w:val="005F213E"/>
    <w:rsid w:val="006007F8"/>
    <w:rsid w:val="00601F02"/>
    <w:rsid w:val="00604751"/>
    <w:rsid w:val="006058BD"/>
    <w:rsid w:val="00606C57"/>
    <w:rsid w:val="006071C2"/>
    <w:rsid w:val="00610106"/>
    <w:rsid w:val="00613882"/>
    <w:rsid w:val="006145F5"/>
    <w:rsid w:val="006167B1"/>
    <w:rsid w:val="0061766A"/>
    <w:rsid w:val="00620414"/>
    <w:rsid w:val="00623F81"/>
    <w:rsid w:val="00624400"/>
    <w:rsid w:val="00625797"/>
    <w:rsid w:val="00626162"/>
    <w:rsid w:val="00626C9A"/>
    <w:rsid w:val="00633894"/>
    <w:rsid w:val="00641726"/>
    <w:rsid w:val="00643893"/>
    <w:rsid w:val="00644AA6"/>
    <w:rsid w:val="006520DC"/>
    <w:rsid w:val="00653B1C"/>
    <w:rsid w:val="00653C40"/>
    <w:rsid w:val="00654291"/>
    <w:rsid w:val="006552E8"/>
    <w:rsid w:val="0065545A"/>
    <w:rsid w:val="006574CF"/>
    <w:rsid w:val="00657791"/>
    <w:rsid w:val="00657CB5"/>
    <w:rsid w:val="0067166E"/>
    <w:rsid w:val="00671B95"/>
    <w:rsid w:val="00674CA0"/>
    <w:rsid w:val="00675A84"/>
    <w:rsid w:val="00676307"/>
    <w:rsid w:val="00676F10"/>
    <w:rsid w:val="00676F99"/>
    <w:rsid w:val="006801B9"/>
    <w:rsid w:val="006809F1"/>
    <w:rsid w:val="00682469"/>
    <w:rsid w:val="00682C88"/>
    <w:rsid w:val="00686B5C"/>
    <w:rsid w:val="00691738"/>
    <w:rsid w:val="00692C68"/>
    <w:rsid w:val="0069352F"/>
    <w:rsid w:val="006953A2"/>
    <w:rsid w:val="00695C70"/>
    <w:rsid w:val="00695ED0"/>
    <w:rsid w:val="006961FC"/>
    <w:rsid w:val="006B249E"/>
    <w:rsid w:val="006B3E4F"/>
    <w:rsid w:val="006B6ACB"/>
    <w:rsid w:val="006B7117"/>
    <w:rsid w:val="006C2C26"/>
    <w:rsid w:val="006C3FEA"/>
    <w:rsid w:val="006C4E94"/>
    <w:rsid w:val="006C7C9C"/>
    <w:rsid w:val="006C7EE5"/>
    <w:rsid w:val="006D01B3"/>
    <w:rsid w:val="006D33E1"/>
    <w:rsid w:val="006D5072"/>
    <w:rsid w:val="006D630B"/>
    <w:rsid w:val="006D7CA2"/>
    <w:rsid w:val="006E0678"/>
    <w:rsid w:val="006E1E6C"/>
    <w:rsid w:val="006E5505"/>
    <w:rsid w:val="006E6E17"/>
    <w:rsid w:val="006F09F3"/>
    <w:rsid w:val="006F187B"/>
    <w:rsid w:val="006F240A"/>
    <w:rsid w:val="006F2FB3"/>
    <w:rsid w:val="006F5C9A"/>
    <w:rsid w:val="006F62BC"/>
    <w:rsid w:val="006F643D"/>
    <w:rsid w:val="0070352E"/>
    <w:rsid w:val="007050F4"/>
    <w:rsid w:val="0070540D"/>
    <w:rsid w:val="00713F14"/>
    <w:rsid w:val="00714F3B"/>
    <w:rsid w:val="007166F7"/>
    <w:rsid w:val="00716AEF"/>
    <w:rsid w:val="00717076"/>
    <w:rsid w:val="00722D51"/>
    <w:rsid w:val="0072456B"/>
    <w:rsid w:val="00726E65"/>
    <w:rsid w:val="00727370"/>
    <w:rsid w:val="00727F54"/>
    <w:rsid w:val="0073003F"/>
    <w:rsid w:val="00734C08"/>
    <w:rsid w:val="00735D9E"/>
    <w:rsid w:val="0074109C"/>
    <w:rsid w:val="007416D1"/>
    <w:rsid w:val="00744A8D"/>
    <w:rsid w:val="0075321E"/>
    <w:rsid w:val="007543B0"/>
    <w:rsid w:val="00754D29"/>
    <w:rsid w:val="007568A9"/>
    <w:rsid w:val="00761514"/>
    <w:rsid w:val="00762215"/>
    <w:rsid w:val="00763CE7"/>
    <w:rsid w:val="00764373"/>
    <w:rsid w:val="00766510"/>
    <w:rsid w:val="007717D3"/>
    <w:rsid w:val="007752FD"/>
    <w:rsid w:val="0077639A"/>
    <w:rsid w:val="00776A1C"/>
    <w:rsid w:val="00777B3B"/>
    <w:rsid w:val="0078100C"/>
    <w:rsid w:val="00783BCB"/>
    <w:rsid w:val="00786F48"/>
    <w:rsid w:val="0078772C"/>
    <w:rsid w:val="007878E4"/>
    <w:rsid w:val="00787FFD"/>
    <w:rsid w:val="00790671"/>
    <w:rsid w:val="00791B11"/>
    <w:rsid w:val="00792820"/>
    <w:rsid w:val="00793BC8"/>
    <w:rsid w:val="0079499D"/>
    <w:rsid w:val="00795F9B"/>
    <w:rsid w:val="007963BD"/>
    <w:rsid w:val="007A223D"/>
    <w:rsid w:val="007A3DDD"/>
    <w:rsid w:val="007A497E"/>
    <w:rsid w:val="007A5191"/>
    <w:rsid w:val="007A5E99"/>
    <w:rsid w:val="007A6069"/>
    <w:rsid w:val="007A637C"/>
    <w:rsid w:val="007A7E4A"/>
    <w:rsid w:val="007B2878"/>
    <w:rsid w:val="007B3AE8"/>
    <w:rsid w:val="007B4418"/>
    <w:rsid w:val="007B5F62"/>
    <w:rsid w:val="007B66B3"/>
    <w:rsid w:val="007B6B8D"/>
    <w:rsid w:val="007C08E8"/>
    <w:rsid w:val="007C0A62"/>
    <w:rsid w:val="007C12F3"/>
    <w:rsid w:val="007C6DD7"/>
    <w:rsid w:val="007D0E46"/>
    <w:rsid w:val="007D3AA0"/>
    <w:rsid w:val="007D3FE2"/>
    <w:rsid w:val="007D4A08"/>
    <w:rsid w:val="007D62F1"/>
    <w:rsid w:val="007D762E"/>
    <w:rsid w:val="007D7BE0"/>
    <w:rsid w:val="007E1828"/>
    <w:rsid w:val="007E2623"/>
    <w:rsid w:val="007E4294"/>
    <w:rsid w:val="007F1593"/>
    <w:rsid w:val="007F30A8"/>
    <w:rsid w:val="00801ADB"/>
    <w:rsid w:val="008022A4"/>
    <w:rsid w:val="00810603"/>
    <w:rsid w:val="0081501F"/>
    <w:rsid w:val="00817710"/>
    <w:rsid w:val="00820398"/>
    <w:rsid w:val="00820D41"/>
    <w:rsid w:val="00820FEC"/>
    <w:rsid w:val="0082146C"/>
    <w:rsid w:val="0082299E"/>
    <w:rsid w:val="00824AD0"/>
    <w:rsid w:val="0083200B"/>
    <w:rsid w:val="0083324D"/>
    <w:rsid w:val="00834888"/>
    <w:rsid w:val="00841733"/>
    <w:rsid w:val="0084226C"/>
    <w:rsid w:val="0084362B"/>
    <w:rsid w:val="00844D38"/>
    <w:rsid w:val="00844D85"/>
    <w:rsid w:val="0084690F"/>
    <w:rsid w:val="008524BE"/>
    <w:rsid w:val="00853372"/>
    <w:rsid w:val="00853BC2"/>
    <w:rsid w:val="00854278"/>
    <w:rsid w:val="0085523B"/>
    <w:rsid w:val="00855F83"/>
    <w:rsid w:val="00856F5A"/>
    <w:rsid w:val="008601FF"/>
    <w:rsid w:val="0086236A"/>
    <w:rsid w:val="00865727"/>
    <w:rsid w:val="00866322"/>
    <w:rsid w:val="0087035A"/>
    <w:rsid w:val="00873A67"/>
    <w:rsid w:val="00877582"/>
    <w:rsid w:val="00882851"/>
    <w:rsid w:val="008828BD"/>
    <w:rsid w:val="00882C82"/>
    <w:rsid w:val="00882DAD"/>
    <w:rsid w:val="008850F3"/>
    <w:rsid w:val="008874BA"/>
    <w:rsid w:val="00887CA3"/>
    <w:rsid w:val="00890CCF"/>
    <w:rsid w:val="0089364E"/>
    <w:rsid w:val="008941C9"/>
    <w:rsid w:val="008949B1"/>
    <w:rsid w:val="0089575C"/>
    <w:rsid w:val="0089713E"/>
    <w:rsid w:val="00897CBB"/>
    <w:rsid w:val="00897DB7"/>
    <w:rsid w:val="008A00D0"/>
    <w:rsid w:val="008A20DB"/>
    <w:rsid w:val="008A23C6"/>
    <w:rsid w:val="008A4521"/>
    <w:rsid w:val="008A4B83"/>
    <w:rsid w:val="008A6D84"/>
    <w:rsid w:val="008B05D6"/>
    <w:rsid w:val="008B2350"/>
    <w:rsid w:val="008B2942"/>
    <w:rsid w:val="008B3A12"/>
    <w:rsid w:val="008C09C4"/>
    <w:rsid w:val="008C156B"/>
    <w:rsid w:val="008C1F44"/>
    <w:rsid w:val="008C3AE7"/>
    <w:rsid w:val="008C4081"/>
    <w:rsid w:val="008C4C82"/>
    <w:rsid w:val="008C6E0B"/>
    <w:rsid w:val="008D1211"/>
    <w:rsid w:val="008E087E"/>
    <w:rsid w:val="008E1DE5"/>
    <w:rsid w:val="008E3D99"/>
    <w:rsid w:val="008E5CF5"/>
    <w:rsid w:val="008E6BCA"/>
    <w:rsid w:val="008E7179"/>
    <w:rsid w:val="008E7710"/>
    <w:rsid w:val="00903F34"/>
    <w:rsid w:val="009044CC"/>
    <w:rsid w:val="00905C0A"/>
    <w:rsid w:val="00910D93"/>
    <w:rsid w:val="00913AC4"/>
    <w:rsid w:val="009154ED"/>
    <w:rsid w:val="00915634"/>
    <w:rsid w:val="00915C5F"/>
    <w:rsid w:val="00916271"/>
    <w:rsid w:val="0092248C"/>
    <w:rsid w:val="00922D8D"/>
    <w:rsid w:val="009247F5"/>
    <w:rsid w:val="00931F2F"/>
    <w:rsid w:val="00932A9B"/>
    <w:rsid w:val="009339A0"/>
    <w:rsid w:val="00937519"/>
    <w:rsid w:val="00937976"/>
    <w:rsid w:val="00941F6E"/>
    <w:rsid w:val="00942436"/>
    <w:rsid w:val="00946459"/>
    <w:rsid w:val="00952CC8"/>
    <w:rsid w:val="009530D2"/>
    <w:rsid w:val="00956F46"/>
    <w:rsid w:val="00957A1D"/>
    <w:rsid w:val="0096487B"/>
    <w:rsid w:val="00966362"/>
    <w:rsid w:val="00970641"/>
    <w:rsid w:val="0097252E"/>
    <w:rsid w:val="00974ADA"/>
    <w:rsid w:val="009800CF"/>
    <w:rsid w:val="00980D4D"/>
    <w:rsid w:val="00982969"/>
    <w:rsid w:val="009834BF"/>
    <w:rsid w:val="00983FB0"/>
    <w:rsid w:val="00985537"/>
    <w:rsid w:val="00986693"/>
    <w:rsid w:val="009917DF"/>
    <w:rsid w:val="00991D20"/>
    <w:rsid w:val="00992D1E"/>
    <w:rsid w:val="0099797A"/>
    <w:rsid w:val="009A06F5"/>
    <w:rsid w:val="009A0788"/>
    <w:rsid w:val="009A41C2"/>
    <w:rsid w:val="009A5FAF"/>
    <w:rsid w:val="009A7354"/>
    <w:rsid w:val="009B03DF"/>
    <w:rsid w:val="009B201A"/>
    <w:rsid w:val="009B28E5"/>
    <w:rsid w:val="009B69B9"/>
    <w:rsid w:val="009B6AF0"/>
    <w:rsid w:val="009B7A73"/>
    <w:rsid w:val="009C0E57"/>
    <w:rsid w:val="009C2D50"/>
    <w:rsid w:val="009C3AE8"/>
    <w:rsid w:val="009C4747"/>
    <w:rsid w:val="009C55D2"/>
    <w:rsid w:val="009D0908"/>
    <w:rsid w:val="009D1035"/>
    <w:rsid w:val="009D195B"/>
    <w:rsid w:val="009D2C21"/>
    <w:rsid w:val="009D3676"/>
    <w:rsid w:val="009D40A0"/>
    <w:rsid w:val="009D79E1"/>
    <w:rsid w:val="009D7D33"/>
    <w:rsid w:val="009E59A9"/>
    <w:rsid w:val="009E612F"/>
    <w:rsid w:val="009F0285"/>
    <w:rsid w:val="009F1547"/>
    <w:rsid w:val="009F56D3"/>
    <w:rsid w:val="009F59AA"/>
    <w:rsid w:val="009F5FAD"/>
    <w:rsid w:val="009F6AEB"/>
    <w:rsid w:val="009F7FED"/>
    <w:rsid w:val="00A0220F"/>
    <w:rsid w:val="00A05651"/>
    <w:rsid w:val="00A066AE"/>
    <w:rsid w:val="00A1071A"/>
    <w:rsid w:val="00A1086D"/>
    <w:rsid w:val="00A15362"/>
    <w:rsid w:val="00A20F78"/>
    <w:rsid w:val="00A21DA7"/>
    <w:rsid w:val="00A228EB"/>
    <w:rsid w:val="00A23307"/>
    <w:rsid w:val="00A25FC6"/>
    <w:rsid w:val="00A2683D"/>
    <w:rsid w:val="00A27DEE"/>
    <w:rsid w:val="00A34E6C"/>
    <w:rsid w:val="00A36E74"/>
    <w:rsid w:val="00A3783F"/>
    <w:rsid w:val="00A43B93"/>
    <w:rsid w:val="00A44848"/>
    <w:rsid w:val="00A474B0"/>
    <w:rsid w:val="00A47B89"/>
    <w:rsid w:val="00A50E73"/>
    <w:rsid w:val="00A54988"/>
    <w:rsid w:val="00A54AFD"/>
    <w:rsid w:val="00A564D5"/>
    <w:rsid w:val="00A60481"/>
    <w:rsid w:val="00A60F67"/>
    <w:rsid w:val="00A62113"/>
    <w:rsid w:val="00A661F2"/>
    <w:rsid w:val="00A66C22"/>
    <w:rsid w:val="00A67923"/>
    <w:rsid w:val="00A714B8"/>
    <w:rsid w:val="00A71BFF"/>
    <w:rsid w:val="00A7600E"/>
    <w:rsid w:val="00A77155"/>
    <w:rsid w:val="00A80A13"/>
    <w:rsid w:val="00A82058"/>
    <w:rsid w:val="00A84F9E"/>
    <w:rsid w:val="00A85D5B"/>
    <w:rsid w:val="00A866F3"/>
    <w:rsid w:val="00A869B0"/>
    <w:rsid w:val="00A90A6A"/>
    <w:rsid w:val="00A90B59"/>
    <w:rsid w:val="00A9123F"/>
    <w:rsid w:val="00A925E0"/>
    <w:rsid w:val="00A92CB8"/>
    <w:rsid w:val="00A933D7"/>
    <w:rsid w:val="00A9375C"/>
    <w:rsid w:val="00A94B43"/>
    <w:rsid w:val="00A95BC9"/>
    <w:rsid w:val="00AA0150"/>
    <w:rsid w:val="00AA204C"/>
    <w:rsid w:val="00AA2D57"/>
    <w:rsid w:val="00AA3DBD"/>
    <w:rsid w:val="00AB143A"/>
    <w:rsid w:val="00AC21A2"/>
    <w:rsid w:val="00AC2518"/>
    <w:rsid w:val="00AC4568"/>
    <w:rsid w:val="00AC48BC"/>
    <w:rsid w:val="00AC5CFD"/>
    <w:rsid w:val="00AC62C9"/>
    <w:rsid w:val="00AC7EBE"/>
    <w:rsid w:val="00AD3559"/>
    <w:rsid w:val="00AD7E16"/>
    <w:rsid w:val="00AE1A4A"/>
    <w:rsid w:val="00AE1E59"/>
    <w:rsid w:val="00AE30CC"/>
    <w:rsid w:val="00AE33FF"/>
    <w:rsid w:val="00AE4438"/>
    <w:rsid w:val="00AE62B4"/>
    <w:rsid w:val="00AF06D5"/>
    <w:rsid w:val="00AF09DD"/>
    <w:rsid w:val="00AF0B42"/>
    <w:rsid w:val="00AF5BAD"/>
    <w:rsid w:val="00AF7CF0"/>
    <w:rsid w:val="00B012C4"/>
    <w:rsid w:val="00B02655"/>
    <w:rsid w:val="00B02F48"/>
    <w:rsid w:val="00B05102"/>
    <w:rsid w:val="00B057A1"/>
    <w:rsid w:val="00B1098D"/>
    <w:rsid w:val="00B13ABF"/>
    <w:rsid w:val="00B14861"/>
    <w:rsid w:val="00B16A34"/>
    <w:rsid w:val="00B250F2"/>
    <w:rsid w:val="00B26840"/>
    <w:rsid w:val="00B315AA"/>
    <w:rsid w:val="00B31B9C"/>
    <w:rsid w:val="00B357C3"/>
    <w:rsid w:val="00B36185"/>
    <w:rsid w:val="00B41A59"/>
    <w:rsid w:val="00B43689"/>
    <w:rsid w:val="00B43826"/>
    <w:rsid w:val="00B45574"/>
    <w:rsid w:val="00B473BC"/>
    <w:rsid w:val="00B47907"/>
    <w:rsid w:val="00B51D01"/>
    <w:rsid w:val="00B52190"/>
    <w:rsid w:val="00B52249"/>
    <w:rsid w:val="00B529F3"/>
    <w:rsid w:val="00B5544F"/>
    <w:rsid w:val="00B555F2"/>
    <w:rsid w:val="00B55E5D"/>
    <w:rsid w:val="00B57227"/>
    <w:rsid w:val="00B57B3C"/>
    <w:rsid w:val="00B60A20"/>
    <w:rsid w:val="00B60A36"/>
    <w:rsid w:val="00B62E57"/>
    <w:rsid w:val="00B62F53"/>
    <w:rsid w:val="00B66867"/>
    <w:rsid w:val="00B713B8"/>
    <w:rsid w:val="00B73E0C"/>
    <w:rsid w:val="00B74A49"/>
    <w:rsid w:val="00B75123"/>
    <w:rsid w:val="00B751E3"/>
    <w:rsid w:val="00B756AA"/>
    <w:rsid w:val="00B764C3"/>
    <w:rsid w:val="00B76F0B"/>
    <w:rsid w:val="00B83244"/>
    <w:rsid w:val="00B833EA"/>
    <w:rsid w:val="00B910B3"/>
    <w:rsid w:val="00B92275"/>
    <w:rsid w:val="00B94321"/>
    <w:rsid w:val="00B94786"/>
    <w:rsid w:val="00B96707"/>
    <w:rsid w:val="00B97916"/>
    <w:rsid w:val="00BA00BE"/>
    <w:rsid w:val="00BA11DB"/>
    <w:rsid w:val="00BA3280"/>
    <w:rsid w:val="00BA3E74"/>
    <w:rsid w:val="00BA47F7"/>
    <w:rsid w:val="00BA57CC"/>
    <w:rsid w:val="00BA63E0"/>
    <w:rsid w:val="00BA7DC2"/>
    <w:rsid w:val="00BB26AD"/>
    <w:rsid w:val="00BB2C7A"/>
    <w:rsid w:val="00BB3155"/>
    <w:rsid w:val="00BB3D46"/>
    <w:rsid w:val="00BB473E"/>
    <w:rsid w:val="00BB5683"/>
    <w:rsid w:val="00BB6F07"/>
    <w:rsid w:val="00BB7BCE"/>
    <w:rsid w:val="00BC113A"/>
    <w:rsid w:val="00BC1AAB"/>
    <w:rsid w:val="00BC1B42"/>
    <w:rsid w:val="00BC4E5B"/>
    <w:rsid w:val="00BC5DE0"/>
    <w:rsid w:val="00BC7208"/>
    <w:rsid w:val="00BD0C52"/>
    <w:rsid w:val="00BD1A70"/>
    <w:rsid w:val="00BD2F9F"/>
    <w:rsid w:val="00BD42ED"/>
    <w:rsid w:val="00BD4500"/>
    <w:rsid w:val="00BD4847"/>
    <w:rsid w:val="00BD7C68"/>
    <w:rsid w:val="00BE0634"/>
    <w:rsid w:val="00BE726C"/>
    <w:rsid w:val="00BF0685"/>
    <w:rsid w:val="00BF532C"/>
    <w:rsid w:val="00C0102D"/>
    <w:rsid w:val="00C01C9F"/>
    <w:rsid w:val="00C02808"/>
    <w:rsid w:val="00C03776"/>
    <w:rsid w:val="00C07AE3"/>
    <w:rsid w:val="00C10A65"/>
    <w:rsid w:val="00C10CA2"/>
    <w:rsid w:val="00C13821"/>
    <w:rsid w:val="00C15F73"/>
    <w:rsid w:val="00C17777"/>
    <w:rsid w:val="00C2037B"/>
    <w:rsid w:val="00C20E25"/>
    <w:rsid w:val="00C24F64"/>
    <w:rsid w:val="00C30DA4"/>
    <w:rsid w:val="00C32C70"/>
    <w:rsid w:val="00C34BAC"/>
    <w:rsid w:val="00C3684E"/>
    <w:rsid w:val="00C40D94"/>
    <w:rsid w:val="00C418DA"/>
    <w:rsid w:val="00C420DE"/>
    <w:rsid w:val="00C45052"/>
    <w:rsid w:val="00C50108"/>
    <w:rsid w:val="00C508F9"/>
    <w:rsid w:val="00C515D3"/>
    <w:rsid w:val="00C52AAF"/>
    <w:rsid w:val="00C55EED"/>
    <w:rsid w:val="00C561BA"/>
    <w:rsid w:val="00C56B68"/>
    <w:rsid w:val="00C57DD5"/>
    <w:rsid w:val="00C616BF"/>
    <w:rsid w:val="00C658BF"/>
    <w:rsid w:val="00C6631D"/>
    <w:rsid w:val="00C75655"/>
    <w:rsid w:val="00C839BF"/>
    <w:rsid w:val="00C85ADB"/>
    <w:rsid w:val="00C868F6"/>
    <w:rsid w:val="00C87A74"/>
    <w:rsid w:val="00C9137C"/>
    <w:rsid w:val="00C93F2C"/>
    <w:rsid w:val="00C95CDC"/>
    <w:rsid w:val="00C9663B"/>
    <w:rsid w:val="00C96742"/>
    <w:rsid w:val="00CA62D4"/>
    <w:rsid w:val="00CB0F4C"/>
    <w:rsid w:val="00CB0FEB"/>
    <w:rsid w:val="00CB196F"/>
    <w:rsid w:val="00CB1D48"/>
    <w:rsid w:val="00CB2979"/>
    <w:rsid w:val="00CB328D"/>
    <w:rsid w:val="00CB3362"/>
    <w:rsid w:val="00CB415F"/>
    <w:rsid w:val="00CB4F7C"/>
    <w:rsid w:val="00CB57C4"/>
    <w:rsid w:val="00CB5BDC"/>
    <w:rsid w:val="00CB7302"/>
    <w:rsid w:val="00CB7870"/>
    <w:rsid w:val="00CC233F"/>
    <w:rsid w:val="00CC44C2"/>
    <w:rsid w:val="00CC59AD"/>
    <w:rsid w:val="00CC62EA"/>
    <w:rsid w:val="00CD0BAD"/>
    <w:rsid w:val="00CD159A"/>
    <w:rsid w:val="00CD75BB"/>
    <w:rsid w:val="00CE0F8F"/>
    <w:rsid w:val="00CE13BE"/>
    <w:rsid w:val="00CE150B"/>
    <w:rsid w:val="00CE15D9"/>
    <w:rsid w:val="00CE3546"/>
    <w:rsid w:val="00CE58E3"/>
    <w:rsid w:val="00CE5D53"/>
    <w:rsid w:val="00CE7599"/>
    <w:rsid w:val="00CE7B7A"/>
    <w:rsid w:val="00CE7D9A"/>
    <w:rsid w:val="00CF0A9E"/>
    <w:rsid w:val="00CF0BEA"/>
    <w:rsid w:val="00CF12CB"/>
    <w:rsid w:val="00CF16BB"/>
    <w:rsid w:val="00CF3AAF"/>
    <w:rsid w:val="00CF5B47"/>
    <w:rsid w:val="00CF5BBD"/>
    <w:rsid w:val="00CF791B"/>
    <w:rsid w:val="00CF7BB3"/>
    <w:rsid w:val="00CF7CFA"/>
    <w:rsid w:val="00D01DAB"/>
    <w:rsid w:val="00D02716"/>
    <w:rsid w:val="00D0670A"/>
    <w:rsid w:val="00D079B3"/>
    <w:rsid w:val="00D07FB8"/>
    <w:rsid w:val="00D16008"/>
    <w:rsid w:val="00D244FF"/>
    <w:rsid w:val="00D26883"/>
    <w:rsid w:val="00D30CA0"/>
    <w:rsid w:val="00D31BE0"/>
    <w:rsid w:val="00D33D87"/>
    <w:rsid w:val="00D37156"/>
    <w:rsid w:val="00D4186D"/>
    <w:rsid w:val="00D43290"/>
    <w:rsid w:val="00D46202"/>
    <w:rsid w:val="00D467AC"/>
    <w:rsid w:val="00D5204B"/>
    <w:rsid w:val="00D5226E"/>
    <w:rsid w:val="00D5285C"/>
    <w:rsid w:val="00D52F39"/>
    <w:rsid w:val="00D5348B"/>
    <w:rsid w:val="00D54C10"/>
    <w:rsid w:val="00D674A2"/>
    <w:rsid w:val="00D722DF"/>
    <w:rsid w:val="00D73190"/>
    <w:rsid w:val="00D75974"/>
    <w:rsid w:val="00D76392"/>
    <w:rsid w:val="00D77112"/>
    <w:rsid w:val="00D83FFC"/>
    <w:rsid w:val="00D84675"/>
    <w:rsid w:val="00D93721"/>
    <w:rsid w:val="00D967B3"/>
    <w:rsid w:val="00D97B06"/>
    <w:rsid w:val="00DA0215"/>
    <w:rsid w:val="00DA3AF3"/>
    <w:rsid w:val="00DA4724"/>
    <w:rsid w:val="00DA49E4"/>
    <w:rsid w:val="00DA5455"/>
    <w:rsid w:val="00DA57A9"/>
    <w:rsid w:val="00DA5C2B"/>
    <w:rsid w:val="00DA6958"/>
    <w:rsid w:val="00DA6E91"/>
    <w:rsid w:val="00DA7974"/>
    <w:rsid w:val="00DB222B"/>
    <w:rsid w:val="00DB34B3"/>
    <w:rsid w:val="00DB3E58"/>
    <w:rsid w:val="00DB5ABE"/>
    <w:rsid w:val="00DB5EFB"/>
    <w:rsid w:val="00DC2917"/>
    <w:rsid w:val="00DC3108"/>
    <w:rsid w:val="00DC38F9"/>
    <w:rsid w:val="00DC7E0C"/>
    <w:rsid w:val="00DC7E4F"/>
    <w:rsid w:val="00DD4839"/>
    <w:rsid w:val="00DD5BFE"/>
    <w:rsid w:val="00DE1703"/>
    <w:rsid w:val="00DE1973"/>
    <w:rsid w:val="00DE2C83"/>
    <w:rsid w:val="00DE3954"/>
    <w:rsid w:val="00DE3BF3"/>
    <w:rsid w:val="00DE4BB8"/>
    <w:rsid w:val="00DE7004"/>
    <w:rsid w:val="00DE7EA5"/>
    <w:rsid w:val="00DF1A11"/>
    <w:rsid w:val="00DF2A2E"/>
    <w:rsid w:val="00DF568D"/>
    <w:rsid w:val="00DF64E4"/>
    <w:rsid w:val="00E00CCB"/>
    <w:rsid w:val="00E00E31"/>
    <w:rsid w:val="00E0270D"/>
    <w:rsid w:val="00E10A4B"/>
    <w:rsid w:val="00E10F65"/>
    <w:rsid w:val="00E1218F"/>
    <w:rsid w:val="00E14145"/>
    <w:rsid w:val="00E14EA6"/>
    <w:rsid w:val="00E16AD9"/>
    <w:rsid w:val="00E175A7"/>
    <w:rsid w:val="00E17713"/>
    <w:rsid w:val="00E20168"/>
    <w:rsid w:val="00E20740"/>
    <w:rsid w:val="00E20E92"/>
    <w:rsid w:val="00E213D6"/>
    <w:rsid w:val="00E23956"/>
    <w:rsid w:val="00E24645"/>
    <w:rsid w:val="00E27722"/>
    <w:rsid w:val="00E30328"/>
    <w:rsid w:val="00E337BC"/>
    <w:rsid w:val="00E34B99"/>
    <w:rsid w:val="00E350CD"/>
    <w:rsid w:val="00E4110D"/>
    <w:rsid w:val="00E537E7"/>
    <w:rsid w:val="00E5518C"/>
    <w:rsid w:val="00E56C51"/>
    <w:rsid w:val="00E6159D"/>
    <w:rsid w:val="00E63D10"/>
    <w:rsid w:val="00E64626"/>
    <w:rsid w:val="00E65E6C"/>
    <w:rsid w:val="00E6689F"/>
    <w:rsid w:val="00E66E71"/>
    <w:rsid w:val="00E705B7"/>
    <w:rsid w:val="00E71A89"/>
    <w:rsid w:val="00E74756"/>
    <w:rsid w:val="00E74B7B"/>
    <w:rsid w:val="00E7534A"/>
    <w:rsid w:val="00E8117C"/>
    <w:rsid w:val="00E82F5E"/>
    <w:rsid w:val="00E854AE"/>
    <w:rsid w:val="00E91948"/>
    <w:rsid w:val="00E92939"/>
    <w:rsid w:val="00E92A0F"/>
    <w:rsid w:val="00E95CF1"/>
    <w:rsid w:val="00EA0F91"/>
    <w:rsid w:val="00EA2CA0"/>
    <w:rsid w:val="00EA3A2F"/>
    <w:rsid w:val="00EA3E5A"/>
    <w:rsid w:val="00EA7B84"/>
    <w:rsid w:val="00EB055B"/>
    <w:rsid w:val="00EB1BB3"/>
    <w:rsid w:val="00EB4245"/>
    <w:rsid w:val="00EB4779"/>
    <w:rsid w:val="00EB62E9"/>
    <w:rsid w:val="00EC04AD"/>
    <w:rsid w:val="00EC1212"/>
    <w:rsid w:val="00EC1ACA"/>
    <w:rsid w:val="00EC1D3D"/>
    <w:rsid w:val="00EC3251"/>
    <w:rsid w:val="00EC4679"/>
    <w:rsid w:val="00EC5855"/>
    <w:rsid w:val="00EC677E"/>
    <w:rsid w:val="00EC6DC3"/>
    <w:rsid w:val="00EC7E67"/>
    <w:rsid w:val="00ED1F57"/>
    <w:rsid w:val="00ED300A"/>
    <w:rsid w:val="00ED4372"/>
    <w:rsid w:val="00EE08F5"/>
    <w:rsid w:val="00EE0B3E"/>
    <w:rsid w:val="00EE51F2"/>
    <w:rsid w:val="00EE5789"/>
    <w:rsid w:val="00EE7B16"/>
    <w:rsid w:val="00EF049C"/>
    <w:rsid w:val="00EF5449"/>
    <w:rsid w:val="00EF67E3"/>
    <w:rsid w:val="00F00CF8"/>
    <w:rsid w:val="00F01C4C"/>
    <w:rsid w:val="00F02912"/>
    <w:rsid w:val="00F06DE5"/>
    <w:rsid w:val="00F06F0D"/>
    <w:rsid w:val="00F12986"/>
    <w:rsid w:val="00F13036"/>
    <w:rsid w:val="00F16786"/>
    <w:rsid w:val="00F24353"/>
    <w:rsid w:val="00F24D75"/>
    <w:rsid w:val="00F251F0"/>
    <w:rsid w:val="00F261E3"/>
    <w:rsid w:val="00F276AE"/>
    <w:rsid w:val="00F304E4"/>
    <w:rsid w:val="00F30D53"/>
    <w:rsid w:val="00F3104D"/>
    <w:rsid w:val="00F32246"/>
    <w:rsid w:val="00F336A3"/>
    <w:rsid w:val="00F34F33"/>
    <w:rsid w:val="00F37B6B"/>
    <w:rsid w:val="00F4217A"/>
    <w:rsid w:val="00F46151"/>
    <w:rsid w:val="00F5072C"/>
    <w:rsid w:val="00F514BB"/>
    <w:rsid w:val="00F53276"/>
    <w:rsid w:val="00F53B24"/>
    <w:rsid w:val="00F55671"/>
    <w:rsid w:val="00F56DB8"/>
    <w:rsid w:val="00F578A1"/>
    <w:rsid w:val="00F61B10"/>
    <w:rsid w:val="00F61C64"/>
    <w:rsid w:val="00F6480E"/>
    <w:rsid w:val="00F657E5"/>
    <w:rsid w:val="00F708C9"/>
    <w:rsid w:val="00F71283"/>
    <w:rsid w:val="00F715B3"/>
    <w:rsid w:val="00F760EC"/>
    <w:rsid w:val="00F7771C"/>
    <w:rsid w:val="00F82D32"/>
    <w:rsid w:val="00F82E85"/>
    <w:rsid w:val="00F84923"/>
    <w:rsid w:val="00F90098"/>
    <w:rsid w:val="00F904A9"/>
    <w:rsid w:val="00F911ED"/>
    <w:rsid w:val="00F91EEC"/>
    <w:rsid w:val="00F97B8B"/>
    <w:rsid w:val="00FA3CDB"/>
    <w:rsid w:val="00FA5451"/>
    <w:rsid w:val="00FB0249"/>
    <w:rsid w:val="00FB1EC0"/>
    <w:rsid w:val="00FB2246"/>
    <w:rsid w:val="00FB2BB1"/>
    <w:rsid w:val="00FB3DC5"/>
    <w:rsid w:val="00FB5396"/>
    <w:rsid w:val="00FB5DD2"/>
    <w:rsid w:val="00FB7F0C"/>
    <w:rsid w:val="00FC06BA"/>
    <w:rsid w:val="00FD182D"/>
    <w:rsid w:val="00FD3C14"/>
    <w:rsid w:val="00FD4399"/>
    <w:rsid w:val="00FD49BD"/>
    <w:rsid w:val="00FD663A"/>
    <w:rsid w:val="00FD6657"/>
    <w:rsid w:val="00FD68B1"/>
    <w:rsid w:val="00FE0F0C"/>
    <w:rsid w:val="00FE34AF"/>
    <w:rsid w:val="00FE366F"/>
    <w:rsid w:val="00FE63BD"/>
    <w:rsid w:val="00FE640B"/>
    <w:rsid w:val="00FF17ED"/>
    <w:rsid w:val="00FF1A54"/>
    <w:rsid w:val="00FF22AE"/>
    <w:rsid w:val="00FF3773"/>
    <w:rsid w:val="00FF5E28"/>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C6030-F7A6-46B1-B1F6-CE75F7B9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6</cp:revision>
  <cp:lastPrinted>2012-01-12T17:05:00Z</cp:lastPrinted>
  <dcterms:created xsi:type="dcterms:W3CDTF">2011-12-06T22:08:00Z</dcterms:created>
  <dcterms:modified xsi:type="dcterms:W3CDTF">2012-01-12T17:05:00Z</dcterms:modified>
</cp:coreProperties>
</file>