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60513">
        <w:trPr>
          <w:trHeight w:val="990"/>
        </w:trPr>
        <w:tc>
          <w:tcPr>
            <w:tcW w:w="1363" w:type="dxa"/>
          </w:tcPr>
          <w:p w:rsidR="00060513" w:rsidRDefault="002E088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060513" w:rsidRDefault="00060513">
            <w:pPr>
              <w:suppressAutoHyphens/>
              <w:spacing w:line="204" w:lineRule="auto"/>
              <w:jc w:val="center"/>
              <w:rPr>
                <w:rFonts w:ascii="Arial" w:hAnsi="Arial"/>
                <w:color w:val="000080"/>
                <w:spacing w:val="-3"/>
                <w:sz w:val="26"/>
              </w:rPr>
            </w:pPr>
          </w:p>
          <w:p w:rsidR="00060513" w:rsidRDefault="0006051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60513" w:rsidRDefault="0006051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60513" w:rsidRDefault="0006051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jc w:val="right"/>
              <w:rPr>
                <w:rFonts w:ascii="Arial" w:hAnsi="Arial"/>
                <w:sz w:val="12"/>
              </w:rPr>
            </w:pPr>
            <w:r>
              <w:rPr>
                <w:rFonts w:ascii="Arial" w:hAnsi="Arial"/>
                <w:b/>
                <w:spacing w:val="-1"/>
                <w:sz w:val="12"/>
              </w:rPr>
              <w:t>IN REPLY PLEASE REFER TO OUR FILE</w:t>
            </w:r>
          </w:p>
        </w:tc>
      </w:tr>
    </w:tbl>
    <w:p w:rsidR="00060513" w:rsidRDefault="00060513">
      <w:pPr>
        <w:rPr>
          <w:sz w:val="24"/>
        </w:rPr>
        <w:sectPr w:rsidR="00060513">
          <w:pgSz w:w="12240" w:h="15840"/>
          <w:pgMar w:top="504" w:right="1440" w:bottom="1440" w:left="1440" w:header="720" w:footer="720" w:gutter="0"/>
          <w:cols w:space="720"/>
        </w:sectPr>
      </w:pPr>
    </w:p>
    <w:p w:rsidR="003E1941" w:rsidRDefault="00C230A3" w:rsidP="00A47984">
      <w:pPr>
        <w:jc w:val="center"/>
        <w:rPr>
          <w:sz w:val="24"/>
        </w:rPr>
      </w:pPr>
      <w:r>
        <w:rPr>
          <w:sz w:val="24"/>
        </w:rPr>
        <w:lastRenderedPageBreak/>
        <w:t>January 18, 2012</w:t>
      </w:r>
    </w:p>
    <w:p w:rsidR="00B07E09" w:rsidRDefault="00B07E09" w:rsidP="00A47984">
      <w:pPr>
        <w:jc w:val="center"/>
        <w:rPr>
          <w:sz w:val="24"/>
        </w:rPr>
      </w:pPr>
    </w:p>
    <w:p w:rsidR="00B07E09" w:rsidRDefault="00B07E09" w:rsidP="00A47984">
      <w:pPr>
        <w:jc w:val="center"/>
        <w:rPr>
          <w:sz w:val="24"/>
        </w:rPr>
      </w:pPr>
    </w:p>
    <w:p w:rsidR="005A1329" w:rsidRDefault="00F813DB" w:rsidP="001F11E9">
      <w:pPr>
        <w:jc w:val="right"/>
        <w:rPr>
          <w:sz w:val="24"/>
        </w:rPr>
      </w:pPr>
      <w:r w:rsidRPr="00F813DB">
        <w:rPr>
          <w:sz w:val="24"/>
        </w:rPr>
        <w:t>A-2011-2271739</w:t>
      </w:r>
    </w:p>
    <w:p w:rsidR="00BD75B9" w:rsidRDefault="00BD75B9" w:rsidP="001F11E9">
      <w:pPr>
        <w:jc w:val="right"/>
        <w:rPr>
          <w:sz w:val="24"/>
        </w:rPr>
      </w:pPr>
      <w:r w:rsidRPr="00BD75B9">
        <w:rPr>
          <w:sz w:val="24"/>
        </w:rPr>
        <w:t>A-2011-2271778</w:t>
      </w:r>
    </w:p>
    <w:p w:rsidR="003A1B6E" w:rsidRDefault="003A1B6E" w:rsidP="00D4781D">
      <w:pPr>
        <w:rPr>
          <w:sz w:val="24"/>
        </w:rPr>
      </w:pPr>
    </w:p>
    <w:p w:rsidR="00F813DB" w:rsidRPr="00F813DB" w:rsidRDefault="00F813DB" w:rsidP="00F813DB">
      <w:pPr>
        <w:rPr>
          <w:sz w:val="24"/>
        </w:rPr>
      </w:pPr>
      <w:r w:rsidRPr="00F813DB">
        <w:rPr>
          <w:sz w:val="24"/>
        </w:rPr>
        <w:t>BRAD E MUTSCHELKNAUS, ESQUIRE</w:t>
      </w:r>
    </w:p>
    <w:p w:rsidR="00F813DB" w:rsidRPr="00F813DB" w:rsidRDefault="00F813DB" w:rsidP="00F813DB">
      <w:pPr>
        <w:rPr>
          <w:sz w:val="24"/>
        </w:rPr>
      </w:pPr>
      <w:r w:rsidRPr="00F813DB">
        <w:rPr>
          <w:sz w:val="24"/>
        </w:rPr>
        <w:t>JOAN M GRIFFIN</w:t>
      </w:r>
      <w:r>
        <w:rPr>
          <w:sz w:val="24"/>
        </w:rPr>
        <w:t>,</w:t>
      </w:r>
      <w:r w:rsidRPr="00F813DB">
        <w:rPr>
          <w:sz w:val="24"/>
        </w:rPr>
        <w:t xml:space="preserve"> ESQUIRE</w:t>
      </w:r>
    </w:p>
    <w:p w:rsidR="00F813DB" w:rsidRPr="00F813DB" w:rsidRDefault="00F813DB" w:rsidP="00F813DB">
      <w:pPr>
        <w:rPr>
          <w:sz w:val="24"/>
        </w:rPr>
      </w:pPr>
      <w:r w:rsidRPr="00F813DB">
        <w:rPr>
          <w:sz w:val="24"/>
        </w:rPr>
        <w:t>DENISE N SMITH</w:t>
      </w:r>
      <w:r>
        <w:rPr>
          <w:sz w:val="24"/>
        </w:rPr>
        <w:t>,</w:t>
      </w:r>
      <w:r w:rsidRPr="00F813DB">
        <w:rPr>
          <w:sz w:val="24"/>
        </w:rPr>
        <w:t xml:space="preserve"> ESQUIRE</w:t>
      </w:r>
    </w:p>
    <w:p w:rsidR="00F813DB" w:rsidRPr="00F813DB" w:rsidRDefault="00F813DB" w:rsidP="00F813DB">
      <w:pPr>
        <w:rPr>
          <w:sz w:val="24"/>
        </w:rPr>
      </w:pPr>
      <w:r w:rsidRPr="00F813DB">
        <w:rPr>
          <w:sz w:val="24"/>
        </w:rPr>
        <w:t>KELLEY DRYE AND WARREN LLP</w:t>
      </w:r>
    </w:p>
    <w:p w:rsidR="00F813DB" w:rsidRPr="00F813DB" w:rsidRDefault="00F813DB" w:rsidP="00F813DB">
      <w:pPr>
        <w:rPr>
          <w:sz w:val="24"/>
        </w:rPr>
      </w:pPr>
      <w:r w:rsidRPr="00F813DB">
        <w:rPr>
          <w:sz w:val="24"/>
        </w:rPr>
        <w:t>3050 K STREET NW SUITE 400</w:t>
      </w:r>
    </w:p>
    <w:p w:rsidR="00A47984" w:rsidRDefault="00F813DB" w:rsidP="00F813DB">
      <w:pPr>
        <w:rPr>
          <w:sz w:val="24"/>
        </w:rPr>
      </w:pPr>
      <w:r w:rsidRPr="00F813DB">
        <w:rPr>
          <w:sz w:val="24"/>
        </w:rPr>
        <w:t>WASHINGTON DC  20007</w:t>
      </w:r>
    </w:p>
    <w:p w:rsidR="0013144A" w:rsidRDefault="0013144A" w:rsidP="00A47984">
      <w:pPr>
        <w:rPr>
          <w:sz w:val="24"/>
        </w:rPr>
      </w:pPr>
    </w:p>
    <w:p w:rsidR="00A47984" w:rsidRPr="00AC2EA8" w:rsidRDefault="00A47984" w:rsidP="00BD75B9">
      <w:pPr>
        <w:rPr>
          <w:sz w:val="24"/>
          <w:szCs w:val="24"/>
        </w:rPr>
      </w:pPr>
      <w:r w:rsidRPr="00AC2EA8">
        <w:rPr>
          <w:sz w:val="24"/>
          <w:szCs w:val="24"/>
        </w:rPr>
        <w:t xml:space="preserve">Re:  </w:t>
      </w:r>
      <w:r w:rsidR="00BD75B9" w:rsidRPr="00BD75B9">
        <w:rPr>
          <w:sz w:val="24"/>
          <w:szCs w:val="24"/>
        </w:rPr>
        <w:t>Joint Application of XO Communicati</w:t>
      </w:r>
      <w:r w:rsidR="00BD75B9">
        <w:rPr>
          <w:sz w:val="24"/>
          <w:szCs w:val="24"/>
        </w:rPr>
        <w:t xml:space="preserve">ons Services, Inc. and </w:t>
      </w:r>
      <w:proofErr w:type="spellStart"/>
      <w:r w:rsidR="00BD75B9">
        <w:rPr>
          <w:sz w:val="24"/>
          <w:szCs w:val="24"/>
        </w:rPr>
        <w:t>Nextlink</w:t>
      </w:r>
      <w:proofErr w:type="spellEnd"/>
      <w:r w:rsidR="00BD75B9">
        <w:rPr>
          <w:sz w:val="24"/>
          <w:szCs w:val="24"/>
        </w:rPr>
        <w:t xml:space="preserve"> </w:t>
      </w:r>
      <w:r w:rsidR="00BD75B9" w:rsidRPr="00BD75B9">
        <w:rPr>
          <w:sz w:val="24"/>
          <w:szCs w:val="24"/>
        </w:rPr>
        <w:t>Wireless, Inc.</w:t>
      </w:r>
      <w:r w:rsidR="00BD75B9">
        <w:rPr>
          <w:sz w:val="24"/>
          <w:szCs w:val="24"/>
        </w:rPr>
        <w:t xml:space="preserve"> </w:t>
      </w:r>
    </w:p>
    <w:p w:rsidR="00A47984" w:rsidRPr="00AC2EA8" w:rsidRDefault="00A47984" w:rsidP="00A47984">
      <w:pPr>
        <w:rPr>
          <w:sz w:val="24"/>
          <w:szCs w:val="24"/>
        </w:rPr>
      </w:pPr>
    </w:p>
    <w:p w:rsidR="0013144A" w:rsidRPr="00AC2EA8" w:rsidRDefault="0013144A" w:rsidP="00A47984">
      <w:pPr>
        <w:rPr>
          <w:sz w:val="24"/>
          <w:szCs w:val="24"/>
        </w:rPr>
      </w:pPr>
    </w:p>
    <w:p w:rsidR="00A47984" w:rsidRPr="00AC2EA8" w:rsidRDefault="00A47984" w:rsidP="00A47984">
      <w:pPr>
        <w:rPr>
          <w:sz w:val="24"/>
          <w:szCs w:val="24"/>
        </w:rPr>
      </w:pPr>
      <w:r w:rsidRPr="00AC2EA8">
        <w:rPr>
          <w:sz w:val="24"/>
          <w:szCs w:val="24"/>
        </w:rPr>
        <w:t>Dear M</w:t>
      </w:r>
      <w:r w:rsidR="00BD75B9">
        <w:rPr>
          <w:sz w:val="24"/>
          <w:szCs w:val="24"/>
        </w:rPr>
        <w:t>s</w:t>
      </w:r>
      <w:r w:rsidR="00A831B0">
        <w:rPr>
          <w:sz w:val="24"/>
          <w:szCs w:val="24"/>
        </w:rPr>
        <w:t xml:space="preserve">. </w:t>
      </w:r>
      <w:r w:rsidR="00BD75B9" w:rsidRPr="00BD75B9">
        <w:rPr>
          <w:sz w:val="24"/>
        </w:rPr>
        <w:t>Smith</w:t>
      </w:r>
      <w:r w:rsidRPr="00AC2EA8">
        <w:rPr>
          <w:sz w:val="24"/>
          <w:szCs w:val="24"/>
        </w:rPr>
        <w:t>:</w:t>
      </w:r>
    </w:p>
    <w:p w:rsidR="00A47984" w:rsidRPr="00AC2EA8" w:rsidRDefault="00A47984" w:rsidP="00A47984">
      <w:pPr>
        <w:rPr>
          <w:sz w:val="24"/>
          <w:szCs w:val="24"/>
        </w:rPr>
      </w:pPr>
    </w:p>
    <w:p w:rsidR="00BD75B9" w:rsidRPr="00BD75B9" w:rsidRDefault="00BD75B9" w:rsidP="00BD75B9">
      <w:pPr>
        <w:ind w:firstLine="1440"/>
        <w:rPr>
          <w:sz w:val="24"/>
          <w:szCs w:val="24"/>
        </w:rPr>
      </w:pPr>
      <w:r w:rsidRPr="00BD75B9">
        <w:rPr>
          <w:sz w:val="24"/>
          <w:szCs w:val="24"/>
        </w:rPr>
        <w:t xml:space="preserve">On August 9, 2011, XO Communications Services, Inc. (XOCS) and </w:t>
      </w:r>
      <w:proofErr w:type="spellStart"/>
      <w:r w:rsidRPr="00BD75B9">
        <w:rPr>
          <w:sz w:val="24"/>
          <w:szCs w:val="24"/>
        </w:rPr>
        <w:t>Nextlink</w:t>
      </w:r>
      <w:proofErr w:type="spellEnd"/>
      <w:r w:rsidRPr="00BD75B9">
        <w:rPr>
          <w:sz w:val="24"/>
          <w:szCs w:val="24"/>
        </w:rPr>
        <w:t xml:space="preserve"> Wireless, Inc. (</w:t>
      </w:r>
      <w:proofErr w:type="spellStart"/>
      <w:r w:rsidRPr="00BD75B9">
        <w:rPr>
          <w:sz w:val="24"/>
          <w:szCs w:val="24"/>
        </w:rPr>
        <w:t>Nextlink</w:t>
      </w:r>
      <w:proofErr w:type="spellEnd"/>
      <w:r w:rsidRPr="00BD75B9">
        <w:rPr>
          <w:sz w:val="24"/>
          <w:szCs w:val="24"/>
        </w:rPr>
        <w:t>), XO Communica</w:t>
      </w:r>
      <w:r w:rsidR="00B903F7">
        <w:rPr>
          <w:sz w:val="24"/>
          <w:szCs w:val="24"/>
        </w:rPr>
        <w:t xml:space="preserve">tions and </w:t>
      </w:r>
      <w:proofErr w:type="spellStart"/>
      <w:r w:rsidR="00B903F7">
        <w:rPr>
          <w:sz w:val="24"/>
          <w:szCs w:val="24"/>
        </w:rPr>
        <w:t>Nextlink</w:t>
      </w:r>
      <w:proofErr w:type="spellEnd"/>
      <w:r w:rsidR="00B903F7">
        <w:rPr>
          <w:sz w:val="24"/>
          <w:szCs w:val="24"/>
        </w:rPr>
        <w:t>, collectively</w:t>
      </w:r>
      <w:r w:rsidRPr="00BD75B9">
        <w:rPr>
          <w:sz w:val="24"/>
          <w:szCs w:val="24"/>
        </w:rPr>
        <w:t xml:space="preserve"> Applicants or XO Subsidiaries, filed an application pursuant to Chapter 11 of the Pennsylvania Public Utility Code, 66 Pa. C.S. §§ 1101-1103 and 52 Pa. Code § 63.325, the Commission’s Abbreviated Procedures for Review and Approval of Transfer of Control for Telecommunications Public Utilities, seeking approval for a </w:t>
      </w:r>
      <w:r w:rsidRPr="00B903F7">
        <w:rPr>
          <w:i/>
          <w:sz w:val="24"/>
          <w:szCs w:val="24"/>
        </w:rPr>
        <w:t>pro forma</w:t>
      </w:r>
      <w:r w:rsidRPr="00BD75B9">
        <w:rPr>
          <w:sz w:val="24"/>
          <w:szCs w:val="24"/>
        </w:rPr>
        <w:t xml:space="preserve"> change to the ownership of the XO Subsidiaries.  The application was filed as a Pro Forma Transaction pursuant to 52 Pa. Code § 63.325(a).</w:t>
      </w:r>
    </w:p>
    <w:p w:rsidR="00BD75B9" w:rsidRPr="00BD75B9" w:rsidRDefault="00BD75B9" w:rsidP="00BD75B9">
      <w:pPr>
        <w:ind w:firstLine="1440"/>
        <w:rPr>
          <w:sz w:val="24"/>
          <w:szCs w:val="24"/>
        </w:rPr>
      </w:pPr>
    </w:p>
    <w:p w:rsidR="00F93DDD" w:rsidRPr="00F93DDD" w:rsidRDefault="00BD75B9" w:rsidP="00BD75B9">
      <w:pPr>
        <w:ind w:firstLine="1440"/>
        <w:rPr>
          <w:sz w:val="24"/>
          <w:szCs w:val="24"/>
        </w:rPr>
      </w:pPr>
      <w:r w:rsidRPr="00BD75B9">
        <w:rPr>
          <w:sz w:val="24"/>
          <w:szCs w:val="24"/>
        </w:rPr>
        <w:t>Pursuant to 52 Pa. Code § 5.14, notice was published in the Pennsylvania Bulletin on Saturday, November 19, 2011, and protests were due by December 5, 2011.  No protests or comments in opposition were filed.  In addition, copies of the application were served upon the Bureau of Investigation and Enforcement, Office of Small Business Advocate and the Office of Consumer Advocate.</w:t>
      </w:r>
    </w:p>
    <w:p w:rsidR="00FF5D06" w:rsidRPr="00AC2EA8" w:rsidRDefault="00FF5D06" w:rsidP="00FF5D06">
      <w:pPr>
        <w:rPr>
          <w:sz w:val="24"/>
          <w:szCs w:val="24"/>
        </w:rPr>
      </w:pPr>
    </w:p>
    <w:p w:rsidR="00911CF2" w:rsidRPr="00911CF2" w:rsidRDefault="00070861" w:rsidP="00911CF2">
      <w:pPr>
        <w:autoSpaceDE w:val="0"/>
        <w:autoSpaceDN w:val="0"/>
        <w:adjustRightInd w:val="0"/>
        <w:ind w:firstLine="1440"/>
        <w:rPr>
          <w:sz w:val="24"/>
          <w:szCs w:val="24"/>
        </w:rPr>
      </w:pPr>
      <w:r>
        <w:rPr>
          <w:sz w:val="24"/>
          <w:szCs w:val="24"/>
        </w:rPr>
        <w:t>On July 11,</w:t>
      </w:r>
      <w:r w:rsidR="00911CF2" w:rsidRPr="00911CF2">
        <w:rPr>
          <w:sz w:val="24"/>
          <w:szCs w:val="24"/>
        </w:rPr>
        <w:t xml:space="preserve"> 2011, XO Holdings entered into an Agreement and Plan of Merger (Agreement) with the Parent Group and XO Merger Corp., a Delaware corporation and a wholly-owned subsidiary of the Parent Group (Merger Sub). The Agre</w:t>
      </w:r>
      <w:r>
        <w:rPr>
          <w:sz w:val="24"/>
          <w:szCs w:val="24"/>
        </w:rPr>
        <w:t>ement provides that, at closing,</w:t>
      </w:r>
      <w:r w:rsidRPr="00911CF2">
        <w:rPr>
          <w:sz w:val="24"/>
          <w:szCs w:val="24"/>
        </w:rPr>
        <w:t xml:space="preserve"> Merger</w:t>
      </w:r>
      <w:r w:rsidR="00911CF2" w:rsidRPr="00911CF2">
        <w:rPr>
          <w:sz w:val="24"/>
          <w:szCs w:val="24"/>
        </w:rPr>
        <w:t xml:space="preserve"> Sub will merge into XO Holdings and XO Holdings will be the surviving entity.  All of the common stock in XO Holdings other than the common stock held by the Parent Group will be cancelled and automatically converted into a right to receive cash and other consideration.  After the merger, XO Holdings will be a privately-held company, expected to be wholly-owned directly by the Parent Group and indirectly by Carl C. Icahn.</w:t>
      </w:r>
    </w:p>
    <w:p w:rsidR="00911CF2" w:rsidRPr="00911CF2" w:rsidRDefault="00911CF2" w:rsidP="00911CF2">
      <w:pPr>
        <w:autoSpaceDE w:val="0"/>
        <w:autoSpaceDN w:val="0"/>
        <w:adjustRightInd w:val="0"/>
        <w:ind w:firstLine="1440"/>
        <w:rPr>
          <w:sz w:val="24"/>
          <w:szCs w:val="24"/>
        </w:rPr>
      </w:pPr>
    </w:p>
    <w:p w:rsidR="00911CF2" w:rsidRPr="00911CF2" w:rsidRDefault="00911CF2" w:rsidP="00911CF2">
      <w:pPr>
        <w:autoSpaceDE w:val="0"/>
        <w:autoSpaceDN w:val="0"/>
        <w:adjustRightInd w:val="0"/>
        <w:ind w:firstLine="1440"/>
        <w:rPr>
          <w:sz w:val="24"/>
          <w:szCs w:val="24"/>
        </w:rPr>
      </w:pPr>
      <w:r w:rsidRPr="00911CF2">
        <w:rPr>
          <w:sz w:val="24"/>
          <w:szCs w:val="24"/>
        </w:rPr>
        <w:tab/>
        <w:t>The proposed reorganization will enhance the strategic and financial flexibility of the XO Subsidiaries.  Following the transaction</w:t>
      </w:r>
      <w:r w:rsidR="004E5AF0">
        <w:rPr>
          <w:sz w:val="24"/>
          <w:szCs w:val="24"/>
        </w:rPr>
        <w:t>,</w:t>
      </w:r>
      <w:r w:rsidRPr="00911CF2">
        <w:rPr>
          <w:sz w:val="24"/>
          <w:szCs w:val="24"/>
        </w:rPr>
        <w:t xml:space="preserve"> XO Holdings will enjoy the advantages both of its newly consolidated ownership and of the commercial flexibility available to privately-held companies.  These advantages will benefit the XO Subsidiaries and their customers.</w:t>
      </w:r>
    </w:p>
    <w:p w:rsidR="00911CF2" w:rsidRPr="00911CF2" w:rsidRDefault="00911CF2" w:rsidP="00911CF2">
      <w:pPr>
        <w:autoSpaceDE w:val="0"/>
        <w:autoSpaceDN w:val="0"/>
        <w:adjustRightInd w:val="0"/>
        <w:ind w:firstLine="1440"/>
        <w:rPr>
          <w:sz w:val="24"/>
          <w:szCs w:val="24"/>
        </w:rPr>
      </w:pPr>
      <w:r w:rsidRPr="00911CF2">
        <w:rPr>
          <w:sz w:val="24"/>
          <w:szCs w:val="24"/>
        </w:rPr>
        <w:lastRenderedPageBreak/>
        <w:t xml:space="preserve">As required by Section 63.325(k)(1) of our rules, we find that the record sufficiently supports the Joint Applicants’ claim that the proposed transfer of control will benefit customers by strengthening the Applicants’ competitive position in Pennsylvania.  Additionally, we conclude that the record provides substantial evidence of affirmative public benefits sufficient to warrant approval of the proposed transaction under </w:t>
      </w:r>
      <w:r w:rsidRPr="00070861">
        <w:rPr>
          <w:i/>
          <w:sz w:val="24"/>
          <w:szCs w:val="24"/>
        </w:rPr>
        <w:t>City of York v. Pennsylvania</w:t>
      </w:r>
      <w:r w:rsidRPr="00911CF2">
        <w:rPr>
          <w:sz w:val="24"/>
          <w:szCs w:val="24"/>
        </w:rPr>
        <w:t xml:space="preserve"> Public Utility Commission, 295 A.2d 825 (Pa. 1972) and </w:t>
      </w:r>
      <w:r w:rsidRPr="00070861">
        <w:rPr>
          <w:i/>
          <w:sz w:val="24"/>
          <w:szCs w:val="24"/>
        </w:rPr>
        <w:t xml:space="preserve">Irwin A. </w:t>
      </w:r>
      <w:proofErr w:type="spellStart"/>
      <w:r w:rsidRPr="00070861">
        <w:rPr>
          <w:i/>
          <w:sz w:val="24"/>
          <w:szCs w:val="24"/>
        </w:rPr>
        <w:t>Popowsky</w:t>
      </w:r>
      <w:proofErr w:type="spellEnd"/>
      <w:r w:rsidRPr="00070861">
        <w:rPr>
          <w:i/>
          <w:sz w:val="24"/>
          <w:szCs w:val="24"/>
        </w:rPr>
        <w:t xml:space="preserve"> v. Pa. PUC</w:t>
      </w:r>
      <w:r w:rsidRPr="00911CF2">
        <w:rPr>
          <w:sz w:val="24"/>
          <w:szCs w:val="24"/>
        </w:rPr>
        <w:t xml:space="preserve">, 937 A.2d 1040 (Pa. 2007). </w:t>
      </w:r>
    </w:p>
    <w:p w:rsidR="00911CF2" w:rsidRPr="00911CF2" w:rsidRDefault="00911CF2" w:rsidP="00911CF2">
      <w:pPr>
        <w:autoSpaceDE w:val="0"/>
        <w:autoSpaceDN w:val="0"/>
        <w:adjustRightInd w:val="0"/>
        <w:ind w:firstLine="1440"/>
        <w:rPr>
          <w:sz w:val="24"/>
          <w:szCs w:val="24"/>
        </w:rPr>
      </w:pPr>
    </w:p>
    <w:p w:rsidR="00911CF2" w:rsidRPr="00911CF2" w:rsidRDefault="00911CF2" w:rsidP="00911CF2">
      <w:pPr>
        <w:autoSpaceDE w:val="0"/>
        <w:autoSpaceDN w:val="0"/>
        <w:adjustRightInd w:val="0"/>
        <w:ind w:firstLine="1440"/>
        <w:rPr>
          <w:sz w:val="24"/>
          <w:szCs w:val="24"/>
        </w:rPr>
      </w:pPr>
      <w:r w:rsidRPr="00911CF2">
        <w:rPr>
          <w:sz w:val="24"/>
          <w:szCs w:val="24"/>
        </w:rPr>
        <w:t xml:space="preserve">We find that the transaction is necessary for the service, accommodation, convenience, or safety of the public and the Commission will issue a certificate of public convenience authorizing this transaction as required by 66 </w:t>
      </w:r>
      <w:proofErr w:type="spellStart"/>
      <w:r w:rsidRPr="00911CF2">
        <w:rPr>
          <w:sz w:val="24"/>
          <w:szCs w:val="24"/>
        </w:rPr>
        <w:t>Pa.C.S</w:t>
      </w:r>
      <w:proofErr w:type="spellEnd"/>
      <w:r w:rsidRPr="00911CF2">
        <w:rPr>
          <w:sz w:val="24"/>
          <w:szCs w:val="24"/>
        </w:rPr>
        <w:t>. §§ 1102(a) and 1103 and 52 Pa. Code § 63.325(k</w:t>
      </w:r>
      <w:proofErr w:type="gramStart"/>
      <w:r w:rsidRPr="00911CF2">
        <w:rPr>
          <w:sz w:val="24"/>
          <w:szCs w:val="24"/>
        </w:rPr>
        <w:t>)(</w:t>
      </w:r>
      <w:proofErr w:type="gramEnd"/>
      <w:r w:rsidRPr="00911CF2">
        <w:rPr>
          <w:sz w:val="24"/>
          <w:szCs w:val="24"/>
        </w:rPr>
        <w:t>2).</w:t>
      </w:r>
    </w:p>
    <w:p w:rsidR="00911CF2" w:rsidRDefault="00911CF2" w:rsidP="00911CF2">
      <w:pPr>
        <w:autoSpaceDE w:val="0"/>
        <w:autoSpaceDN w:val="0"/>
        <w:adjustRightInd w:val="0"/>
        <w:ind w:firstLine="1440"/>
        <w:rPr>
          <w:sz w:val="24"/>
          <w:szCs w:val="24"/>
        </w:rPr>
      </w:pPr>
    </w:p>
    <w:p w:rsidR="00911CF2" w:rsidRPr="00911CF2" w:rsidRDefault="00911CF2" w:rsidP="00911CF2">
      <w:pPr>
        <w:autoSpaceDE w:val="0"/>
        <w:autoSpaceDN w:val="0"/>
        <w:adjustRightInd w:val="0"/>
        <w:ind w:firstLine="1440"/>
        <w:rPr>
          <w:sz w:val="24"/>
          <w:szCs w:val="24"/>
        </w:rPr>
      </w:pPr>
      <w:r w:rsidRPr="00911CF2">
        <w:rPr>
          <w:sz w:val="24"/>
          <w:szCs w:val="24"/>
        </w:rPr>
        <w:t xml:space="preserve">Finally, based upon the information provided in the joint application, we find that the transaction will benefit competition and does not harm competition.  Consequently, the Commission’s approval will enhance the Applicants’ ability to compete in Pennsylvania without harm to consumers or Pennsylvania markets as required by Section 63.325(k)(3) of our rules.  </w:t>
      </w:r>
    </w:p>
    <w:p w:rsidR="00911CF2" w:rsidRPr="00911CF2" w:rsidRDefault="00911CF2" w:rsidP="00911CF2">
      <w:pPr>
        <w:autoSpaceDE w:val="0"/>
        <w:autoSpaceDN w:val="0"/>
        <w:adjustRightInd w:val="0"/>
        <w:ind w:firstLine="1440"/>
        <w:rPr>
          <w:sz w:val="24"/>
          <w:szCs w:val="24"/>
        </w:rPr>
      </w:pPr>
    </w:p>
    <w:p w:rsidR="002D66CF" w:rsidRDefault="002D66CF" w:rsidP="002D66CF">
      <w:pPr>
        <w:autoSpaceDE w:val="0"/>
        <w:autoSpaceDN w:val="0"/>
        <w:adjustRightInd w:val="0"/>
        <w:ind w:firstLine="1440"/>
        <w:rPr>
          <w:sz w:val="24"/>
          <w:szCs w:val="24"/>
        </w:rPr>
      </w:pPr>
      <w:r>
        <w:rPr>
          <w:sz w:val="24"/>
          <w:szCs w:val="24"/>
        </w:rPr>
        <w:t xml:space="preserve">The Commission has </w:t>
      </w:r>
      <w:r w:rsidR="00911CF2" w:rsidRPr="00911CF2">
        <w:rPr>
          <w:sz w:val="24"/>
          <w:szCs w:val="24"/>
        </w:rPr>
        <w:t xml:space="preserve">determined that XOCS and </w:t>
      </w:r>
      <w:proofErr w:type="spellStart"/>
      <w:r w:rsidR="00911CF2" w:rsidRPr="00911CF2">
        <w:rPr>
          <w:sz w:val="24"/>
          <w:szCs w:val="24"/>
        </w:rPr>
        <w:t>Nextlink</w:t>
      </w:r>
      <w:proofErr w:type="spellEnd"/>
      <w:r w:rsidR="00911CF2" w:rsidRPr="00911CF2">
        <w:rPr>
          <w:sz w:val="24"/>
          <w:szCs w:val="24"/>
        </w:rPr>
        <w:t xml:space="preserve"> are current with their annual financial and Security Planning and Readiness Self Certification Form report filing requirements, and there are no outstanding Commission fines or assessme</w:t>
      </w:r>
      <w:r>
        <w:rPr>
          <w:sz w:val="24"/>
          <w:szCs w:val="24"/>
        </w:rPr>
        <w:t xml:space="preserve">nts against XOCS and </w:t>
      </w:r>
      <w:proofErr w:type="spellStart"/>
      <w:r>
        <w:rPr>
          <w:sz w:val="24"/>
          <w:szCs w:val="24"/>
        </w:rPr>
        <w:t>Nextlink</w:t>
      </w:r>
      <w:proofErr w:type="spellEnd"/>
      <w:r>
        <w:rPr>
          <w:sz w:val="24"/>
          <w:szCs w:val="24"/>
        </w:rPr>
        <w:t>.</w:t>
      </w:r>
    </w:p>
    <w:p w:rsidR="002D66CF" w:rsidRDefault="002D66CF" w:rsidP="002D66CF">
      <w:pPr>
        <w:ind w:firstLine="1440"/>
        <w:rPr>
          <w:sz w:val="24"/>
          <w:szCs w:val="24"/>
        </w:rPr>
      </w:pPr>
    </w:p>
    <w:p w:rsidR="002D66CF" w:rsidRPr="00AC2EA8" w:rsidRDefault="002D66CF" w:rsidP="002D66CF">
      <w:pPr>
        <w:ind w:firstLine="1440"/>
        <w:rPr>
          <w:sz w:val="24"/>
          <w:szCs w:val="24"/>
        </w:rPr>
      </w:pPr>
      <w:r>
        <w:rPr>
          <w:sz w:val="24"/>
          <w:szCs w:val="24"/>
        </w:rPr>
        <w:t>In summary</w:t>
      </w:r>
      <w:r w:rsidRPr="00AC2EA8">
        <w:rPr>
          <w:sz w:val="24"/>
          <w:szCs w:val="24"/>
        </w:rPr>
        <w:t xml:space="preserve">, we find that the </w:t>
      </w:r>
      <w:r>
        <w:rPr>
          <w:sz w:val="24"/>
          <w:szCs w:val="24"/>
        </w:rPr>
        <w:t xml:space="preserve">joint </w:t>
      </w:r>
      <w:r w:rsidRPr="00AC2EA8">
        <w:rPr>
          <w:sz w:val="24"/>
          <w:szCs w:val="24"/>
        </w:rPr>
        <w:t xml:space="preserve">application should be approved as a </w:t>
      </w:r>
      <w:r>
        <w:rPr>
          <w:sz w:val="24"/>
          <w:szCs w:val="24"/>
        </w:rPr>
        <w:t>General Rule</w:t>
      </w:r>
      <w:r w:rsidRPr="00AC2EA8">
        <w:rPr>
          <w:sz w:val="24"/>
          <w:szCs w:val="24"/>
        </w:rPr>
        <w:t xml:space="preserve"> transaction under Section 63.32</w:t>
      </w:r>
      <w:r>
        <w:rPr>
          <w:sz w:val="24"/>
          <w:szCs w:val="24"/>
        </w:rPr>
        <w:t>5</w:t>
      </w:r>
      <w:r w:rsidRPr="00AC2EA8">
        <w:rPr>
          <w:sz w:val="24"/>
          <w:szCs w:val="24"/>
        </w:rPr>
        <w:t xml:space="preserve"> of the Commission’s rules as requested</w:t>
      </w:r>
      <w:r>
        <w:rPr>
          <w:sz w:val="24"/>
          <w:szCs w:val="24"/>
        </w:rPr>
        <w:t>, and,</w:t>
      </w:r>
      <w:r w:rsidRPr="00AC2EA8">
        <w:rPr>
          <w:sz w:val="24"/>
          <w:szCs w:val="24"/>
        </w:rPr>
        <w:t xml:space="preserve"> that a certificate of public convenience be issued to</w:t>
      </w:r>
      <w:r>
        <w:rPr>
          <w:sz w:val="24"/>
          <w:szCs w:val="24"/>
        </w:rPr>
        <w:t xml:space="preserve"> </w:t>
      </w:r>
      <w:r w:rsidR="00B903F7" w:rsidRPr="00B903F7">
        <w:rPr>
          <w:sz w:val="24"/>
          <w:szCs w:val="24"/>
        </w:rPr>
        <w:t xml:space="preserve">XO Communications Services, Inc. and </w:t>
      </w:r>
      <w:proofErr w:type="spellStart"/>
      <w:r w:rsidR="00B903F7" w:rsidRPr="00B903F7">
        <w:rPr>
          <w:sz w:val="24"/>
          <w:szCs w:val="24"/>
        </w:rPr>
        <w:t>Nextlink</w:t>
      </w:r>
      <w:proofErr w:type="spellEnd"/>
      <w:r w:rsidR="00B903F7" w:rsidRPr="00B903F7">
        <w:rPr>
          <w:sz w:val="24"/>
          <w:szCs w:val="24"/>
        </w:rPr>
        <w:t xml:space="preserve"> Wireless, Inc.</w:t>
      </w:r>
      <w:r>
        <w:rPr>
          <w:sz w:val="24"/>
          <w:szCs w:val="24"/>
        </w:rPr>
        <w:t xml:space="preserve"> evidencing our approval of the proposed </w:t>
      </w:r>
      <w:r w:rsidR="00B903F7" w:rsidRPr="00B903F7">
        <w:rPr>
          <w:i/>
          <w:sz w:val="24"/>
          <w:szCs w:val="24"/>
        </w:rPr>
        <w:t>pro forma</w:t>
      </w:r>
      <w:r w:rsidR="00B903F7">
        <w:rPr>
          <w:sz w:val="24"/>
          <w:szCs w:val="24"/>
        </w:rPr>
        <w:t xml:space="preserve"> </w:t>
      </w:r>
      <w:r w:rsidRPr="00B61B7D">
        <w:rPr>
          <w:sz w:val="24"/>
          <w:szCs w:val="24"/>
        </w:rPr>
        <w:t>transfer</w:t>
      </w:r>
      <w:r>
        <w:rPr>
          <w:sz w:val="24"/>
          <w:szCs w:val="24"/>
        </w:rPr>
        <w:t xml:space="preserve"> of </w:t>
      </w:r>
      <w:r w:rsidR="00B903F7">
        <w:rPr>
          <w:sz w:val="24"/>
          <w:szCs w:val="24"/>
        </w:rPr>
        <w:t>ownership</w:t>
      </w:r>
      <w:r>
        <w:rPr>
          <w:sz w:val="24"/>
          <w:szCs w:val="24"/>
        </w:rPr>
        <w:t>.</w:t>
      </w:r>
    </w:p>
    <w:p w:rsidR="002D66CF" w:rsidRDefault="002D66CF" w:rsidP="002D66CF">
      <w:pPr>
        <w:rPr>
          <w:sz w:val="24"/>
          <w:szCs w:val="24"/>
        </w:rPr>
      </w:pPr>
    </w:p>
    <w:p w:rsidR="002D66CF" w:rsidRPr="008145D8" w:rsidRDefault="002D66CF" w:rsidP="002D66CF">
      <w:pPr>
        <w:autoSpaceDE w:val="0"/>
        <w:autoSpaceDN w:val="0"/>
        <w:adjustRightInd w:val="0"/>
        <w:ind w:firstLine="1440"/>
        <w:rPr>
          <w:sz w:val="24"/>
          <w:szCs w:val="24"/>
        </w:rPr>
      </w:pPr>
      <w:r w:rsidRPr="00B53F7D">
        <w:rPr>
          <w:sz w:val="24"/>
          <w:szCs w:val="24"/>
        </w:rPr>
        <w:t xml:space="preserve">Therefore, the Commission directs </w:t>
      </w:r>
      <w:r>
        <w:rPr>
          <w:sz w:val="24"/>
          <w:szCs w:val="24"/>
        </w:rPr>
        <w:t>Applicants</w:t>
      </w:r>
      <w:r w:rsidRPr="00B53F7D">
        <w:rPr>
          <w:sz w:val="24"/>
          <w:szCs w:val="24"/>
        </w:rPr>
        <w:t xml:space="preserve"> </w:t>
      </w:r>
      <w:r>
        <w:rPr>
          <w:sz w:val="24"/>
          <w:szCs w:val="24"/>
        </w:rPr>
        <w:t xml:space="preserve">to file notice with this Commission within 60 days of the consummation of the </w:t>
      </w:r>
      <w:r w:rsidRPr="007D3B13">
        <w:rPr>
          <w:sz w:val="24"/>
          <w:szCs w:val="24"/>
        </w:rPr>
        <w:t>transfer</w:t>
      </w:r>
      <w:r>
        <w:rPr>
          <w:sz w:val="24"/>
          <w:szCs w:val="24"/>
        </w:rPr>
        <w:t xml:space="preserve">.  </w:t>
      </w:r>
      <w:r w:rsidRPr="005E57CA">
        <w:rPr>
          <w:sz w:val="24"/>
          <w:szCs w:val="24"/>
        </w:rPr>
        <w:t xml:space="preserve">That if </w:t>
      </w:r>
      <w:r>
        <w:rPr>
          <w:sz w:val="24"/>
          <w:szCs w:val="24"/>
        </w:rPr>
        <w:t>Applicants</w:t>
      </w:r>
      <w:r w:rsidRPr="005E57CA">
        <w:rPr>
          <w:sz w:val="24"/>
          <w:szCs w:val="24"/>
        </w:rPr>
        <w:t xml:space="preserve"> determine that the proposed transaction will no</w:t>
      </w:r>
      <w:r>
        <w:rPr>
          <w:sz w:val="24"/>
          <w:szCs w:val="24"/>
        </w:rPr>
        <w:t xml:space="preserve">t take </w:t>
      </w:r>
      <w:proofErr w:type="gramStart"/>
      <w:r>
        <w:rPr>
          <w:sz w:val="24"/>
          <w:szCs w:val="24"/>
        </w:rPr>
        <w:t>place,</w:t>
      </w:r>
      <w:proofErr w:type="gramEnd"/>
      <w:r w:rsidRPr="005E57CA">
        <w:rPr>
          <w:sz w:val="24"/>
          <w:szCs w:val="24"/>
        </w:rPr>
        <w:t xml:space="preserve"> </w:t>
      </w:r>
      <w:r>
        <w:rPr>
          <w:sz w:val="24"/>
          <w:szCs w:val="24"/>
        </w:rPr>
        <w:t>Applicants</w:t>
      </w:r>
      <w:r w:rsidRPr="005E57CA">
        <w:rPr>
          <w:sz w:val="24"/>
          <w:szCs w:val="24"/>
        </w:rPr>
        <w:t xml:space="preserve"> shall promptly so notify this Commission</w:t>
      </w:r>
      <w:r>
        <w:rPr>
          <w:sz w:val="24"/>
          <w:szCs w:val="24"/>
        </w:rPr>
        <w:t>.</w:t>
      </w:r>
    </w:p>
    <w:p w:rsidR="00B53F7D" w:rsidRPr="00B53F7D" w:rsidRDefault="00B53F7D" w:rsidP="00B53F7D">
      <w:pPr>
        <w:autoSpaceDE w:val="0"/>
        <w:autoSpaceDN w:val="0"/>
        <w:adjustRightInd w:val="0"/>
        <w:ind w:firstLine="1440"/>
        <w:rPr>
          <w:sz w:val="24"/>
          <w:szCs w:val="24"/>
        </w:rPr>
      </w:pPr>
    </w:p>
    <w:p w:rsidR="00FB6B8C" w:rsidRPr="00B53F7D" w:rsidRDefault="00FB6B8C" w:rsidP="00B53F7D">
      <w:pPr>
        <w:ind w:firstLine="1440"/>
        <w:rPr>
          <w:sz w:val="24"/>
          <w:szCs w:val="24"/>
        </w:rPr>
      </w:pPr>
    </w:p>
    <w:p w:rsidR="00FB6B8C" w:rsidRPr="00AC2EA8" w:rsidRDefault="00FB6B8C" w:rsidP="00FB6B8C">
      <w:pPr>
        <w:rPr>
          <w:sz w:val="24"/>
          <w:szCs w:val="24"/>
        </w:rPr>
      </w:pPr>
    </w:p>
    <w:p w:rsidR="0098671C" w:rsidRDefault="00A47984" w:rsidP="00B07E09">
      <w:pPr>
        <w:ind w:left="720" w:firstLine="720"/>
        <w:rPr>
          <w:sz w:val="24"/>
        </w:rPr>
      </w:pPr>
      <w:r>
        <w:rPr>
          <w:sz w:val="24"/>
        </w:rPr>
        <w:t xml:space="preserve"> </w:t>
      </w:r>
    </w:p>
    <w:p w:rsidR="00A47984" w:rsidRDefault="00C230A3" w:rsidP="00A47984">
      <w:pPr>
        <w:rPr>
          <w:sz w:val="24"/>
        </w:rPr>
      </w:pPr>
      <w:r>
        <w:rPr>
          <w:noProof/>
        </w:rPr>
        <w:drawing>
          <wp:anchor distT="0" distB="0" distL="114300" distR="114300" simplePos="0" relativeHeight="251658240" behindDoc="1" locked="0" layoutInCell="1" allowOverlap="1" wp14:anchorId="13BEDE5B" wp14:editId="1C651497">
            <wp:simplePos x="0" y="0"/>
            <wp:positionH relativeFrom="column">
              <wp:posOffset>3448050</wp:posOffset>
            </wp:positionH>
            <wp:positionV relativeFrom="paragraph">
              <wp:posOffset>6985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47984">
        <w:rPr>
          <w:sz w:val="24"/>
        </w:rPr>
        <w:tab/>
      </w:r>
      <w:r w:rsidR="00A47984">
        <w:rPr>
          <w:sz w:val="24"/>
        </w:rPr>
        <w:tab/>
      </w:r>
      <w:r w:rsidR="00A47984">
        <w:rPr>
          <w:sz w:val="24"/>
        </w:rPr>
        <w:tab/>
      </w:r>
      <w:bookmarkStart w:id="0" w:name="_GoBack"/>
      <w:bookmarkEnd w:id="0"/>
      <w:r w:rsidR="00A47984">
        <w:rPr>
          <w:sz w:val="24"/>
        </w:rPr>
        <w:tab/>
      </w:r>
      <w:r w:rsidR="00A47984">
        <w:rPr>
          <w:sz w:val="24"/>
        </w:rPr>
        <w:tab/>
      </w:r>
      <w:r w:rsidR="00A47984">
        <w:rPr>
          <w:sz w:val="24"/>
        </w:rPr>
        <w:tab/>
      </w:r>
      <w:r w:rsidR="00A47984">
        <w:rPr>
          <w:sz w:val="24"/>
        </w:rPr>
        <w:tab/>
        <w:t>BY THE COMMISSION,</w:t>
      </w:r>
    </w:p>
    <w:p w:rsidR="00A47984" w:rsidRDefault="00A47984" w:rsidP="00A47984">
      <w:pPr>
        <w:rPr>
          <w:sz w:val="24"/>
        </w:rPr>
      </w:pPr>
    </w:p>
    <w:p w:rsidR="00A47984" w:rsidRDefault="00A47984" w:rsidP="00A47984">
      <w:pPr>
        <w:rPr>
          <w:sz w:val="24"/>
        </w:rPr>
      </w:pPr>
    </w:p>
    <w:p w:rsidR="00A47984" w:rsidRDefault="00A47984" w:rsidP="00A47984">
      <w:pPr>
        <w:rPr>
          <w:sz w:val="24"/>
        </w:rPr>
      </w:pPr>
    </w:p>
    <w:p w:rsidR="00A47984" w:rsidRDefault="00A47984" w:rsidP="00A47984">
      <w:pPr>
        <w:rPr>
          <w:sz w:val="24"/>
        </w:rPr>
      </w:pPr>
      <w:r>
        <w:rPr>
          <w:sz w:val="24"/>
        </w:rPr>
        <w:tab/>
      </w:r>
      <w:r>
        <w:rPr>
          <w:sz w:val="24"/>
        </w:rPr>
        <w:tab/>
      </w:r>
      <w:r>
        <w:rPr>
          <w:sz w:val="24"/>
        </w:rPr>
        <w:tab/>
      </w:r>
      <w:r>
        <w:rPr>
          <w:sz w:val="24"/>
        </w:rPr>
        <w:tab/>
      </w:r>
      <w:r>
        <w:rPr>
          <w:sz w:val="24"/>
        </w:rPr>
        <w:tab/>
      </w:r>
      <w:r>
        <w:rPr>
          <w:sz w:val="24"/>
        </w:rPr>
        <w:tab/>
      </w:r>
      <w:r>
        <w:rPr>
          <w:sz w:val="24"/>
        </w:rPr>
        <w:tab/>
      </w:r>
      <w:r w:rsidR="008F725C">
        <w:rPr>
          <w:sz w:val="24"/>
        </w:rPr>
        <w:t>Rosemary Chiavetta</w:t>
      </w:r>
    </w:p>
    <w:p w:rsidR="00A47984" w:rsidRDefault="00A47984" w:rsidP="00A47984">
      <w:pPr>
        <w:rPr>
          <w:sz w:val="24"/>
        </w:rPr>
      </w:pPr>
      <w:r>
        <w:rPr>
          <w:sz w:val="24"/>
        </w:rPr>
        <w:tab/>
      </w:r>
      <w:r>
        <w:rPr>
          <w:sz w:val="24"/>
        </w:rPr>
        <w:tab/>
      </w:r>
      <w:r>
        <w:rPr>
          <w:sz w:val="24"/>
        </w:rPr>
        <w:tab/>
      </w:r>
      <w:r>
        <w:rPr>
          <w:sz w:val="24"/>
        </w:rPr>
        <w:tab/>
      </w:r>
      <w:r>
        <w:rPr>
          <w:sz w:val="24"/>
        </w:rPr>
        <w:tab/>
      </w:r>
      <w:r>
        <w:rPr>
          <w:sz w:val="24"/>
        </w:rPr>
        <w:tab/>
      </w:r>
      <w:r>
        <w:rPr>
          <w:sz w:val="24"/>
        </w:rPr>
        <w:tab/>
        <w:t>Secretary</w:t>
      </w:r>
    </w:p>
    <w:p w:rsidR="00387B02" w:rsidRDefault="00387B02" w:rsidP="00A47984">
      <w:pPr>
        <w:rPr>
          <w:sz w:val="24"/>
        </w:rPr>
      </w:pPr>
    </w:p>
    <w:p w:rsidR="00387B02" w:rsidRDefault="00387B02" w:rsidP="00A47984">
      <w:pPr>
        <w:rPr>
          <w:sz w:val="24"/>
        </w:rPr>
      </w:pPr>
    </w:p>
    <w:p w:rsidR="005B7C2F" w:rsidRDefault="00387B02" w:rsidP="00387B02">
      <w:pPr>
        <w:rPr>
          <w:sz w:val="24"/>
        </w:rPr>
      </w:pPr>
      <w:r>
        <w:rPr>
          <w:sz w:val="24"/>
        </w:rPr>
        <w:t xml:space="preserve">cc:   </w:t>
      </w:r>
      <w:r>
        <w:rPr>
          <w:sz w:val="24"/>
        </w:rPr>
        <w:tab/>
      </w:r>
      <w:r w:rsidR="005B7C2F">
        <w:rPr>
          <w:sz w:val="24"/>
        </w:rPr>
        <w:t>J. Elaine McDonald</w:t>
      </w:r>
    </w:p>
    <w:p w:rsidR="007F35C8" w:rsidRDefault="007F35C8" w:rsidP="00A47984">
      <w:pPr>
        <w:rPr>
          <w:sz w:val="24"/>
        </w:rPr>
      </w:pPr>
      <w:r>
        <w:rPr>
          <w:sz w:val="24"/>
        </w:rPr>
        <w:tab/>
        <w:t>Pennsylvania Emergency Management Agency 911 (E911)</w:t>
      </w:r>
    </w:p>
    <w:sectPr w:rsidR="007F35C8" w:rsidSect="009F374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0C" w:rsidRDefault="0054130C">
      <w:r>
        <w:separator/>
      </w:r>
    </w:p>
  </w:endnote>
  <w:endnote w:type="continuationSeparator" w:id="0">
    <w:p w:rsidR="0054130C" w:rsidRDefault="0054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0C" w:rsidRDefault="0054130C">
      <w:r>
        <w:separator/>
      </w:r>
    </w:p>
  </w:footnote>
  <w:footnote w:type="continuationSeparator" w:id="0">
    <w:p w:rsidR="0054130C" w:rsidRDefault="00541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13"/>
    <w:rsid w:val="00002F8B"/>
    <w:rsid w:val="0002387A"/>
    <w:rsid w:val="00060513"/>
    <w:rsid w:val="00061E0A"/>
    <w:rsid w:val="00070861"/>
    <w:rsid w:val="00076251"/>
    <w:rsid w:val="0008771D"/>
    <w:rsid w:val="00094F41"/>
    <w:rsid w:val="000A0CA9"/>
    <w:rsid w:val="000A2233"/>
    <w:rsid w:val="000A691C"/>
    <w:rsid w:val="000A7BE0"/>
    <w:rsid w:val="000D09B4"/>
    <w:rsid w:val="000D4811"/>
    <w:rsid w:val="000E783E"/>
    <w:rsid w:val="00102FDF"/>
    <w:rsid w:val="001047F8"/>
    <w:rsid w:val="0013144A"/>
    <w:rsid w:val="001316CE"/>
    <w:rsid w:val="0014250A"/>
    <w:rsid w:val="00163748"/>
    <w:rsid w:val="00186536"/>
    <w:rsid w:val="001A67AD"/>
    <w:rsid w:val="001C6782"/>
    <w:rsid w:val="001D01B6"/>
    <w:rsid w:val="001D21AB"/>
    <w:rsid w:val="001F11E9"/>
    <w:rsid w:val="002121C6"/>
    <w:rsid w:val="002133D6"/>
    <w:rsid w:val="00213B60"/>
    <w:rsid w:val="002414B8"/>
    <w:rsid w:val="00243B92"/>
    <w:rsid w:val="00247EFB"/>
    <w:rsid w:val="00252BF3"/>
    <w:rsid w:val="00271A9E"/>
    <w:rsid w:val="00287D45"/>
    <w:rsid w:val="002915AD"/>
    <w:rsid w:val="0029515B"/>
    <w:rsid w:val="0029538D"/>
    <w:rsid w:val="00296E11"/>
    <w:rsid w:val="002C3465"/>
    <w:rsid w:val="002D66CF"/>
    <w:rsid w:val="002E088B"/>
    <w:rsid w:val="002E3F53"/>
    <w:rsid w:val="002E5E9A"/>
    <w:rsid w:val="002F59C0"/>
    <w:rsid w:val="002F6FE6"/>
    <w:rsid w:val="00306B18"/>
    <w:rsid w:val="00310EF8"/>
    <w:rsid w:val="00313BE5"/>
    <w:rsid w:val="00356DE1"/>
    <w:rsid w:val="003611EF"/>
    <w:rsid w:val="003662D0"/>
    <w:rsid w:val="00387B02"/>
    <w:rsid w:val="003A1B6E"/>
    <w:rsid w:val="003B22C4"/>
    <w:rsid w:val="003C7667"/>
    <w:rsid w:val="003D135F"/>
    <w:rsid w:val="003D3802"/>
    <w:rsid w:val="003D3D79"/>
    <w:rsid w:val="003E113C"/>
    <w:rsid w:val="003E1941"/>
    <w:rsid w:val="003E3DA1"/>
    <w:rsid w:val="00432DC0"/>
    <w:rsid w:val="00442C9D"/>
    <w:rsid w:val="0045077A"/>
    <w:rsid w:val="00456521"/>
    <w:rsid w:val="00456DCC"/>
    <w:rsid w:val="00461BFE"/>
    <w:rsid w:val="00474E1B"/>
    <w:rsid w:val="00475BC1"/>
    <w:rsid w:val="00477EFF"/>
    <w:rsid w:val="00482089"/>
    <w:rsid w:val="004B2DAC"/>
    <w:rsid w:val="004B4E85"/>
    <w:rsid w:val="004B53A5"/>
    <w:rsid w:val="004D4C4E"/>
    <w:rsid w:val="004E5AF0"/>
    <w:rsid w:val="004F7D5A"/>
    <w:rsid w:val="00501E89"/>
    <w:rsid w:val="0054130C"/>
    <w:rsid w:val="0054427A"/>
    <w:rsid w:val="005542AD"/>
    <w:rsid w:val="00555177"/>
    <w:rsid w:val="00555492"/>
    <w:rsid w:val="00555F1B"/>
    <w:rsid w:val="0056005C"/>
    <w:rsid w:val="00572046"/>
    <w:rsid w:val="00577217"/>
    <w:rsid w:val="0059007D"/>
    <w:rsid w:val="0059660D"/>
    <w:rsid w:val="005A1329"/>
    <w:rsid w:val="005A4E24"/>
    <w:rsid w:val="005B7C2F"/>
    <w:rsid w:val="005C59F1"/>
    <w:rsid w:val="005D094C"/>
    <w:rsid w:val="005D3EBA"/>
    <w:rsid w:val="005E2749"/>
    <w:rsid w:val="005E57CA"/>
    <w:rsid w:val="005E5C01"/>
    <w:rsid w:val="005E6A52"/>
    <w:rsid w:val="005F70FB"/>
    <w:rsid w:val="0063659C"/>
    <w:rsid w:val="0065334F"/>
    <w:rsid w:val="00654F0F"/>
    <w:rsid w:val="00675332"/>
    <w:rsid w:val="0068643D"/>
    <w:rsid w:val="006867CB"/>
    <w:rsid w:val="0069542A"/>
    <w:rsid w:val="00696D54"/>
    <w:rsid w:val="006A1170"/>
    <w:rsid w:val="006A5133"/>
    <w:rsid w:val="006B30BD"/>
    <w:rsid w:val="006B3F51"/>
    <w:rsid w:val="006E709B"/>
    <w:rsid w:val="006F5CCF"/>
    <w:rsid w:val="0070125D"/>
    <w:rsid w:val="00707903"/>
    <w:rsid w:val="00740253"/>
    <w:rsid w:val="0075084C"/>
    <w:rsid w:val="00753658"/>
    <w:rsid w:val="00793941"/>
    <w:rsid w:val="00793BBA"/>
    <w:rsid w:val="00795662"/>
    <w:rsid w:val="007A3AE5"/>
    <w:rsid w:val="007D3B13"/>
    <w:rsid w:val="007D66BF"/>
    <w:rsid w:val="007E324B"/>
    <w:rsid w:val="007F1B7E"/>
    <w:rsid w:val="007F35C8"/>
    <w:rsid w:val="007F3E74"/>
    <w:rsid w:val="00805ACA"/>
    <w:rsid w:val="008145D8"/>
    <w:rsid w:val="00832E3D"/>
    <w:rsid w:val="00834B05"/>
    <w:rsid w:val="00834B13"/>
    <w:rsid w:val="0083570A"/>
    <w:rsid w:val="0085122A"/>
    <w:rsid w:val="00856E27"/>
    <w:rsid w:val="0087637D"/>
    <w:rsid w:val="0087796A"/>
    <w:rsid w:val="008C3B63"/>
    <w:rsid w:val="008E1AB8"/>
    <w:rsid w:val="008F725C"/>
    <w:rsid w:val="00911CF2"/>
    <w:rsid w:val="0091484D"/>
    <w:rsid w:val="009152F6"/>
    <w:rsid w:val="009257B2"/>
    <w:rsid w:val="009257C0"/>
    <w:rsid w:val="00932425"/>
    <w:rsid w:val="00944598"/>
    <w:rsid w:val="00955D44"/>
    <w:rsid w:val="0098671C"/>
    <w:rsid w:val="00987C63"/>
    <w:rsid w:val="009B2E42"/>
    <w:rsid w:val="009E0427"/>
    <w:rsid w:val="009E0843"/>
    <w:rsid w:val="009E4AF7"/>
    <w:rsid w:val="009E5E74"/>
    <w:rsid w:val="009F374B"/>
    <w:rsid w:val="009F79B0"/>
    <w:rsid w:val="00A04B7A"/>
    <w:rsid w:val="00A175D1"/>
    <w:rsid w:val="00A24FDE"/>
    <w:rsid w:val="00A47984"/>
    <w:rsid w:val="00A63BC3"/>
    <w:rsid w:val="00A76C42"/>
    <w:rsid w:val="00A831B0"/>
    <w:rsid w:val="00A90079"/>
    <w:rsid w:val="00A943C0"/>
    <w:rsid w:val="00AA40F4"/>
    <w:rsid w:val="00AA5A4A"/>
    <w:rsid w:val="00AC2EA8"/>
    <w:rsid w:val="00AD1B1E"/>
    <w:rsid w:val="00AD543E"/>
    <w:rsid w:val="00AE2939"/>
    <w:rsid w:val="00AF2F99"/>
    <w:rsid w:val="00B06C5A"/>
    <w:rsid w:val="00B07E09"/>
    <w:rsid w:val="00B11079"/>
    <w:rsid w:val="00B45B50"/>
    <w:rsid w:val="00B45EFD"/>
    <w:rsid w:val="00B53F7D"/>
    <w:rsid w:val="00B61B7D"/>
    <w:rsid w:val="00B654AE"/>
    <w:rsid w:val="00B801B5"/>
    <w:rsid w:val="00B903F7"/>
    <w:rsid w:val="00B97B76"/>
    <w:rsid w:val="00BA07C3"/>
    <w:rsid w:val="00BA09D8"/>
    <w:rsid w:val="00BA24FC"/>
    <w:rsid w:val="00BD75B9"/>
    <w:rsid w:val="00BE2BC6"/>
    <w:rsid w:val="00BE6174"/>
    <w:rsid w:val="00BE62BA"/>
    <w:rsid w:val="00BF16DC"/>
    <w:rsid w:val="00C13702"/>
    <w:rsid w:val="00C14FD3"/>
    <w:rsid w:val="00C230A3"/>
    <w:rsid w:val="00C27161"/>
    <w:rsid w:val="00C45F98"/>
    <w:rsid w:val="00C51709"/>
    <w:rsid w:val="00C81994"/>
    <w:rsid w:val="00C90224"/>
    <w:rsid w:val="00CA360E"/>
    <w:rsid w:val="00D02BE1"/>
    <w:rsid w:val="00D11C1F"/>
    <w:rsid w:val="00D40590"/>
    <w:rsid w:val="00D40F73"/>
    <w:rsid w:val="00D47255"/>
    <w:rsid w:val="00D4781D"/>
    <w:rsid w:val="00D757A7"/>
    <w:rsid w:val="00D8713B"/>
    <w:rsid w:val="00D9678E"/>
    <w:rsid w:val="00D975DC"/>
    <w:rsid w:val="00DA085A"/>
    <w:rsid w:val="00DD153F"/>
    <w:rsid w:val="00DE1360"/>
    <w:rsid w:val="00DE6CEA"/>
    <w:rsid w:val="00E53685"/>
    <w:rsid w:val="00E63F4D"/>
    <w:rsid w:val="00E76421"/>
    <w:rsid w:val="00E76F1C"/>
    <w:rsid w:val="00E914B0"/>
    <w:rsid w:val="00EA1C10"/>
    <w:rsid w:val="00EA44CA"/>
    <w:rsid w:val="00ED7F68"/>
    <w:rsid w:val="00EE75A9"/>
    <w:rsid w:val="00F04567"/>
    <w:rsid w:val="00F13437"/>
    <w:rsid w:val="00F34E00"/>
    <w:rsid w:val="00F53451"/>
    <w:rsid w:val="00F630A7"/>
    <w:rsid w:val="00F65B62"/>
    <w:rsid w:val="00F722DF"/>
    <w:rsid w:val="00F813DB"/>
    <w:rsid w:val="00F93DDD"/>
    <w:rsid w:val="00FB6B8C"/>
    <w:rsid w:val="00FD6668"/>
    <w:rsid w:val="00FF5D06"/>
    <w:rsid w:val="00FF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BE0"/>
  </w:style>
  <w:style w:type="paragraph" w:styleId="Heading1">
    <w:name w:val="heading 1"/>
    <w:basedOn w:val="Normal"/>
    <w:next w:val="Normal"/>
    <w:qFormat/>
    <w:rsid w:val="000A7BE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7BE0"/>
    <w:pPr>
      <w:ind w:left="360"/>
    </w:pPr>
    <w:rPr>
      <w:sz w:val="24"/>
    </w:rPr>
  </w:style>
  <w:style w:type="paragraph" w:styleId="Header">
    <w:name w:val="header"/>
    <w:basedOn w:val="Normal"/>
    <w:rsid w:val="000A7BE0"/>
    <w:pPr>
      <w:tabs>
        <w:tab w:val="center" w:pos="4320"/>
        <w:tab w:val="right" w:pos="8640"/>
      </w:tabs>
    </w:pPr>
  </w:style>
  <w:style w:type="paragraph" w:styleId="Footer">
    <w:name w:val="footer"/>
    <w:basedOn w:val="Normal"/>
    <w:rsid w:val="000A7BE0"/>
    <w:pPr>
      <w:tabs>
        <w:tab w:val="center" w:pos="4320"/>
        <w:tab w:val="right" w:pos="8640"/>
      </w:tabs>
    </w:pPr>
  </w:style>
  <w:style w:type="paragraph" w:styleId="BalloonText">
    <w:name w:val="Balloon Text"/>
    <w:basedOn w:val="Normal"/>
    <w:semiHidden/>
    <w:rsid w:val="009867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BE0"/>
  </w:style>
  <w:style w:type="paragraph" w:styleId="Heading1">
    <w:name w:val="heading 1"/>
    <w:basedOn w:val="Normal"/>
    <w:next w:val="Normal"/>
    <w:qFormat/>
    <w:rsid w:val="000A7BE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7BE0"/>
    <w:pPr>
      <w:ind w:left="360"/>
    </w:pPr>
    <w:rPr>
      <w:sz w:val="24"/>
    </w:rPr>
  </w:style>
  <w:style w:type="paragraph" w:styleId="Header">
    <w:name w:val="header"/>
    <w:basedOn w:val="Normal"/>
    <w:rsid w:val="000A7BE0"/>
    <w:pPr>
      <w:tabs>
        <w:tab w:val="center" w:pos="4320"/>
        <w:tab w:val="right" w:pos="8640"/>
      </w:tabs>
    </w:pPr>
  </w:style>
  <w:style w:type="paragraph" w:styleId="Footer">
    <w:name w:val="footer"/>
    <w:basedOn w:val="Normal"/>
    <w:rsid w:val="000A7BE0"/>
    <w:pPr>
      <w:tabs>
        <w:tab w:val="center" w:pos="4320"/>
        <w:tab w:val="right" w:pos="8640"/>
      </w:tabs>
    </w:pPr>
  </w:style>
  <w:style w:type="paragraph" w:styleId="BalloonText">
    <w:name w:val="Balloon Text"/>
    <w:basedOn w:val="Normal"/>
    <w:semiHidden/>
    <w:rsid w:val="00986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dc:creator>
  <cp:lastModifiedBy>Hinds, Margaret</cp:lastModifiedBy>
  <cp:revision>5</cp:revision>
  <cp:lastPrinted>2012-01-18T17:53:00Z</cp:lastPrinted>
  <dcterms:created xsi:type="dcterms:W3CDTF">2011-12-21T15:13:00Z</dcterms:created>
  <dcterms:modified xsi:type="dcterms:W3CDTF">2012-01-18T17:53:00Z</dcterms:modified>
</cp:coreProperties>
</file>