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E00F6E" w:rsidP="00964AD0">
      <w:pPr>
        <w:jc w:val="right"/>
        <w:rPr>
          <w:szCs w:val="26"/>
        </w:rPr>
      </w:pPr>
      <w:r w:rsidRPr="003472DA">
        <w:rPr>
          <w:szCs w:val="26"/>
        </w:rPr>
        <w:t xml:space="preserve">Public Meeting held </w:t>
      </w:r>
      <w:r w:rsidR="009737E6">
        <w:rPr>
          <w:szCs w:val="26"/>
        </w:rPr>
        <w:t>January 27</w:t>
      </w:r>
      <w:r w:rsidR="00764FDB">
        <w:rPr>
          <w:szCs w:val="26"/>
        </w:rPr>
        <w:t>, 201</w:t>
      </w:r>
      <w:r w:rsidR="009737E6">
        <w:rPr>
          <w:szCs w:val="26"/>
        </w:rPr>
        <w:t>2</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3472DA" w:rsidTr="00BD432F">
        <w:tc>
          <w:tcPr>
            <w:tcW w:w="6768" w:type="dxa"/>
          </w:tcPr>
          <w:p w:rsidR="00E00F6E" w:rsidRPr="003472DA" w:rsidRDefault="00E00F6E" w:rsidP="00BD432F">
            <w:pPr>
              <w:tabs>
                <w:tab w:val="left" w:pos="330"/>
              </w:tabs>
              <w:ind w:left="720" w:right="-720" w:hanging="720"/>
              <w:rPr>
                <w:szCs w:val="26"/>
              </w:rPr>
            </w:pPr>
          </w:p>
          <w:p w:rsidR="007B6A3C" w:rsidRDefault="009737E6" w:rsidP="00BD432F">
            <w:pPr>
              <w:tabs>
                <w:tab w:val="left" w:pos="330"/>
              </w:tabs>
              <w:ind w:left="720" w:right="-720" w:hanging="720"/>
              <w:rPr>
                <w:szCs w:val="26"/>
              </w:rPr>
            </w:pPr>
            <w:r>
              <w:rPr>
                <w:szCs w:val="26"/>
              </w:rPr>
              <w:t>E.C. Smart</w:t>
            </w:r>
          </w:p>
          <w:p w:rsidR="007B6A3C" w:rsidRDefault="007B6A3C" w:rsidP="00BD432F">
            <w:pPr>
              <w:tabs>
                <w:tab w:val="left" w:pos="330"/>
              </w:tabs>
              <w:ind w:left="720" w:right="-720" w:hanging="720"/>
              <w:rPr>
                <w:szCs w:val="26"/>
              </w:rPr>
            </w:pPr>
          </w:p>
          <w:p w:rsidR="007B6A3C" w:rsidRDefault="00DB7CBC" w:rsidP="00BD432F">
            <w:pPr>
              <w:tabs>
                <w:tab w:val="left" w:pos="330"/>
              </w:tabs>
              <w:ind w:left="720" w:right="-720" w:hanging="720"/>
              <w:rPr>
                <w:szCs w:val="26"/>
              </w:rPr>
            </w:pPr>
            <w:r>
              <w:rPr>
                <w:szCs w:val="26"/>
              </w:rPr>
              <w:tab/>
            </w:r>
            <w:r w:rsidR="007B6A3C">
              <w:rPr>
                <w:szCs w:val="26"/>
              </w:rPr>
              <w:t>v.</w:t>
            </w:r>
          </w:p>
          <w:p w:rsidR="007B6A3C" w:rsidRDefault="007B6A3C" w:rsidP="00BD432F">
            <w:pPr>
              <w:tabs>
                <w:tab w:val="left" w:pos="330"/>
              </w:tabs>
              <w:ind w:left="720" w:right="-720" w:hanging="720"/>
              <w:rPr>
                <w:szCs w:val="26"/>
              </w:rPr>
            </w:pPr>
          </w:p>
          <w:p w:rsidR="00E00F6E" w:rsidRDefault="009737E6" w:rsidP="00AD144A">
            <w:pPr>
              <w:tabs>
                <w:tab w:val="left" w:pos="330"/>
              </w:tabs>
              <w:ind w:left="720" w:right="-720" w:hanging="720"/>
              <w:rPr>
                <w:szCs w:val="26"/>
              </w:rPr>
            </w:pPr>
            <w:r>
              <w:rPr>
                <w:szCs w:val="26"/>
              </w:rPr>
              <w:t>PECO Energy Company</w:t>
            </w:r>
          </w:p>
          <w:p w:rsidR="009737E6" w:rsidRDefault="009737E6" w:rsidP="00AD144A">
            <w:pPr>
              <w:tabs>
                <w:tab w:val="left" w:pos="330"/>
              </w:tabs>
              <w:ind w:left="720" w:right="-720" w:hanging="720"/>
              <w:rPr>
                <w:szCs w:val="26"/>
              </w:rPr>
            </w:pPr>
          </w:p>
          <w:p w:rsidR="009737E6" w:rsidRDefault="009737E6" w:rsidP="009737E6">
            <w:pPr>
              <w:tabs>
                <w:tab w:val="left" w:pos="330"/>
              </w:tabs>
              <w:ind w:left="720" w:right="-720" w:hanging="720"/>
              <w:jc w:val="both"/>
              <w:rPr>
                <w:szCs w:val="26"/>
              </w:rPr>
            </w:pPr>
          </w:p>
          <w:p w:rsidR="009737E6" w:rsidRDefault="009737E6" w:rsidP="009737E6">
            <w:pPr>
              <w:tabs>
                <w:tab w:val="left" w:pos="330"/>
              </w:tabs>
              <w:ind w:left="720" w:right="-720" w:hanging="720"/>
              <w:jc w:val="both"/>
              <w:rPr>
                <w:szCs w:val="26"/>
              </w:rPr>
            </w:pPr>
            <w:r>
              <w:rPr>
                <w:szCs w:val="26"/>
              </w:rPr>
              <w:t xml:space="preserve">E.C. Smart                              </w:t>
            </w:r>
          </w:p>
          <w:p w:rsidR="009737E6" w:rsidRDefault="009737E6" w:rsidP="00AD144A">
            <w:pPr>
              <w:tabs>
                <w:tab w:val="left" w:pos="330"/>
              </w:tabs>
              <w:ind w:left="720" w:right="-720" w:hanging="720"/>
              <w:rPr>
                <w:szCs w:val="26"/>
              </w:rPr>
            </w:pPr>
          </w:p>
          <w:p w:rsidR="009737E6" w:rsidRDefault="009737E6" w:rsidP="009737E6">
            <w:pPr>
              <w:tabs>
                <w:tab w:val="left" w:pos="330"/>
              </w:tabs>
              <w:ind w:left="720" w:right="-720" w:hanging="360"/>
              <w:rPr>
                <w:szCs w:val="26"/>
              </w:rPr>
            </w:pPr>
            <w:r>
              <w:rPr>
                <w:szCs w:val="26"/>
              </w:rPr>
              <w:t xml:space="preserve">v. </w:t>
            </w:r>
          </w:p>
          <w:p w:rsidR="009737E6" w:rsidRDefault="009737E6" w:rsidP="009737E6">
            <w:pPr>
              <w:tabs>
                <w:tab w:val="left" w:pos="330"/>
              </w:tabs>
              <w:ind w:left="720" w:right="-720" w:hanging="360"/>
              <w:rPr>
                <w:szCs w:val="26"/>
              </w:rPr>
            </w:pPr>
          </w:p>
          <w:p w:rsidR="009737E6" w:rsidRPr="003472DA" w:rsidRDefault="009737E6" w:rsidP="009737E6">
            <w:pPr>
              <w:tabs>
                <w:tab w:val="left" w:pos="330"/>
              </w:tabs>
              <w:ind w:left="720" w:right="-720" w:hanging="720"/>
              <w:rPr>
                <w:szCs w:val="26"/>
              </w:rPr>
            </w:pPr>
            <w:r>
              <w:rPr>
                <w:szCs w:val="26"/>
              </w:rPr>
              <w:t>Commerce Energy</w:t>
            </w:r>
            <w:r w:rsidR="00D22EA8">
              <w:rPr>
                <w:szCs w:val="26"/>
              </w:rPr>
              <w:t>,</w:t>
            </w:r>
            <w:r>
              <w:rPr>
                <w:szCs w:val="26"/>
              </w:rPr>
              <w:t xml:space="preserve"> Inc.</w:t>
            </w:r>
          </w:p>
        </w:tc>
        <w:tc>
          <w:tcPr>
            <w:tcW w:w="2700" w:type="dxa"/>
          </w:tcPr>
          <w:p w:rsidR="00671438" w:rsidRDefault="00671438" w:rsidP="00BD432F">
            <w:pPr>
              <w:ind w:right="-720"/>
              <w:rPr>
                <w:szCs w:val="26"/>
              </w:rPr>
            </w:pPr>
          </w:p>
          <w:p w:rsidR="00E00F6E" w:rsidRPr="003472DA" w:rsidRDefault="00AD144A" w:rsidP="009737E6">
            <w:pPr>
              <w:tabs>
                <w:tab w:val="left" w:pos="792"/>
              </w:tabs>
              <w:ind w:right="-720"/>
              <w:rPr>
                <w:szCs w:val="26"/>
              </w:rPr>
            </w:pPr>
            <w:r>
              <w:rPr>
                <w:szCs w:val="26"/>
              </w:rPr>
              <w:t xml:space="preserve">            </w:t>
            </w:r>
            <w:r w:rsidR="007B6A3C">
              <w:rPr>
                <w:szCs w:val="26"/>
              </w:rPr>
              <w:t>C-20</w:t>
            </w:r>
            <w:r w:rsidR="009737E6">
              <w:rPr>
                <w:szCs w:val="26"/>
              </w:rPr>
              <w:t>10</w:t>
            </w:r>
            <w:r w:rsidR="007B6A3C">
              <w:rPr>
                <w:szCs w:val="26"/>
              </w:rPr>
              <w:t>-</w:t>
            </w:r>
            <w:r w:rsidR="009737E6">
              <w:rPr>
                <w:szCs w:val="26"/>
              </w:rPr>
              <w:t>2193243</w:t>
            </w:r>
          </w:p>
          <w:p w:rsidR="00E00F6E" w:rsidRDefault="00E00F6E" w:rsidP="00BD432F">
            <w:pPr>
              <w:ind w:right="-720"/>
              <w:rPr>
                <w:szCs w:val="26"/>
              </w:rPr>
            </w:pPr>
          </w:p>
          <w:p w:rsidR="009737E6" w:rsidRDefault="009737E6" w:rsidP="00BD432F">
            <w:pPr>
              <w:ind w:right="-720"/>
              <w:rPr>
                <w:szCs w:val="26"/>
              </w:rPr>
            </w:pPr>
          </w:p>
          <w:p w:rsidR="009737E6" w:rsidRDefault="009737E6" w:rsidP="00BD432F">
            <w:pPr>
              <w:ind w:right="-720"/>
              <w:rPr>
                <w:szCs w:val="26"/>
              </w:rPr>
            </w:pPr>
          </w:p>
          <w:p w:rsidR="009737E6" w:rsidRDefault="009737E6" w:rsidP="00BD432F">
            <w:pPr>
              <w:ind w:right="-720"/>
              <w:rPr>
                <w:szCs w:val="26"/>
              </w:rPr>
            </w:pPr>
          </w:p>
          <w:p w:rsidR="009737E6" w:rsidRDefault="009737E6" w:rsidP="00BD432F">
            <w:pPr>
              <w:ind w:right="-720"/>
              <w:rPr>
                <w:szCs w:val="26"/>
              </w:rPr>
            </w:pPr>
          </w:p>
          <w:p w:rsidR="009737E6" w:rsidRDefault="009737E6" w:rsidP="009737E6">
            <w:pPr>
              <w:ind w:right="-720"/>
              <w:rPr>
                <w:szCs w:val="26"/>
              </w:rPr>
            </w:pPr>
            <w:r>
              <w:rPr>
                <w:szCs w:val="26"/>
              </w:rPr>
              <w:t xml:space="preserve">            </w:t>
            </w:r>
          </w:p>
          <w:p w:rsidR="009737E6" w:rsidRPr="003472DA" w:rsidRDefault="009737E6" w:rsidP="009737E6">
            <w:pPr>
              <w:ind w:left="792" w:right="-720" w:hanging="792"/>
              <w:rPr>
                <w:szCs w:val="26"/>
              </w:rPr>
            </w:pPr>
            <w:r>
              <w:rPr>
                <w:szCs w:val="26"/>
              </w:rPr>
              <w:t xml:space="preserve">            C-2010-2193415</w:t>
            </w:r>
          </w:p>
        </w:tc>
      </w:tr>
      <w:tr w:rsidR="009737E6" w:rsidRPr="003472DA" w:rsidTr="00BD432F">
        <w:tc>
          <w:tcPr>
            <w:tcW w:w="6768" w:type="dxa"/>
          </w:tcPr>
          <w:p w:rsidR="009737E6" w:rsidRPr="003472DA" w:rsidRDefault="009737E6" w:rsidP="00BD432F">
            <w:pPr>
              <w:tabs>
                <w:tab w:val="left" w:pos="330"/>
              </w:tabs>
              <w:ind w:left="720" w:right="-720" w:hanging="720"/>
              <w:rPr>
                <w:szCs w:val="26"/>
              </w:rPr>
            </w:pPr>
          </w:p>
        </w:tc>
        <w:tc>
          <w:tcPr>
            <w:tcW w:w="2700" w:type="dxa"/>
          </w:tcPr>
          <w:p w:rsidR="009737E6" w:rsidRDefault="009737E6" w:rsidP="00BD432F">
            <w:pPr>
              <w:ind w:right="-720"/>
              <w:rPr>
                <w:szCs w:val="26"/>
              </w:rPr>
            </w:pPr>
          </w:p>
        </w:tc>
      </w:tr>
    </w:tbl>
    <w:p w:rsidR="009737E6" w:rsidRPr="009737E6" w:rsidRDefault="009737E6" w:rsidP="001D2F20">
      <w:pPr>
        <w:pStyle w:val="Heading2"/>
        <w:spacing w:after="240"/>
        <w:jc w:val="left"/>
      </w:pPr>
      <w:r>
        <w:rPr>
          <w:sz w:val="26"/>
          <w:szCs w:val="26"/>
        </w:rPr>
        <w:tab/>
      </w:r>
      <w:r>
        <w:rPr>
          <w:sz w:val="26"/>
          <w:szCs w:val="26"/>
        </w:rPr>
        <w:tab/>
      </w:r>
      <w:r>
        <w:rPr>
          <w:sz w:val="26"/>
          <w:szCs w:val="26"/>
        </w:rPr>
        <w:tab/>
      </w:r>
    </w:p>
    <w:p w:rsidR="00E00F6E" w:rsidRPr="003472DA" w:rsidRDefault="00E00F6E" w:rsidP="00E00F6E">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0C7A35" w:rsidRPr="00093FE1" w:rsidRDefault="00571F5C" w:rsidP="008B7853">
      <w:pPr>
        <w:spacing w:line="360" w:lineRule="auto"/>
        <w:ind w:firstLine="1440"/>
        <w:rPr>
          <w:b/>
          <w:szCs w:val="26"/>
        </w:rPr>
      </w:pPr>
      <w:r w:rsidRPr="00571F5C">
        <w:rPr>
          <w:szCs w:val="26"/>
        </w:rPr>
        <w:t xml:space="preserve">Before the Pennsylvania Public Utility Commission (Commission) for consideration and disposition </w:t>
      </w:r>
      <w:r w:rsidR="007F6CCC">
        <w:rPr>
          <w:szCs w:val="26"/>
        </w:rPr>
        <w:t>is a “Sur Motion for Summary Judgment,” which we will treat as</w:t>
      </w:r>
      <w:r w:rsidRPr="00571F5C">
        <w:rPr>
          <w:szCs w:val="26"/>
        </w:rPr>
        <w:t xml:space="preserve"> </w:t>
      </w:r>
      <w:r w:rsidR="007B6A3C">
        <w:rPr>
          <w:szCs w:val="26"/>
        </w:rPr>
        <w:t>Exceptions</w:t>
      </w:r>
      <w:r w:rsidR="007F6CCC">
        <w:rPr>
          <w:szCs w:val="26"/>
        </w:rPr>
        <w:t>, filed by</w:t>
      </w:r>
      <w:r w:rsidRPr="00571F5C">
        <w:rPr>
          <w:szCs w:val="26"/>
        </w:rPr>
        <w:t xml:space="preserve"> </w:t>
      </w:r>
      <w:r w:rsidR="00D22EA8">
        <w:rPr>
          <w:szCs w:val="26"/>
        </w:rPr>
        <w:t xml:space="preserve">E.C. Smart </w:t>
      </w:r>
      <w:r w:rsidRPr="00571F5C">
        <w:rPr>
          <w:szCs w:val="26"/>
        </w:rPr>
        <w:t>(</w:t>
      </w:r>
      <w:r w:rsidR="007B6A3C">
        <w:rPr>
          <w:szCs w:val="26"/>
        </w:rPr>
        <w:t>Complainant</w:t>
      </w:r>
      <w:r w:rsidRPr="00571F5C">
        <w:rPr>
          <w:szCs w:val="26"/>
        </w:rPr>
        <w:t>)</w:t>
      </w:r>
      <w:r w:rsidR="007F5118">
        <w:rPr>
          <w:szCs w:val="26"/>
        </w:rPr>
        <w:t xml:space="preserve"> </w:t>
      </w:r>
      <w:r w:rsidRPr="00571F5C">
        <w:rPr>
          <w:szCs w:val="26"/>
        </w:rPr>
        <w:t xml:space="preserve">on </w:t>
      </w:r>
      <w:r w:rsidR="00D22EA8">
        <w:rPr>
          <w:szCs w:val="26"/>
        </w:rPr>
        <w:t>September 20</w:t>
      </w:r>
      <w:r w:rsidR="00DB7CBC">
        <w:rPr>
          <w:szCs w:val="26"/>
        </w:rPr>
        <w:t>, 2011</w:t>
      </w:r>
      <w:r w:rsidR="00747E30">
        <w:rPr>
          <w:szCs w:val="26"/>
        </w:rPr>
        <w:t>,</w:t>
      </w:r>
      <w:r w:rsidR="008F7A43">
        <w:rPr>
          <w:szCs w:val="26"/>
        </w:rPr>
        <w:t xml:space="preserve"> </w:t>
      </w:r>
      <w:r w:rsidR="0090277B">
        <w:rPr>
          <w:szCs w:val="26"/>
        </w:rPr>
        <w:t xml:space="preserve">in response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F94B7F">
        <w:rPr>
          <w:szCs w:val="26"/>
        </w:rPr>
        <w:t xml:space="preserve">       </w:t>
      </w:r>
      <w:r w:rsidR="00D22EA8">
        <w:rPr>
          <w:szCs w:val="26"/>
        </w:rPr>
        <w:t>Christopher P. Pell</w:t>
      </w:r>
      <w:r w:rsidR="00101D54">
        <w:rPr>
          <w:szCs w:val="26"/>
        </w:rPr>
        <w:t>,</w:t>
      </w:r>
      <w:r w:rsidR="008F7A43">
        <w:rPr>
          <w:szCs w:val="26"/>
        </w:rPr>
        <w:t xml:space="preserve"> </w:t>
      </w:r>
      <w:r w:rsidR="00C55576">
        <w:rPr>
          <w:szCs w:val="26"/>
        </w:rPr>
        <w:t>issued</w:t>
      </w:r>
      <w:r w:rsidR="008F7A43">
        <w:rPr>
          <w:szCs w:val="26"/>
        </w:rPr>
        <w:t xml:space="preserve"> </w:t>
      </w:r>
      <w:r w:rsidR="00DB7CBC">
        <w:rPr>
          <w:szCs w:val="26"/>
        </w:rPr>
        <w:t xml:space="preserve">September </w:t>
      </w:r>
      <w:r w:rsidR="00D22EA8">
        <w:rPr>
          <w:szCs w:val="26"/>
        </w:rPr>
        <w:t>6</w:t>
      </w:r>
      <w:r w:rsidR="00DB7CBC">
        <w:rPr>
          <w:szCs w:val="26"/>
        </w:rPr>
        <w:t>, 2011</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D22EA8">
        <w:rPr>
          <w:szCs w:val="26"/>
        </w:rPr>
        <w:lastRenderedPageBreak/>
        <w:t>Commerce Energy, I</w:t>
      </w:r>
      <w:r w:rsidR="00DD4B3F">
        <w:rPr>
          <w:szCs w:val="26"/>
        </w:rPr>
        <w:t>nc.</w:t>
      </w:r>
      <w:r w:rsidRPr="00571F5C">
        <w:rPr>
          <w:szCs w:val="26"/>
        </w:rPr>
        <w:t xml:space="preserve"> (</w:t>
      </w:r>
      <w:r w:rsidR="00D22EA8">
        <w:rPr>
          <w:szCs w:val="26"/>
        </w:rPr>
        <w:t>Commerce</w:t>
      </w:r>
      <w:r w:rsidRPr="00571F5C">
        <w:rPr>
          <w:szCs w:val="26"/>
        </w:rPr>
        <w:t xml:space="preserve">) </w:t>
      </w:r>
      <w:r w:rsidR="00B47B46">
        <w:rPr>
          <w:szCs w:val="26"/>
        </w:rPr>
        <w:t xml:space="preserve">filed Replies to Exceptions </w:t>
      </w:r>
      <w:r w:rsidRPr="00571F5C">
        <w:rPr>
          <w:szCs w:val="26"/>
        </w:rPr>
        <w:t xml:space="preserve">on </w:t>
      </w:r>
      <w:r w:rsidR="00DD4B3F">
        <w:rPr>
          <w:szCs w:val="26"/>
        </w:rPr>
        <w:t xml:space="preserve">October </w:t>
      </w:r>
      <w:r w:rsidR="00D22EA8">
        <w:rPr>
          <w:szCs w:val="26"/>
        </w:rPr>
        <w:t>5</w:t>
      </w:r>
      <w:r w:rsidR="00DD4B3F">
        <w:rPr>
          <w:szCs w:val="26"/>
        </w:rPr>
        <w:t>, 2011</w:t>
      </w:r>
      <w:r w:rsidRPr="00571F5C">
        <w:rPr>
          <w:szCs w:val="26"/>
        </w:rPr>
        <w:t>.</w:t>
      </w:r>
      <w:r w:rsidR="00D76068">
        <w:rPr>
          <w:szCs w:val="26"/>
        </w:rPr>
        <w:t xml:space="preserve">  For the reasons set forth herein, </w:t>
      </w:r>
      <w:r w:rsidR="00D76068" w:rsidRPr="00E33B53">
        <w:rPr>
          <w:szCs w:val="26"/>
        </w:rPr>
        <w:t xml:space="preserve">we shall </w:t>
      </w:r>
      <w:r w:rsidR="00E33B53" w:rsidRPr="00E33B53">
        <w:rPr>
          <w:szCs w:val="26"/>
        </w:rPr>
        <w:t>grant</w:t>
      </w:r>
      <w:r w:rsidR="008B7853" w:rsidRPr="00E33B53">
        <w:rPr>
          <w:szCs w:val="26"/>
        </w:rPr>
        <w:t xml:space="preserve"> the Exceptions</w:t>
      </w:r>
      <w:r w:rsidR="00E33B53" w:rsidRPr="00E33B53">
        <w:rPr>
          <w:szCs w:val="26"/>
        </w:rPr>
        <w:t>, in part, deny the Exceptions, in part,</w:t>
      </w:r>
      <w:r w:rsidR="008B7853" w:rsidRPr="00E33B53">
        <w:rPr>
          <w:szCs w:val="26"/>
        </w:rPr>
        <w:t xml:space="preserve"> and </w:t>
      </w:r>
      <w:r w:rsidR="00E33B53" w:rsidRPr="00E33B53">
        <w:rPr>
          <w:szCs w:val="26"/>
        </w:rPr>
        <w:t>modify</w:t>
      </w:r>
      <w:r w:rsidR="008B7853" w:rsidRPr="00E33B53">
        <w:rPr>
          <w:szCs w:val="26"/>
        </w:rPr>
        <w:t xml:space="preserve"> the Initial Decision. </w:t>
      </w:r>
    </w:p>
    <w:p w:rsidR="008B7853" w:rsidRDefault="008B7853" w:rsidP="00DD4B3F">
      <w:pPr>
        <w:spacing w:line="360" w:lineRule="auto"/>
        <w:jc w:val="center"/>
        <w:rPr>
          <w:b/>
          <w:szCs w:val="26"/>
        </w:rPr>
      </w:pPr>
    </w:p>
    <w:p w:rsidR="00524BED" w:rsidRDefault="00524BED" w:rsidP="00DD4B3F">
      <w:pPr>
        <w:spacing w:line="360" w:lineRule="auto"/>
        <w:jc w:val="center"/>
        <w:rPr>
          <w:b/>
          <w:szCs w:val="26"/>
        </w:rPr>
      </w:pPr>
      <w:r>
        <w:rPr>
          <w:b/>
          <w:szCs w:val="26"/>
        </w:rPr>
        <w:t>History of the Proceeding</w:t>
      </w:r>
    </w:p>
    <w:p w:rsidR="00567496" w:rsidRDefault="00567496" w:rsidP="00524BED">
      <w:pPr>
        <w:spacing w:line="360" w:lineRule="auto"/>
        <w:rPr>
          <w:szCs w:val="26"/>
        </w:rPr>
      </w:pPr>
    </w:p>
    <w:p w:rsidR="005F322A" w:rsidRPr="00A129EC" w:rsidRDefault="006F3418" w:rsidP="005F322A">
      <w:pPr>
        <w:spacing w:line="360" w:lineRule="auto"/>
      </w:pPr>
      <w:r>
        <w:rPr>
          <w:szCs w:val="24"/>
        </w:rPr>
        <w:tab/>
      </w:r>
      <w:r>
        <w:rPr>
          <w:szCs w:val="24"/>
        </w:rPr>
        <w:tab/>
      </w:r>
      <w:r w:rsidR="005F322A" w:rsidRPr="00A129EC">
        <w:t xml:space="preserve">On August 10, 2010, </w:t>
      </w:r>
      <w:r w:rsidR="005F322A">
        <w:t>the C</w:t>
      </w:r>
      <w:r w:rsidR="005F322A" w:rsidRPr="00A129EC">
        <w:t>omplainant filed a Formal Complaint (Complaint) against PECO Energy Company (PECO) and Commerce</w:t>
      </w:r>
      <w:r w:rsidR="003279E9">
        <w:t xml:space="preserve">, alleging that </w:t>
      </w:r>
      <w:r w:rsidR="005F322A" w:rsidRPr="00A129EC">
        <w:t xml:space="preserve">she </w:t>
      </w:r>
      <w:r w:rsidR="003279E9">
        <w:t>was</w:t>
      </w:r>
      <w:r w:rsidR="005F322A" w:rsidRPr="00A129EC">
        <w:t xml:space="preserve"> being billed for supply charges by Commerce, an electric generation supply company that she did not select, that there </w:t>
      </w:r>
      <w:r w:rsidR="003279E9">
        <w:t>were</w:t>
      </w:r>
      <w:r w:rsidR="005F322A" w:rsidRPr="00A129EC">
        <w:t xml:space="preserve"> incorrect charges on her bill, and that PECO terminated her service on April 10, 2010 without proper notice.  The </w:t>
      </w:r>
      <w:r w:rsidR="00021A4A">
        <w:t xml:space="preserve">Commission’s </w:t>
      </w:r>
      <w:r w:rsidR="005F322A" w:rsidRPr="00A129EC">
        <w:t>Secretary docketed the Complain</w:t>
      </w:r>
      <w:r w:rsidR="005F322A">
        <w:t>t against PECO</w:t>
      </w:r>
      <w:r w:rsidR="007605E8">
        <w:t xml:space="preserve"> </w:t>
      </w:r>
      <w:r w:rsidR="005F322A">
        <w:t>at C-2010-2193243</w:t>
      </w:r>
      <w:r w:rsidR="005F322A" w:rsidRPr="00A129EC">
        <w:t xml:space="preserve"> and </w:t>
      </w:r>
      <w:r w:rsidR="007605E8">
        <w:t>the</w:t>
      </w:r>
      <w:r w:rsidR="005F322A" w:rsidRPr="00A129EC">
        <w:t xml:space="preserve"> </w:t>
      </w:r>
      <w:r w:rsidR="007605E8">
        <w:t>C</w:t>
      </w:r>
      <w:r w:rsidR="005F322A" w:rsidRPr="00A129EC">
        <w:t>omplaint against Commerce at C-2010-2193415.</w:t>
      </w:r>
      <w:r w:rsidR="00021A4A">
        <w:t xml:space="preserve">  The Secretary served PECO with the Complaint on August 13, 2010, and served Commerce with the Complaint on </w:t>
      </w:r>
      <w:r w:rsidR="00F94B7F">
        <w:t xml:space="preserve">  </w:t>
      </w:r>
      <w:r w:rsidR="00021A4A">
        <w:t xml:space="preserve">August 16, 2010.  </w:t>
      </w:r>
    </w:p>
    <w:p w:rsidR="005F322A" w:rsidRPr="00A129EC" w:rsidRDefault="005F322A" w:rsidP="005F322A">
      <w:pPr>
        <w:spacing w:line="360" w:lineRule="auto"/>
      </w:pPr>
    </w:p>
    <w:p w:rsidR="005F322A" w:rsidRPr="00A129EC" w:rsidRDefault="005F322A" w:rsidP="005F322A">
      <w:pPr>
        <w:spacing w:line="360" w:lineRule="auto"/>
      </w:pPr>
      <w:r w:rsidRPr="00A129EC">
        <w:tab/>
      </w:r>
      <w:r w:rsidRPr="00A129EC">
        <w:tab/>
        <w:t>On September 1, 2010, PECO filed an Answer</w:t>
      </w:r>
      <w:r w:rsidRPr="00A129EC">
        <w:rPr>
          <w:spacing w:val="-3"/>
        </w:rPr>
        <w:t xml:space="preserve"> denying the material averments of the Complaint at Docket No. </w:t>
      </w:r>
      <w:r w:rsidRPr="00A129EC">
        <w:t>C-2010-219324</w:t>
      </w:r>
      <w:r>
        <w:t>3</w:t>
      </w:r>
      <w:r w:rsidRPr="00A129EC">
        <w:rPr>
          <w:spacing w:val="-3"/>
        </w:rPr>
        <w:t>.</w:t>
      </w:r>
      <w:r w:rsidR="00EF0A2D">
        <w:rPr>
          <w:spacing w:val="-3"/>
        </w:rPr>
        <w:t xml:space="preserve">  </w:t>
      </w:r>
      <w:r w:rsidRPr="00A129EC">
        <w:rPr>
          <w:spacing w:val="-3"/>
        </w:rPr>
        <w:t xml:space="preserve">Similarly, on </w:t>
      </w:r>
      <w:r w:rsidR="00F94B7F">
        <w:rPr>
          <w:spacing w:val="-3"/>
        </w:rPr>
        <w:t xml:space="preserve">              </w:t>
      </w:r>
      <w:r w:rsidRPr="00A129EC">
        <w:rPr>
          <w:spacing w:val="-3"/>
        </w:rPr>
        <w:t xml:space="preserve">October 15, 2010, Commerce filed an Answer denying the material averments of the Complaint at Docket No. </w:t>
      </w:r>
      <w:r w:rsidRPr="00A129EC">
        <w:t>C-2010-2193415</w:t>
      </w:r>
      <w:r w:rsidRPr="00A129EC">
        <w:rPr>
          <w:spacing w:val="-3"/>
        </w:rPr>
        <w:t>.</w:t>
      </w:r>
      <w:r w:rsidR="00021A4A">
        <w:rPr>
          <w:rStyle w:val="FootnoteReference"/>
          <w:spacing w:val="-3"/>
        </w:rPr>
        <w:footnoteReference w:id="1"/>
      </w:r>
      <w:r w:rsidR="00382142">
        <w:rPr>
          <w:spacing w:val="-3"/>
        </w:rPr>
        <w:t xml:space="preserve">  </w:t>
      </w:r>
      <w:r w:rsidRPr="00A129EC">
        <w:rPr>
          <w:spacing w:val="-3"/>
        </w:rPr>
        <w:t>Along with its Answer</w:t>
      </w:r>
      <w:r w:rsidR="00382142">
        <w:rPr>
          <w:spacing w:val="-3"/>
        </w:rPr>
        <w:t>,</w:t>
      </w:r>
      <w:r w:rsidRPr="00A129EC">
        <w:rPr>
          <w:spacing w:val="-3"/>
        </w:rPr>
        <w:t xml:space="preserve"> Commerce filed a Motion to Join </w:t>
      </w:r>
      <w:r w:rsidR="001660A3">
        <w:rPr>
          <w:spacing w:val="-3"/>
        </w:rPr>
        <w:t>a</w:t>
      </w:r>
      <w:r w:rsidRPr="00A129EC">
        <w:rPr>
          <w:spacing w:val="-3"/>
        </w:rPr>
        <w:t xml:space="preserve">n Indispensable Party, requesting that PECO be joined in the proceeding at </w:t>
      </w:r>
      <w:r w:rsidR="00D52904">
        <w:rPr>
          <w:spacing w:val="-3"/>
        </w:rPr>
        <w:br/>
      </w:r>
      <w:r w:rsidRPr="00A129EC">
        <w:rPr>
          <w:spacing w:val="-3"/>
        </w:rPr>
        <w:t xml:space="preserve">C-2010-2193415.  </w:t>
      </w:r>
      <w:r w:rsidRPr="00A129EC">
        <w:t xml:space="preserve">Commerce endorsed its Motion with a Notice to Plead, advising the </w:t>
      </w:r>
      <w:r w:rsidR="001660A3">
        <w:t>C</w:t>
      </w:r>
      <w:r w:rsidRPr="00A129EC">
        <w:t xml:space="preserve">omplainant that she had twenty days to file an answer to the Motion.  The </w:t>
      </w:r>
      <w:r w:rsidR="001660A3">
        <w:t>C</w:t>
      </w:r>
      <w:r w:rsidRPr="00A129EC">
        <w:t>omplainant did not file an answer to Commerce’s Motion.</w:t>
      </w:r>
    </w:p>
    <w:p w:rsidR="005F322A" w:rsidRDefault="005F322A" w:rsidP="005F322A">
      <w:pPr>
        <w:spacing w:line="360" w:lineRule="auto"/>
      </w:pPr>
    </w:p>
    <w:p w:rsidR="005F322A" w:rsidRPr="00A129EC" w:rsidRDefault="00BF19B0" w:rsidP="00BF19B0">
      <w:pPr>
        <w:spacing w:line="360" w:lineRule="auto"/>
      </w:pPr>
      <w:r>
        <w:lastRenderedPageBreak/>
        <w:tab/>
      </w:r>
      <w:r>
        <w:tab/>
      </w:r>
      <w:r w:rsidR="005F322A" w:rsidRPr="00A129EC">
        <w:t xml:space="preserve">By Hearing Notice dated May 27, 2011, a hearing on both Complaints was scheduled for July 29, 2011.  The Hearing Notice </w:t>
      </w:r>
      <w:r w:rsidR="005F322A" w:rsidRPr="00A129EC">
        <w:rPr>
          <w:spacing w:val="-3"/>
        </w:rPr>
        <w:t>advised</w:t>
      </w:r>
      <w:r w:rsidR="005F322A" w:rsidRPr="00A129EC">
        <w:t xml:space="preserve"> the parties of the location, date and time of the scheduled hearing and </w:t>
      </w:r>
      <w:r>
        <w:t>stated</w:t>
      </w:r>
      <w:r w:rsidR="005F322A" w:rsidRPr="00A129EC">
        <w:t>:  “</w:t>
      </w:r>
      <w:r w:rsidR="005F322A" w:rsidRPr="00A129EC">
        <w:rPr>
          <w:i/>
          <w:u w:val="single"/>
        </w:rPr>
        <w:t>Attention</w:t>
      </w:r>
      <w:r w:rsidR="005F322A" w:rsidRPr="00A129EC">
        <w:rPr>
          <w:i/>
        </w:rPr>
        <w:t>:  You may lose the case if you do not come to this hearing and present facts on the issues raised</w:t>
      </w:r>
      <w:r w:rsidR="005F322A" w:rsidRPr="00A129EC">
        <w:t>”</w:t>
      </w:r>
      <w:r w:rsidR="000D0D98">
        <w:t xml:space="preserve"> (emphasis in original).</w:t>
      </w:r>
      <w:r>
        <w:t xml:space="preserve"> </w:t>
      </w:r>
    </w:p>
    <w:p w:rsidR="005F322A" w:rsidRPr="00A129EC" w:rsidRDefault="005F322A" w:rsidP="005F322A">
      <w:pPr>
        <w:spacing w:line="360" w:lineRule="auto"/>
      </w:pPr>
    </w:p>
    <w:p w:rsidR="005F322A" w:rsidRPr="00A129EC" w:rsidRDefault="00BF19B0" w:rsidP="005F322A">
      <w:pPr>
        <w:spacing w:line="360" w:lineRule="auto"/>
        <w:ind w:firstLine="1440"/>
      </w:pPr>
      <w:r>
        <w:t>On June 1, 2011, ALJ Pell</w:t>
      </w:r>
      <w:r w:rsidR="005F322A" w:rsidRPr="00A129EC">
        <w:t xml:space="preserve"> issued a Prehearing Order</w:t>
      </w:r>
      <w:r>
        <w:t xml:space="preserve"> that</w:t>
      </w:r>
      <w:r w:rsidR="005F322A" w:rsidRPr="00A129EC">
        <w:t xml:space="preserve"> directed the </w:t>
      </w:r>
      <w:r>
        <w:t>P</w:t>
      </w:r>
      <w:r w:rsidR="005F322A" w:rsidRPr="00A129EC">
        <w:t xml:space="preserve">arties to comply with various procedural requirements and </w:t>
      </w:r>
      <w:r>
        <w:t>instructed</w:t>
      </w:r>
      <w:r w:rsidR="005F322A" w:rsidRPr="00A129EC">
        <w:t xml:space="preserve"> that a request to change the scheduled hearing </w:t>
      </w:r>
      <w:r w:rsidR="005E23DF">
        <w:t>must</w:t>
      </w:r>
      <w:r w:rsidR="005F322A" w:rsidRPr="00A129EC">
        <w:t xml:space="preserve"> be </w:t>
      </w:r>
      <w:r>
        <w:t xml:space="preserve">made in writing </w:t>
      </w:r>
      <w:r w:rsidR="005F322A" w:rsidRPr="00A129EC">
        <w:t>at least five days prior to the hearing date and state the agreement or opposition of the other part</w:t>
      </w:r>
      <w:r w:rsidR="005F322A">
        <w:t>ies</w:t>
      </w:r>
      <w:r w:rsidR="005F322A" w:rsidRPr="00A129EC">
        <w:t xml:space="preserve">.  It warned </w:t>
      </w:r>
      <w:r w:rsidR="005F322A">
        <w:t>the</w:t>
      </w:r>
      <w:r w:rsidR="005F322A" w:rsidRPr="00A129EC">
        <w:t xml:space="preserve"> parties of potentially serious consequences if they failed to obtain a continuance and failed to attend the hearing.  </w:t>
      </w:r>
    </w:p>
    <w:p w:rsidR="005F322A" w:rsidRPr="00A129EC" w:rsidRDefault="005F322A" w:rsidP="005F322A">
      <w:pPr>
        <w:spacing w:line="360" w:lineRule="auto"/>
      </w:pPr>
    </w:p>
    <w:p w:rsidR="005F322A" w:rsidRPr="00A129EC" w:rsidRDefault="005F322A" w:rsidP="005F322A">
      <w:pPr>
        <w:spacing w:line="360" w:lineRule="auto"/>
      </w:pPr>
      <w:r w:rsidRPr="00A129EC">
        <w:tab/>
      </w:r>
      <w:r w:rsidRPr="00A129EC">
        <w:tab/>
      </w:r>
      <w:r w:rsidR="00BF19B0">
        <w:t>On June 14, 2011, ALJ Pell issued an Order</w:t>
      </w:r>
      <w:r w:rsidR="00EB37B7">
        <w:t xml:space="preserve"> which</w:t>
      </w:r>
      <w:r w:rsidRPr="00A129EC">
        <w:t xml:space="preserve"> consolidated </w:t>
      </w:r>
      <w:r w:rsidR="00EB37B7">
        <w:t>the two proceedings at Docket Nos.</w:t>
      </w:r>
      <w:r w:rsidR="00EB37B7" w:rsidRPr="00A129EC">
        <w:rPr>
          <w:spacing w:val="-3"/>
        </w:rPr>
        <w:t xml:space="preserve"> </w:t>
      </w:r>
      <w:r w:rsidR="00EB37B7" w:rsidRPr="00A129EC">
        <w:t>C-2010-219324</w:t>
      </w:r>
      <w:r w:rsidR="00EB37B7">
        <w:t>3 and</w:t>
      </w:r>
      <w:r w:rsidRPr="00A129EC">
        <w:t xml:space="preserve"> </w:t>
      </w:r>
      <w:r w:rsidR="00EB37B7" w:rsidRPr="00A129EC">
        <w:t>C-2010-2193415</w:t>
      </w:r>
      <w:r w:rsidR="00EB37B7">
        <w:t xml:space="preserve"> for </w:t>
      </w:r>
      <w:r w:rsidRPr="00A129EC">
        <w:t>purposes of hearing and decision.</w:t>
      </w:r>
    </w:p>
    <w:p w:rsidR="005F322A" w:rsidRPr="00A129EC" w:rsidRDefault="005F322A" w:rsidP="005F322A">
      <w:pPr>
        <w:spacing w:line="360" w:lineRule="auto"/>
      </w:pPr>
    </w:p>
    <w:p w:rsidR="005F322A" w:rsidRPr="00A129EC" w:rsidRDefault="005F322A" w:rsidP="005F322A">
      <w:pPr>
        <w:spacing w:line="360" w:lineRule="auto"/>
      </w:pPr>
      <w:r w:rsidRPr="00A129EC">
        <w:tab/>
      </w:r>
      <w:r w:rsidRPr="00A129EC">
        <w:tab/>
        <w:t xml:space="preserve">On the afternoon of July 28, 2011, the </w:t>
      </w:r>
      <w:r w:rsidR="006C5EA5">
        <w:t>C</w:t>
      </w:r>
      <w:r w:rsidRPr="00A129EC">
        <w:t xml:space="preserve">omplainant faxed to </w:t>
      </w:r>
      <w:r w:rsidR="006C5EA5">
        <w:t xml:space="preserve">ALJ Pell’s </w:t>
      </w:r>
      <w:r w:rsidRPr="00A129EC">
        <w:t xml:space="preserve">office a Motion </w:t>
      </w:r>
      <w:r w:rsidR="006C5EA5">
        <w:t>f</w:t>
      </w:r>
      <w:r w:rsidRPr="00A129EC">
        <w:t xml:space="preserve">or Summary Judgment with an attachment.  </w:t>
      </w:r>
      <w:r w:rsidR="004E7093">
        <w:t xml:space="preserve">The Complainant also faxed the Motion to counsel for PECO and Commerce.  </w:t>
      </w:r>
      <w:r w:rsidR="006C5EA5">
        <w:t xml:space="preserve">The ALJ </w:t>
      </w:r>
      <w:r w:rsidRPr="00A129EC">
        <w:t xml:space="preserve">did not receive </w:t>
      </w:r>
      <w:r w:rsidR="006C5EA5">
        <w:t xml:space="preserve">the document </w:t>
      </w:r>
      <w:r w:rsidRPr="00A129EC">
        <w:t xml:space="preserve">until the morning of July 29, 2011.  </w:t>
      </w:r>
      <w:r w:rsidR="006C5EA5">
        <w:t>Additionally</w:t>
      </w:r>
      <w:r w:rsidRPr="00A129EC">
        <w:t xml:space="preserve">, just prior to the </w:t>
      </w:r>
      <w:r w:rsidR="006C5EA5">
        <w:t xml:space="preserve">scheduled </w:t>
      </w:r>
      <w:r w:rsidRPr="00A129EC">
        <w:t xml:space="preserve">hearing, </w:t>
      </w:r>
      <w:r w:rsidR="006C5EA5">
        <w:t>the ALJ</w:t>
      </w:r>
      <w:r w:rsidRPr="00A129EC">
        <w:t xml:space="preserve"> received a voice mail from a woman identifying herself as the </w:t>
      </w:r>
      <w:r w:rsidR="006C5EA5">
        <w:t>C</w:t>
      </w:r>
      <w:r w:rsidRPr="00A129EC">
        <w:t xml:space="preserve">omplainant </w:t>
      </w:r>
      <w:r w:rsidR="006C5EA5">
        <w:t>who stated</w:t>
      </w:r>
      <w:r w:rsidRPr="00A129EC">
        <w:t xml:space="preserve"> that she sent the </w:t>
      </w:r>
      <w:r w:rsidR="006C5EA5">
        <w:t>document</w:t>
      </w:r>
      <w:r w:rsidRPr="00A129EC">
        <w:t xml:space="preserve"> on the afternoon of July 28, 2011, and inquir</w:t>
      </w:r>
      <w:r w:rsidR="006C5EA5">
        <w:t>ed</w:t>
      </w:r>
      <w:r w:rsidRPr="00A129EC">
        <w:t xml:space="preserve"> “if you want to hold this over for court.”  The </w:t>
      </w:r>
      <w:r w:rsidR="006C5EA5">
        <w:t>C</w:t>
      </w:r>
      <w:r w:rsidRPr="00A129EC">
        <w:t xml:space="preserve">omplainant did not make any </w:t>
      </w:r>
      <w:r w:rsidR="006C5EA5">
        <w:t>further</w:t>
      </w:r>
      <w:r w:rsidRPr="00A129EC">
        <w:t xml:space="preserve"> </w:t>
      </w:r>
      <w:r w:rsidR="006C5EA5">
        <w:t xml:space="preserve">contacts </w:t>
      </w:r>
      <w:r w:rsidRPr="00A129EC">
        <w:t xml:space="preserve">with </w:t>
      </w:r>
      <w:r w:rsidR="006C5EA5">
        <w:t>the ALJ</w:t>
      </w:r>
      <w:r w:rsidRPr="00A129EC">
        <w:t>.</w:t>
      </w:r>
      <w:r w:rsidR="006C5EA5">
        <w:t xml:space="preserve">  I.D. at 3.  </w:t>
      </w:r>
    </w:p>
    <w:p w:rsidR="005F322A" w:rsidRPr="00A129EC" w:rsidRDefault="005F322A" w:rsidP="005F322A">
      <w:pPr>
        <w:spacing w:line="360" w:lineRule="auto"/>
      </w:pPr>
    </w:p>
    <w:p w:rsidR="000228FE" w:rsidRDefault="005F322A" w:rsidP="005F322A">
      <w:pPr>
        <w:pStyle w:val="BodyText"/>
        <w:tabs>
          <w:tab w:val="left" w:pos="0"/>
        </w:tabs>
        <w:spacing w:line="360" w:lineRule="auto"/>
        <w:rPr>
          <w:szCs w:val="24"/>
        </w:rPr>
      </w:pPr>
      <w:r w:rsidRPr="00A129EC">
        <w:rPr>
          <w:szCs w:val="24"/>
        </w:rPr>
        <w:tab/>
      </w:r>
      <w:r w:rsidRPr="00A129EC">
        <w:rPr>
          <w:szCs w:val="24"/>
        </w:rPr>
        <w:tab/>
        <w:t xml:space="preserve">The hearing </w:t>
      </w:r>
      <w:r w:rsidR="006C5EA5">
        <w:rPr>
          <w:szCs w:val="24"/>
        </w:rPr>
        <w:t>was held</w:t>
      </w:r>
      <w:r w:rsidRPr="00A129EC">
        <w:rPr>
          <w:szCs w:val="24"/>
        </w:rPr>
        <w:t xml:space="preserve"> as scheduled on July 29, 2011.  Counsel for PECO was present with two witness</w:t>
      </w:r>
      <w:r>
        <w:rPr>
          <w:szCs w:val="24"/>
        </w:rPr>
        <w:t>es</w:t>
      </w:r>
      <w:r w:rsidRPr="00A129EC">
        <w:rPr>
          <w:szCs w:val="24"/>
        </w:rPr>
        <w:t xml:space="preserve">.  </w:t>
      </w:r>
      <w:r w:rsidR="006C5EA5">
        <w:rPr>
          <w:szCs w:val="24"/>
        </w:rPr>
        <w:t>C</w:t>
      </w:r>
      <w:r w:rsidRPr="00A129EC">
        <w:rPr>
          <w:szCs w:val="24"/>
        </w:rPr>
        <w:t>ounsel for Commerce was present with a witness prepared to proceed telephonically.  E.C. Smart was not present.</w:t>
      </w:r>
      <w:r w:rsidR="004E7093" w:rsidRPr="004E7093">
        <w:rPr>
          <w:spacing w:val="-3"/>
        </w:rPr>
        <w:t xml:space="preserve"> </w:t>
      </w:r>
      <w:r w:rsidR="004E7093">
        <w:rPr>
          <w:spacing w:val="-3"/>
        </w:rPr>
        <w:t xml:space="preserve"> </w:t>
      </w:r>
      <w:r w:rsidR="004E7093" w:rsidRPr="00A129EC">
        <w:rPr>
          <w:spacing w:val="-3"/>
        </w:rPr>
        <w:t>No witnesses were presented and no exhibits were introduced into the record.</w:t>
      </w:r>
      <w:r w:rsidR="006C5EA5">
        <w:rPr>
          <w:szCs w:val="24"/>
        </w:rPr>
        <w:t xml:space="preserve">  </w:t>
      </w:r>
    </w:p>
    <w:p w:rsidR="004E7093" w:rsidRDefault="000228FE" w:rsidP="005F322A">
      <w:pPr>
        <w:pStyle w:val="BodyText"/>
        <w:tabs>
          <w:tab w:val="left" w:pos="0"/>
        </w:tabs>
        <w:spacing w:line="360" w:lineRule="auto"/>
        <w:rPr>
          <w:spacing w:val="-3"/>
        </w:rPr>
      </w:pPr>
      <w:r>
        <w:rPr>
          <w:szCs w:val="24"/>
        </w:rPr>
        <w:lastRenderedPageBreak/>
        <w:tab/>
      </w:r>
      <w:r>
        <w:rPr>
          <w:szCs w:val="24"/>
        </w:rPr>
        <w:tab/>
      </w:r>
      <w:r w:rsidR="004C662B">
        <w:rPr>
          <w:szCs w:val="24"/>
        </w:rPr>
        <w:t>At the onset of the hearing, c</w:t>
      </w:r>
      <w:r w:rsidR="006C5EA5">
        <w:rPr>
          <w:szCs w:val="24"/>
        </w:rPr>
        <w:t>oun</w:t>
      </w:r>
      <w:r w:rsidR="005F322A" w:rsidRPr="00A129EC">
        <w:rPr>
          <w:szCs w:val="24"/>
        </w:rPr>
        <w:t xml:space="preserve">sel for PECO requested that </w:t>
      </w:r>
      <w:r w:rsidR="006C5EA5">
        <w:rPr>
          <w:szCs w:val="24"/>
        </w:rPr>
        <w:t>the ALJ</w:t>
      </w:r>
      <w:r w:rsidR="005F322A" w:rsidRPr="00A129EC">
        <w:rPr>
          <w:szCs w:val="24"/>
        </w:rPr>
        <w:t xml:space="preserve"> strike the </w:t>
      </w:r>
      <w:r w:rsidR="006C5EA5">
        <w:rPr>
          <w:szCs w:val="24"/>
        </w:rPr>
        <w:t>C</w:t>
      </w:r>
      <w:r w:rsidR="005F322A" w:rsidRPr="00A129EC">
        <w:rPr>
          <w:szCs w:val="24"/>
        </w:rPr>
        <w:t xml:space="preserve">omplainant’s Motion For Summary Judgment because it was untimely.  Counsel for Commerce joined in the request. </w:t>
      </w:r>
      <w:r w:rsidR="004E7093">
        <w:rPr>
          <w:szCs w:val="24"/>
        </w:rPr>
        <w:t xml:space="preserve"> Additionally, c</w:t>
      </w:r>
      <w:r w:rsidR="004E7093" w:rsidRPr="00A129EC">
        <w:rPr>
          <w:spacing w:val="-3"/>
        </w:rPr>
        <w:t xml:space="preserve">ounsel for PECO and Commerce moved that the Complaint be dismissed with prejudice for lack of prosecution pursuant to </w:t>
      </w:r>
      <w:r w:rsidR="00F94B7F">
        <w:rPr>
          <w:spacing w:val="-3"/>
        </w:rPr>
        <w:t xml:space="preserve">            </w:t>
      </w:r>
      <w:r w:rsidR="004E7093" w:rsidRPr="00A129EC">
        <w:rPr>
          <w:spacing w:val="-3"/>
        </w:rPr>
        <w:t>52 Pa. Code § 5.245.</w:t>
      </w:r>
      <w:r w:rsidR="004E7093">
        <w:rPr>
          <w:spacing w:val="-3"/>
        </w:rPr>
        <w:t xml:space="preserve">  Subsequent to the hearing, on August 19, 2011, PECO and Commerce jointly filed a letter addressing deficiencies in the Complainant’s Motion for Summary Judgment.  </w:t>
      </w:r>
    </w:p>
    <w:p w:rsidR="004E7093" w:rsidRDefault="004E7093" w:rsidP="005F322A">
      <w:pPr>
        <w:pStyle w:val="BodyText"/>
        <w:tabs>
          <w:tab w:val="left" w:pos="0"/>
        </w:tabs>
        <w:spacing w:line="360" w:lineRule="auto"/>
        <w:rPr>
          <w:spacing w:val="-3"/>
        </w:rPr>
      </w:pPr>
    </w:p>
    <w:p w:rsidR="00351BF4" w:rsidRDefault="004E7093" w:rsidP="005F322A">
      <w:pPr>
        <w:pStyle w:val="BodyText"/>
        <w:tabs>
          <w:tab w:val="left" w:pos="0"/>
        </w:tabs>
        <w:spacing w:line="360" w:lineRule="auto"/>
        <w:rPr>
          <w:spacing w:val="-3"/>
        </w:rPr>
      </w:pPr>
      <w:r>
        <w:rPr>
          <w:spacing w:val="-3"/>
        </w:rPr>
        <w:tab/>
      </w:r>
      <w:r>
        <w:rPr>
          <w:spacing w:val="-3"/>
        </w:rPr>
        <w:tab/>
        <w:t xml:space="preserve">In the Initial Decision, issued September 6, 2011, ALJ Pell </w:t>
      </w:r>
      <w:r w:rsidR="001E3A20">
        <w:rPr>
          <w:spacing w:val="-3"/>
        </w:rPr>
        <w:t xml:space="preserve">denied the Complainant’s Motion for Summary Judgment.  I.D. at 6, 10.  The ALJ also dismissed the Complaint with prejudice due to the Complainant’s failure to appear at </w:t>
      </w:r>
      <w:r w:rsidR="007A1B99">
        <w:rPr>
          <w:spacing w:val="-3"/>
        </w:rPr>
        <w:t>the</w:t>
      </w:r>
      <w:r w:rsidR="001E3A20">
        <w:rPr>
          <w:spacing w:val="-3"/>
        </w:rPr>
        <w:t xml:space="preserve"> hearing.  </w:t>
      </w:r>
      <w:r w:rsidR="00F94B7F">
        <w:rPr>
          <w:spacing w:val="-3"/>
        </w:rPr>
        <w:t xml:space="preserve">         </w:t>
      </w:r>
      <w:r w:rsidR="001E3A20">
        <w:rPr>
          <w:spacing w:val="-3"/>
        </w:rPr>
        <w:t>I.D. at 9, 11.</w:t>
      </w:r>
    </w:p>
    <w:p w:rsidR="007A1B99" w:rsidRDefault="007A1B99" w:rsidP="005F322A">
      <w:pPr>
        <w:pStyle w:val="BodyText"/>
        <w:tabs>
          <w:tab w:val="left" w:pos="0"/>
        </w:tabs>
        <w:spacing w:line="360" w:lineRule="auto"/>
        <w:rPr>
          <w:spacing w:val="-3"/>
        </w:rPr>
      </w:pPr>
    </w:p>
    <w:p w:rsidR="005F322A" w:rsidRPr="00A129EC" w:rsidRDefault="00351BF4" w:rsidP="005F322A">
      <w:pPr>
        <w:pStyle w:val="BodyText"/>
        <w:tabs>
          <w:tab w:val="left" w:pos="0"/>
        </w:tabs>
        <w:spacing w:line="360" w:lineRule="auto"/>
        <w:rPr>
          <w:szCs w:val="24"/>
        </w:rPr>
      </w:pPr>
      <w:r>
        <w:rPr>
          <w:spacing w:val="-3"/>
        </w:rPr>
        <w:tab/>
      </w:r>
      <w:r>
        <w:rPr>
          <w:spacing w:val="-3"/>
        </w:rPr>
        <w:tab/>
        <w:t xml:space="preserve">As previously stated, the Complainant filed a </w:t>
      </w:r>
      <w:r>
        <w:rPr>
          <w:szCs w:val="26"/>
        </w:rPr>
        <w:t>“Sur Motion for Summary Judgment” o</w:t>
      </w:r>
      <w:r w:rsidRPr="00571F5C">
        <w:rPr>
          <w:szCs w:val="26"/>
        </w:rPr>
        <w:t xml:space="preserve">n </w:t>
      </w:r>
      <w:r>
        <w:rPr>
          <w:szCs w:val="26"/>
        </w:rPr>
        <w:t>September 20, 2011.</w:t>
      </w:r>
      <w:r w:rsidRPr="00351BF4">
        <w:rPr>
          <w:szCs w:val="26"/>
        </w:rPr>
        <w:t xml:space="preserve"> </w:t>
      </w:r>
      <w:r>
        <w:rPr>
          <w:szCs w:val="26"/>
        </w:rPr>
        <w:t xml:space="preserve"> Commerce filed Replies to Exceptions </w:t>
      </w:r>
      <w:r w:rsidRPr="00571F5C">
        <w:rPr>
          <w:szCs w:val="26"/>
        </w:rPr>
        <w:t xml:space="preserve">on </w:t>
      </w:r>
      <w:r w:rsidR="00F94B7F">
        <w:rPr>
          <w:szCs w:val="26"/>
        </w:rPr>
        <w:t xml:space="preserve">      </w:t>
      </w:r>
      <w:r>
        <w:rPr>
          <w:szCs w:val="26"/>
        </w:rPr>
        <w:t>October 5, 2011</w:t>
      </w:r>
      <w:r w:rsidRPr="00571F5C">
        <w:rPr>
          <w:szCs w:val="26"/>
        </w:rPr>
        <w:t>.</w:t>
      </w:r>
      <w:r>
        <w:rPr>
          <w:szCs w:val="26"/>
        </w:rPr>
        <w:t xml:space="preserve">     </w:t>
      </w:r>
      <w:r>
        <w:rPr>
          <w:spacing w:val="-3"/>
        </w:rPr>
        <w:t xml:space="preserve"> </w:t>
      </w:r>
      <w:r w:rsidR="001E3A20">
        <w:rPr>
          <w:spacing w:val="-3"/>
        </w:rPr>
        <w:t xml:space="preserve">  </w:t>
      </w:r>
      <w:r w:rsidR="004E7093">
        <w:rPr>
          <w:spacing w:val="-3"/>
        </w:rPr>
        <w:t xml:space="preserve"> </w:t>
      </w:r>
      <w:r w:rsidR="005F322A" w:rsidRPr="00A129EC">
        <w:rPr>
          <w:szCs w:val="24"/>
        </w:rPr>
        <w:t xml:space="preserve"> </w:t>
      </w:r>
    </w:p>
    <w:p w:rsidR="001E3A20" w:rsidRDefault="004E7093" w:rsidP="001E3A20">
      <w:pPr>
        <w:pStyle w:val="BodyText"/>
        <w:tabs>
          <w:tab w:val="left" w:pos="0"/>
        </w:tabs>
        <w:spacing w:line="360" w:lineRule="auto"/>
        <w:rPr>
          <w:szCs w:val="24"/>
        </w:rPr>
      </w:pPr>
      <w:r>
        <w:rPr>
          <w:szCs w:val="24"/>
        </w:rPr>
        <w:tab/>
      </w:r>
      <w:r>
        <w:rPr>
          <w:szCs w:val="24"/>
        </w:rPr>
        <w:tab/>
      </w:r>
      <w:r w:rsidR="005F322A" w:rsidRPr="00A129EC">
        <w:rPr>
          <w:szCs w:val="24"/>
        </w:rPr>
        <w:tab/>
      </w:r>
    </w:p>
    <w:p w:rsidR="00E33352" w:rsidRDefault="002561C5" w:rsidP="00F37924">
      <w:pPr>
        <w:pStyle w:val="BodyText"/>
        <w:tabs>
          <w:tab w:val="left" w:pos="0"/>
        </w:tab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C42659" w:rsidRPr="00C42659" w:rsidRDefault="00C42659" w:rsidP="00C42659">
      <w:pPr>
        <w:widowControl w:val="0"/>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5E250D">
        <w:rPr>
          <w:szCs w:val="26"/>
        </w:rPr>
        <w:t xml:space="preserve">Public Utility </w:t>
      </w:r>
      <w:r w:rsidRPr="00C42659">
        <w:rPr>
          <w:szCs w:val="26"/>
        </w:rPr>
        <w:t>Code</w:t>
      </w:r>
      <w:r w:rsidR="005E250D">
        <w:rPr>
          <w:szCs w:val="26"/>
        </w:rPr>
        <w:t xml:space="preserve"> (Code)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Pr="00C42659">
        <w:rPr>
          <w:szCs w:val="26"/>
        </w:rPr>
        <w:t xml:space="preserve"> 529 Pa. 654, 602 A.2d 863 (1992).  That is, the Complainant’s evidence </w:t>
      </w:r>
      <w:r w:rsidRPr="00C42659">
        <w:rPr>
          <w:szCs w:val="26"/>
        </w:rPr>
        <w:lastRenderedPageBreak/>
        <w:t xml:space="preserve">must be more convincing, by even the smallest amount, than that presented by the Respondent.  </w:t>
      </w:r>
      <w:r w:rsidRPr="00C42659">
        <w:rPr>
          <w:i/>
          <w:szCs w:val="26"/>
        </w:rPr>
        <w:t>Se-Ling 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 (1980).</w:t>
      </w:r>
    </w:p>
    <w:p w:rsidR="00C42659" w:rsidRPr="00C42659" w:rsidRDefault="00C42659" w:rsidP="00C42659">
      <w:pPr>
        <w:widowControl w:val="0"/>
        <w:spacing w:line="360" w:lineRule="auto"/>
        <w:rPr>
          <w:szCs w:val="26"/>
        </w:rPr>
      </w:pPr>
    </w:p>
    <w:p w:rsidR="00C42659" w:rsidRPr="00C42659" w:rsidRDefault="00C42659" w:rsidP="00C42659">
      <w:pPr>
        <w:widowControl w:val="0"/>
        <w:spacing w:line="360" w:lineRule="auto"/>
        <w:ind w:firstLine="1440"/>
        <w:rPr>
          <w:i/>
        </w:rPr>
      </w:pPr>
      <w:r w:rsidRPr="00C42659">
        <w:t xml:space="preserve">Upon the presentation by a complainant of evidence sufficient to initially satisfy the burden of proof, the burden of going forward with the evidence, sometimes called the burden of persuasion, to rebut the evidence of the customer shifts to the respondent. </w:t>
      </w:r>
      <w:r w:rsidR="00DF7F58">
        <w:t xml:space="preserve"> </w:t>
      </w:r>
      <w:r w:rsidRPr="00C42659">
        <w:t xml:space="preserve">If the evidence presented by the respondent is of co-equal value or “weight,” the burden of proof has not been satisfied. The complainant now has to provide some additional evidence to rebut that of the respondent. </w:t>
      </w:r>
      <w:r w:rsidRPr="00C42659">
        <w:rPr>
          <w:iCs/>
        </w:rPr>
        <w:t xml:space="preserve"> </w:t>
      </w:r>
      <w:hyperlink r:id="rId9" w:history="1">
        <w:r w:rsidRPr="00DF7F58">
          <w:rPr>
            <w:rFonts w:ascii="Times New (W1)" w:hAnsi="Times New (W1)"/>
            <w:i/>
          </w:rPr>
          <w:t>Burleson v. Pa. PUC</w:t>
        </w:r>
        <w:r w:rsidRPr="00DF7F58">
          <w:rPr>
            <w:rFonts w:ascii="Times New (W1)" w:hAnsi="Times New (W1)"/>
          </w:rPr>
          <w:t xml:space="preserve">, 443 A.2d 1373 (Pa. Cmwlth. 1982), </w:t>
        </w:r>
        <w:r w:rsidRPr="000C213E">
          <w:rPr>
            <w:rFonts w:ascii="Times New (W1)" w:hAnsi="Times New (W1)"/>
            <w:i/>
          </w:rPr>
          <w:t>aff’d</w:t>
        </w:r>
        <w:r w:rsidRPr="00DF7F58">
          <w:rPr>
            <w:rFonts w:ascii="Times New (W1)" w:hAnsi="Times New (W1)"/>
          </w:rPr>
          <w:t>, 501 Pa. 433, 461 A.2d 1234 (1983).</w:t>
        </w:r>
      </w:hyperlink>
      <w:r w:rsidR="00DF7F58">
        <w:rPr>
          <w:rFonts w:ascii="Times New (W1)" w:hAnsi="Times New (W1)"/>
          <w:iCs/>
        </w:rPr>
        <w:t xml:space="preserve">  </w:t>
      </w:r>
      <w:r w:rsidRPr="00C42659">
        <w:t xml:space="preserve">While the burden of persuasion may </w:t>
      </w:r>
      <w:r w:rsidRPr="00DF7F58">
        <w:rPr>
          <w:bCs/>
        </w:rPr>
        <w:t>shift</w:t>
      </w:r>
      <w:r w:rsidRPr="00C42659">
        <w:t xml:space="preserve"> back and forth during a proceeding, the </w:t>
      </w:r>
      <w:r w:rsidRPr="00DF7F58">
        <w:rPr>
          <w:bCs/>
        </w:rPr>
        <w:t>burden of proof</w:t>
      </w:r>
      <w:r w:rsidRPr="00C42659">
        <w:t xml:space="preserve"> never </w:t>
      </w:r>
      <w:r w:rsidRPr="00DF7F58">
        <w:rPr>
          <w:bCs/>
        </w:rPr>
        <w:t>shifts. The burden of proof</w:t>
      </w:r>
      <w:r w:rsidRPr="00C42659">
        <w:t xml:space="preserve"> always remains on the party seeking affirmative relief from the Commission.  </w:t>
      </w:r>
      <w:r w:rsidRPr="00C42659">
        <w:rPr>
          <w:i/>
        </w:rPr>
        <w:t xml:space="preserve">Milkie v. Pa. PUC, </w:t>
      </w:r>
      <w:r w:rsidRPr="00C42659">
        <w:t>768 A.2d 1217 (Pa. Cmwlth. 2001).</w:t>
      </w:r>
    </w:p>
    <w:p w:rsidR="00C42659" w:rsidRPr="00C42659" w:rsidRDefault="00C42659" w:rsidP="00C42659">
      <w:pPr>
        <w:widowControl w:val="0"/>
        <w:spacing w:line="360" w:lineRule="auto"/>
        <w:rPr>
          <w:i/>
          <w:szCs w:val="26"/>
        </w:rPr>
      </w:pPr>
    </w:p>
    <w:p w:rsidR="00C42659" w:rsidRPr="00C42659" w:rsidRDefault="00C42659" w:rsidP="00C42659">
      <w:pPr>
        <w:widowControl w:val="0"/>
        <w:spacing w:line="360" w:lineRule="auto"/>
        <w:ind w:firstLine="1440"/>
        <w:rPr>
          <w:szCs w:val="26"/>
        </w:rPr>
      </w:pPr>
      <w:r w:rsidRPr="00C42659">
        <w:rPr>
          <w:szCs w:val="26"/>
        </w:rPr>
        <w:t xml:space="preserve">ALJ </w:t>
      </w:r>
      <w:r w:rsidR="00DF7F58">
        <w:rPr>
          <w:szCs w:val="26"/>
        </w:rPr>
        <w:t xml:space="preserve">Pell </w:t>
      </w:r>
      <w:r w:rsidRPr="00C42659">
        <w:rPr>
          <w:szCs w:val="26"/>
        </w:rPr>
        <w:t xml:space="preserve">made </w:t>
      </w:r>
      <w:r w:rsidR="00DF7F58">
        <w:rPr>
          <w:szCs w:val="26"/>
        </w:rPr>
        <w:t>twelve</w:t>
      </w:r>
      <w:r w:rsidRPr="00C42659">
        <w:rPr>
          <w:szCs w:val="26"/>
        </w:rPr>
        <w:t xml:space="preserve"> Findings of Fact and reached</w:t>
      </w:r>
      <w:r w:rsidR="00DF7F58">
        <w:rPr>
          <w:szCs w:val="26"/>
        </w:rPr>
        <w:t xml:space="preserve"> ten</w:t>
      </w:r>
      <w:r w:rsidRPr="00C42659">
        <w:rPr>
          <w:szCs w:val="26"/>
        </w:rPr>
        <w:t xml:space="preserve"> Conclusions of Law.</w:t>
      </w:r>
      <w:r w:rsidR="00DF7F58">
        <w:rPr>
          <w:szCs w:val="26"/>
        </w:rPr>
        <w:t xml:space="preserve">  I.D. at 4-5, 9-10.</w:t>
      </w:r>
      <w:r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42659" w:rsidRPr="00C42659" w:rsidRDefault="00C42659" w:rsidP="00C42659">
      <w:pPr>
        <w:widowControl w:val="0"/>
        <w:spacing w:line="360" w:lineRule="auto"/>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1F73C2">
          <w:rPr>
            <w:i/>
            <w:iCs/>
            <w:color w:val="000000"/>
            <w:szCs w:val="26"/>
          </w:rPr>
          <w:t xml:space="preserve">Consolidated Rail Corp. v. </w:t>
        </w:r>
        <w:r w:rsidR="00F94B7F">
          <w:rPr>
            <w:i/>
            <w:iCs/>
            <w:color w:val="000000"/>
            <w:szCs w:val="26"/>
          </w:rPr>
          <w:t xml:space="preserve">   </w:t>
        </w:r>
        <w:r w:rsidRPr="001F73C2">
          <w:rPr>
            <w:i/>
            <w:iCs/>
            <w:color w:val="000000"/>
            <w:szCs w:val="26"/>
          </w:rPr>
          <w:t xml:space="preserve">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651067" w:rsidRDefault="00115130" w:rsidP="005E1B9D">
      <w:pPr>
        <w:spacing w:line="360" w:lineRule="auto"/>
        <w:ind w:firstLine="1440"/>
        <w:rPr>
          <w:szCs w:val="26"/>
        </w:rPr>
      </w:pPr>
      <w:r w:rsidRPr="00B74991">
        <w:rPr>
          <w:szCs w:val="26"/>
        </w:rPr>
        <w:lastRenderedPageBreak/>
        <w:t>Additionally, in addressing the merits of the Exceptions, we will limit our consideration to the issue</w:t>
      </w:r>
      <w:r w:rsidR="00B74991">
        <w:rPr>
          <w:szCs w:val="26"/>
        </w:rPr>
        <w:t>s which were addressed by the ALJ in the Initial Decision.</w:t>
      </w:r>
      <w:r w:rsidRPr="00B74991">
        <w:rPr>
          <w:szCs w:val="26"/>
        </w:rPr>
        <w:t xml:space="preserve">  We will not address issues that are unrelated to the </w:t>
      </w:r>
      <w:r w:rsidR="004962D6" w:rsidRPr="00B74991">
        <w:rPr>
          <w:szCs w:val="26"/>
        </w:rPr>
        <w:t xml:space="preserve">Findings of Fact and Conclusions of Law in the Initial Decision or issues that </w:t>
      </w:r>
      <w:r w:rsidR="00E33B53">
        <w:rPr>
          <w:szCs w:val="26"/>
        </w:rPr>
        <w:t>do not pertain to</w:t>
      </w:r>
      <w:r w:rsidR="004962D6" w:rsidRPr="00B74991">
        <w:rPr>
          <w:szCs w:val="26"/>
        </w:rPr>
        <w:t xml:space="preserve"> the record before us.  </w:t>
      </w:r>
    </w:p>
    <w:p w:rsidR="00E33B53" w:rsidRDefault="00E33B53" w:rsidP="005E1B9D">
      <w:pPr>
        <w:spacing w:line="360" w:lineRule="auto"/>
        <w:ind w:firstLine="1440"/>
        <w:rPr>
          <w:b/>
          <w:szCs w:val="26"/>
        </w:rPr>
      </w:pPr>
    </w:p>
    <w:p w:rsidR="00550070" w:rsidRPr="00550070" w:rsidRDefault="00550070" w:rsidP="00550070">
      <w:pPr>
        <w:spacing w:line="360" w:lineRule="auto"/>
        <w:ind w:firstLine="720"/>
        <w:rPr>
          <w:b/>
        </w:rPr>
      </w:pPr>
      <w:r w:rsidRPr="00550070">
        <w:rPr>
          <w:b/>
        </w:rPr>
        <w:t>A.</w:t>
      </w:r>
      <w:r w:rsidRPr="00550070">
        <w:rPr>
          <w:b/>
        </w:rPr>
        <w:tab/>
        <w:t xml:space="preserve">“Sur Motion for Summary Judgment” Filing </w:t>
      </w:r>
    </w:p>
    <w:p w:rsidR="00550070" w:rsidRDefault="00550070" w:rsidP="005E1B9D">
      <w:pPr>
        <w:spacing w:line="360" w:lineRule="auto"/>
        <w:ind w:firstLine="1440"/>
      </w:pPr>
    </w:p>
    <w:p w:rsidR="00D83968" w:rsidRDefault="0062421D" w:rsidP="005E1B9D">
      <w:pPr>
        <w:spacing w:line="360" w:lineRule="auto"/>
        <w:ind w:firstLine="1440"/>
      </w:pPr>
      <w:r>
        <w:t>We begin by considering the nature of the “Sur Motion for Summary Judgment” that the Complainant filed on September 20, 2011</w:t>
      </w:r>
      <w:r w:rsidR="00D83968">
        <w:t xml:space="preserve"> because the Commission’s Regulations do not provide for a “Sur Motion for Summary Judgment” following the issuance of an ALJ decision.  </w:t>
      </w:r>
      <w:r w:rsidR="00CA33A1">
        <w:t xml:space="preserve">The “Sur Motion for Summary Judgment” addresses many of the issues that the ALJ addressed in the Initial Decision, including the ALJ’s ruling on the Motion for Summary Judgment which the Complainant filed on July 28, 2011, and the ALJ’s dismissal of the Complaint.  The Complainant filed the “Sur Motion for Summary Judgment” within the requisite twenty-day time frame for filing Exceptions to the Initial Decision.  </w:t>
      </w:r>
      <w:r w:rsidR="00027B21">
        <w:t xml:space="preserve">For these reasons, we believe that it is appropriate to treat the filing as Exceptions.  </w:t>
      </w:r>
    </w:p>
    <w:p w:rsidR="00D83968" w:rsidRDefault="00D83968" w:rsidP="005E1B9D">
      <w:pPr>
        <w:spacing w:line="360" w:lineRule="auto"/>
        <w:ind w:firstLine="1440"/>
      </w:pPr>
    </w:p>
    <w:p w:rsidR="00F94B7F" w:rsidRDefault="00550070" w:rsidP="005E1B9D">
      <w:pPr>
        <w:spacing w:line="360" w:lineRule="auto"/>
        <w:ind w:firstLine="1440"/>
      </w:pPr>
      <w:r w:rsidRPr="00092384">
        <w:t xml:space="preserve">We acknowledge that the format of the </w:t>
      </w:r>
      <w:r w:rsidR="00027B21">
        <w:t>filing</w:t>
      </w:r>
      <w:r w:rsidRPr="00092384">
        <w:t xml:space="preserve"> does not </w:t>
      </w:r>
      <w:r>
        <w:t xml:space="preserve">strictly </w:t>
      </w:r>
      <w:r w:rsidRPr="00092384">
        <w:t>comply with</w:t>
      </w:r>
      <w:r>
        <w:t xml:space="preserve"> Section 5.533(b) of our Regulations, 52 Pa. Code § 5.533(b), which requires that exceptions be numbered, identify the finding of fact and conclusion of law to which exception is taken, and cite to the relevant pages of the Initial Decision.  Nevertheless, </w:t>
      </w:r>
    </w:p>
    <w:p w:rsidR="00F94B7F" w:rsidRDefault="00F94B7F" w:rsidP="00F94B7F">
      <w:pPr>
        <w:spacing w:line="360" w:lineRule="auto"/>
      </w:pPr>
    </w:p>
    <w:p w:rsidR="00F94B7F" w:rsidRDefault="00F94B7F" w:rsidP="00F94B7F">
      <w:pPr>
        <w:spacing w:line="360" w:lineRule="auto"/>
      </w:pPr>
    </w:p>
    <w:p w:rsidR="00F94B7F" w:rsidRDefault="00F94B7F" w:rsidP="00F94B7F">
      <w:pPr>
        <w:spacing w:line="360" w:lineRule="auto"/>
      </w:pPr>
    </w:p>
    <w:p w:rsidR="00D83968" w:rsidRDefault="00550070" w:rsidP="00F94B7F">
      <w:pPr>
        <w:spacing w:line="360" w:lineRule="auto"/>
      </w:pPr>
      <w:r>
        <w:lastRenderedPageBreak/>
        <w:t xml:space="preserve">particularly because the Complainant is appearing </w:t>
      </w:r>
      <w:r w:rsidRPr="00FD286B">
        <w:rPr>
          <w:i/>
        </w:rPr>
        <w:t>pro se</w:t>
      </w:r>
      <w:r>
        <w:t>, we will accept the Exceptions as filed pursuant to Section 1.2 of our Regulations,</w:t>
      </w:r>
      <w:r w:rsidR="00FF2F76">
        <w:t xml:space="preserve"> </w:t>
      </w:r>
      <w:r>
        <w:t>52 Pa. Code § 1.2.</w:t>
      </w:r>
      <w:r w:rsidR="008928D4">
        <w:rPr>
          <w:rStyle w:val="FootnoteReference"/>
        </w:rPr>
        <w:footnoteReference w:id="2"/>
      </w:r>
    </w:p>
    <w:p w:rsidR="00B46F04" w:rsidRPr="00B46F04" w:rsidRDefault="005870B1" w:rsidP="007447B2">
      <w:pPr>
        <w:spacing w:line="360" w:lineRule="auto"/>
        <w:rPr>
          <w:b/>
          <w:szCs w:val="26"/>
        </w:rPr>
      </w:pPr>
      <w:r w:rsidRPr="005870B1">
        <w:rPr>
          <w:szCs w:val="24"/>
        </w:rPr>
        <w:t xml:space="preserve">   </w:t>
      </w:r>
      <w:r w:rsidRPr="005870B1">
        <w:rPr>
          <w:szCs w:val="26"/>
        </w:rPr>
        <w:t xml:space="preserve"> </w:t>
      </w:r>
      <w:r w:rsidR="004F621A">
        <w:rPr>
          <w:szCs w:val="26"/>
        </w:rPr>
        <w:tab/>
      </w:r>
      <w:r w:rsidR="001248B9">
        <w:rPr>
          <w:b/>
          <w:szCs w:val="26"/>
        </w:rPr>
        <w:t>B</w:t>
      </w:r>
      <w:r w:rsidR="00B46F04" w:rsidRPr="00B46F04">
        <w:rPr>
          <w:b/>
          <w:szCs w:val="26"/>
        </w:rPr>
        <w:t>.</w:t>
      </w:r>
      <w:r w:rsidR="00B46F04" w:rsidRPr="00B46F04">
        <w:rPr>
          <w:b/>
          <w:szCs w:val="26"/>
        </w:rPr>
        <w:tab/>
      </w:r>
      <w:r w:rsidR="008D1B16">
        <w:rPr>
          <w:b/>
          <w:szCs w:val="26"/>
        </w:rPr>
        <w:t>T</w:t>
      </w:r>
      <w:r w:rsidR="00B46F04" w:rsidRPr="00B46F04">
        <w:rPr>
          <w:b/>
          <w:szCs w:val="26"/>
        </w:rPr>
        <w:t>he Complain</w:t>
      </w:r>
      <w:r w:rsidR="008D1B16">
        <w:rPr>
          <w:b/>
          <w:szCs w:val="26"/>
        </w:rPr>
        <w:t>an</w:t>
      </w:r>
      <w:r w:rsidR="00B46F04" w:rsidRPr="00B46F04">
        <w:rPr>
          <w:b/>
          <w:szCs w:val="26"/>
        </w:rPr>
        <w:t>t</w:t>
      </w:r>
      <w:r w:rsidR="008D1B16">
        <w:rPr>
          <w:b/>
          <w:szCs w:val="26"/>
        </w:rPr>
        <w:t xml:space="preserve">’s Failure to Appear for the Scheduled Hearing  </w:t>
      </w:r>
      <w:r w:rsidR="00B46F04" w:rsidRPr="00B46F04">
        <w:rPr>
          <w:b/>
          <w:szCs w:val="26"/>
        </w:rPr>
        <w:t xml:space="preserve"> </w:t>
      </w:r>
    </w:p>
    <w:p w:rsidR="00B46F04" w:rsidRDefault="00B46F04" w:rsidP="00BA1874">
      <w:pPr>
        <w:spacing w:line="360" w:lineRule="auto"/>
        <w:ind w:firstLine="1440"/>
        <w:rPr>
          <w:szCs w:val="26"/>
        </w:rPr>
      </w:pPr>
    </w:p>
    <w:p w:rsidR="00B46F04" w:rsidRDefault="00B46F04" w:rsidP="00BA1874">
      <w:pPr>
        <w:spacing w:line="360" w:lineRule="auto"/>
        <w:ind w:firstLine="1440"/>
        <w:rPr>
          <w:b/>
          <w:szCs w:val="26"/>
        </w:rPr>
      </w:pPr>
      <w:r w:rsidRPr="009664FB">
        <w:rPr>
          <w:b/>
          <w:szCs w:val="26"/>
        </w:rPr>
        <w:t>1.</w:t>
      </w:r>
      <w:r w:rsidRPr="009664FB">
        <w:rPr>
          <w:b/>
          <w:szCs w:val="26"/>
        </w:rPr>
        <w:tab/>
        <w:t xml:space="preserve">ALJ’s Recommendation </w:t>
      </w:r>
    </w:p>
    <w:p w:rsidR="009664FB" w:rsidRDefault="009664FB" w:rsidP="00BA1874">
      <w:pPr>
        <w:spacing w:line="360" w:lineRule="auto"/>
        <w:ind w:firstLine="1440"/>
        <w:rPr>
          <w:b/>
          <w:szCs w:val="26"/>
        </w:rPr>
      </w:pPr>
    </w:p>
    <w:p w:rsidR="00587D9E" w:rsidRDefault="00587D9E" w:rsidP="00AF6337">
      <w:pPr>
        <w:spacing w:line="360" w:lineRule="auto"/>
        <w:ind w:firstLine="1440"/>
      </w:pPr>
      <w:r>
        <w:t xml:space="preserve">The ALJ determined that the Complaint should be dismissed with prejudice due to the Complainant’s failure to appear for the scheduled hearing.  </w:t>
      </w:r>
      <w:r w:rsidR="008D1B16">
        <w:t>The ALJ concluded that</w:t>
      </w:r>
      <w:r w:rsidR="00F15EAB">
        <w:t>,</w:t>
      </w:r>
      <w:r w:rsidR="008D1B16">
        <w:t xml:space="preserve"> because she did not appear for the hearing, the Complainant failed to bear her burden of proof.  </w:t>
      </w:r>
      <w:r>
        <w:t>The ALJ found that the Complainant’s due process rights were fully protected because the Complainant had ample opportunity to appear and be heard in the proceeding, but voluntarily chose not to do so.  The ALJ stated that the Complainant received proper notice of the scheduled hearing location, date, and time and how to contact the Office of Administrative Law Judge (OALJ).  The ALJ noted that</w:t>
      </w:r>
      <w:r w:rsidR="000851ED">
        <w:t>,</w:t>
      </w:r>
      <w:r>
        <w:t xml:space="preserve"> despite the fact that the Complainant demonstrated that she knew how to contact the OALJ when she faxed a motion to the office and left a voice mail for the ALJ, the Complainant did not </w:t>
      </w:r>
      <w:r>
        <w:lastRenderedPageBreak/>
        <w:t xml:space="preserve">request a postponement of the hearing at any time or attempt to notify the ALJ that she did not plan to attend the hearing.  I.D. at 8.               </w:t>
      </w:r>
    </w:p>
    <w:p w:rsidR="00587D9E" w:rsidRDefault="00587D9E" w:rsidP="00587D9E">
      <w:pPr>
        <w:spacing w:line="360" w:lineRule="auto"/>
        <w:ind w:firstLine="720"/>
      </w:pPr>
    </w:p>
    <w:p w:rsidR="00EA1D4E" w:rsidRDefault="00EA1D4E" w:rsidP="00587D9E">
      <w:pPr>
        <w:spacing w:line="360" w:lineRule="auto"/>
        <w:ind w:firstLine="720"/>
        <w:rPr>
          <w:b/>
        </w:rPr>
      </w:pPr>
      <w:r>
        <w:tab/>
      </w:r>
      <w:r w:rsidRPr="00EA1D4E">
        <w:rPr>
          <w:b/>
        </w:rPr>
        <w:t>2.</w:t>
      </w:r>
      <w:r w:rsidRPr="00EA1D4E">
        <w:rPr>
          <w:b/>
        </w:rPr>
        <w:tab/>
        <w:t xml:space="preserve">Positions of the Parties </w:t>
      </w:r>
    </w:p>
    <w:p w:rsidR="00F15EAB" w:rsidRPr="00EA1D4E" w:rsidRDefault="00F15EAB" w:rsidP="00587D9E">
      <w:pPr>
        <w:spacing w:line="360" w:lineRule="auto"/>
        <w:ind w:firstLine="720"/>
        <w:rPr>
          <w:b/>
        </w:rPr>
      </w:pPr>
    </w:p>
    <w:p w:rsidR="000851ED" w:rsidRDefault="005904FB" w:rsidP="00BA1874">
      <w:pPr>
        <w:spacing w:line="360" w:lineRule="auto"/>
        <w:ind w:firstLine="1440"/>
      </w:pPr>
      <w:r>
        <w:rPr>
          <w:szCs w:val="26"/>
        </w:rPr>
        <w:t xml:space="preserve">In her Exceptions, the Complainant generally challenges PECO and Commerce’s joint motion, made at the July 29, 2011 hearing, to dismiss the Complaint with prejudice </w:t>
      </w:r>
      <w:r w:rsidRPr="00A129EC">
        <w:rPr>
          <w:spacing w:val="-3"/>
        </w:rPr>
        <w:t>for lack of prosecution pursuant to 52 Pa. Code § 5.245.</w:t>
      </w:r>
      <w:r w:rsidR="001F017D">
        <w:rPr>
          <w:spacing w:val="-3"/>
        </w:rPr>
        <w:t xml:space="preserve">  The </w:t>
      </w:r>
      <w:r w:rsidR="001F017D">
        <w:t>Complainant also attached to the Exceptions a medical excuse for July 29, 2011, the date of the scheduled hearing.</w:t>
      </w:r>
    </w:p>
    <w:p w:rsidR="00227DF9" w:rsidRDefault="001F017D" w:rsidP="00BA1874">
      <w:pPr>
        <w:spacing w:line="360" w:lineRule="auto"/>
        <w:ind w:firstLine="1440"/>
        <w:rPr>
          <w:spacing w:val="-3"/>
        </w:rPr>
      </w:pPr>
      <w:r>
        <w:t xml:space="preserve">  </w:t>
      </w:r>
      <w:r w:rsidR="00227DF9">
        <w:rPr>
          <w:spacing w:val="-3"/>
        </w:rPr>
        <w:t xml:space="preserve"> </w:t>
      </w:r>
    </w:p>
    <w:p w:rsidR="00034F90" w:rsidRPr="005904FB" w:rsidRDefault="00227DF9" w:rsidP="00BA1874">
      <w:pPr>
        <w:spacing w:line="360" w:lineRule="auto"/>
        <w:ind w:firstLine="1440"/>
        <w:rPr>
          <w:szCs w:val="26"/>
        </w:rPr>
      </w:pPr>
      <w:r>
        <w:rPr>
          <w:spacing w:val="-3"/>
        </w:rPr>
        <w:t>In its Replies to Exceptions, Commerce averred that</w:t>
      </w:r>
      <w:r w:rsidR="000805CB">
        <w:rPr>
          <w:spacing w:val="-3"/>
        </w:rPr>
        <w:t>,</w:t>
      </w:r>
      <w:r>
        <w:rPr>
          <w:spacing w:val="-3"/>
        </w:rPr>
        <w:t xml:space="preserve"> </w:t>
      </w:r>
      <w:r w:rsidR="000805CB">
        <w:rPr>
          <w:spacing w:val="-3"/>
        </w:rPr>
        <w:t xml:space="preserve">because </w:t>
      </w:r>
      <w:r>
        <w:rPr>
          <w:spacing w:val="-3"/>
        </w:rPr>
        <w:t xml:space="preserve">the ALJ’s </w:t>
      </w:r>
      <w:r w:rsidR="000805CB">
        <w:rPr>
          <w:spacing w:val="-3"/>
        </w:rPr>
        <w:t>Hearing Notice dated May 27, 2011</w:t>
      </w:r>
      <w:r w:rsidR="000F2AEE">
        <w:rPr>
          <w:spacing w:val="-3"/>
        </w:rPr>
        <w:t xml:space="preserve">, </w:t>
      </w:r>
      <w:r w:rsidR="000805CB">
        <w:rPr>
          <w:spacing w:val="-3"/>
        </w:rPr>
        <w:t>and Prehearing Order dated June 1, 2011</w:t>
      </w:r>
      <w:r w:rsidR="000F2AEE">
        <w:rPr>
          <w:spacing w:val="-3"/>
        </w:rPr>
        <w:t>,</w:t>
      </w:r>
      <w:r w:rsidR="000805CB">
        <w:rPr>
          <w:spacing w:val="-3"/>
        </w:rPr>
        <w:t xml:space="preserve"> provided notice and warned the Complainant that she could lose the case if she failed to appear for the hearing, the Complainant was afforded due process.  R.Exc. at 6.  According to Commerce, since the Complainant failed to appear, the ALJ correctly found that the Complainant waived her opportunity to participate in the hearing and to bear her burden of proof.  Commerce states that there is no basis to “reopen” this case because the Complainant did not indicate that she would not be able to attend the hearing prior to the hearing and has since not requested another hearing in this matter.  Commerce believes that it would be unfair to require it and PECO to expend more time, money, and energy to defend their case at a new hearing when they appeared at the scheduled hearing prepared to proceed.  </w:t>
      </w:r>
      <w:r w:rsidR="000805CB" w:rsidRPr="000805CB">
        <w:rPr>
          <w:i/>
          <w:spacing w:val="-3"/>
        </w:rPr>
        <w:t>Id</w:t>
      </w:r>
      <w:r w:rsidR="000805CB">
        <w:rPr>
          <w:spacing w:val="-3"/>
        </w:rPr>
        <w:t xml:space="preserve">. at 7.          </w:t>
      </w:r>
      <w:r w:rsidR="005904FB">
        <w:rPr>
          <w:spacing w:val="-3"/>
        </w:rPr>
        <w:t xml:space="preserve">  </w:t>
      </w:r>
      <w:r w:rsidR="005904FB">
        <w:rPr>
          <w:szCs w:val="26"/>
        </w:rPr>
        <w:t xml:space="preserve"> </w:t>
      </w:r>
    </w:p>
    <w:p w:rsidR="009664FB" w:rsidRDefault="009664FB" w:rsidP="00BA1874">
      <w:pPr>
        <w:spacing w:line="360" w:lineRule="auto"/>
        <w:ind w:firstLine="1440"/>
        <w:rPr>
          <w:b/>
          <w:szCs w:val="26"/>
        </w:rPr>
      </w:pPr>
    </w:p>
    <w:p w:rsidR="009664FB" w:rsidRPr="009664FB" w:rsidRDefault="00E81A5C" w:rsidP="00BA1874">
      <w:pPr>
        <w:spacing w:line="360" w:lineRule="auto"/>
        <w:ind w:firstLine="1440"/>
        <w:rPr>
          <w:b/>
          <w:szCs w:val="26"/>
        </w:rPr>
      </w:pPr>
      <w:r>
        <w:rPr>
          <w:b/>
          <w:szCs w:val="26"/>
        </w:rPr>
        <w:t>3.</w:t>
      </w:r>
      <w:r>
        <w:rPr>
          <w:b/>
          <w:szCs w:val="26"/>
        </w:rPr>
        <w:tab/>
        <w:t xml:space="preserve">Disposition </w:t>
      </w:r>
    </w:p>
    <w:p w:rsidR="00B46F04" w:rsidRDefault="00B46F04" w:rsidP="00BA1874">
      <w:pPr>
        <w:spacing w:line="360" w:lineRule="auto"/>
        <w:ind w:firstLine="1440"/>
        <w:rPr>
          <w:szCs w:val="26"/>
        </w:rPr>
      </w:pPr>
    </w:p>
    <w:p w:rsidR="001D62D6" w:rsidRDefault="001F017D" w:rsidP="001D62D6">
      <w:pPr>
        <w:spacing w:line="360" w:lineRule="auto"/>
        <w:ind w:firstLine="1440"/>
        <w:rPr>
          <w:szCs w:val="26"/>
        </w:rPr>
      </w:pPr>
      <w:r>
        <w:rPr>
          <w:szCs w:val="26"/>
        </w:rPr>
        <w:t>Based upon our review of the record in this proceeding, we cannot uphold the ALJ’s decision to dismiss the Complaint with prejudice due to the Complainant’s failure to appear for the scheduled hearing.  Upon examination of the record, we discovered that</w:t>
      </w:r>
      <w:r w:rsidR="000851ED">
        <w:rPr>
          <w:szCs w:val="26"/>
        </w:rPr>
        <w:t>,</w:t>
      </w:r>
      <w:r>
        <w:rPr>
          <w:szCs w:val="26"/>
        </w:rPr>
        <w:t xml:space="preserve"> while the May 27, 2011 Hearing Notice was properly sent to the </w:t>
      </w:r>
      <w:r>
        <w:rPr>
          <w:szCs w:val="26"/>
        </w:rPr>
        <w:lastRenderedPageBreak/>
        <w:t>Complainant’s address as it appeared on the Complaint, the  June 1, 2011 Prehearing Order appears to have been inadvertently sent to the incorrect address.</w:t>
      </w:r>
      <w:r>
        <w:rPr>
          <w:rStyle w:val="FootnoteReference"/>
          <w:szCs w:val="26"/>
        </w:rPr>
        <w:footnoteReference w:id="3"/>
      </w:r>
      <w:r>
        <w:rPr>
          <w:szCs w:val="26"/>
        </w:rPr>
        <w:t xml:space="preserve">  </w:t>
      </w:r>
      <w:r w:rsidR="00765840">
        <w:t xml:space="preserve">The June 1, 2011 Prehearing Order contained important information that was not included in the </w:t>
      </w:r>
      <w:r w:rsidR="00F94B7F">
        <w:t xml:space="preserve">          </w:t>
      </w:r>
      <w:r w:rsidR="00765840">
        <w:t>May 27, 2011 Hearing Notice, particularly the</w:t>
      </w:r>
      <w:r w:rsidR="00173196">
        <w:t xml:space="preserve"> instruct</w:t>
      </w:r>
      <w:r w:rsidR="00765840">
        <w:t>ions stating</w:t>
      </w:r>
      <w:r w:rsidR="00173196" w:rsidRPr="00A129EC">
        <w:t xml:space="preserve"> that a request to change the scheduled hearing should be </w:t>
      </w:r>
      <w:r w:rsidR="00173196">
        <w:t xml:space="preserve">made in writing </w:t>
      </w:r>
      <w:r w:rsidR="00173196" w:rsidRPr="00A129EC">
        <w:t xml:space="preserve">at least five days prior to the hearing date.  </w:t>
      </w:r>
      <w:r w:rsidR="001D62D6">
        <w:rPr>
          <w:szCs w:val="26"/>
        </w:rPr>
        <w:t xml:space="preserve">Because the </w:t>
      </w:r>
      <w:r w:rsidR="00907B37">
        <w:rPr>
          <w:szCs w:val="26"/>
        </w:rPr>
        <w:t xml:space="preserve">Prehearing Order </w:t>
      </w:r>
      <w:r w:rsidR="00094355">
        <w:rPr>
          <w:szCs w:val="26"/>
        </w:rPr>
        <w:t xml:space="preserve">was not </w:t>
      </w:r>
      <w:r w:rsidR="001D62D6">
        <w:rPr>
          <w:szCs w:val="26"/>
        </w:rPr>
        <w:t xml:space="preserve">sent to the Complainant’s address, as listed on the Complaint, we </w:t>
      </w:r>
      <w:r w:rsidR="00094355">
        <w:rPr>
          <w:szCs w:val="26"/>
        </w:rPr>
        <w:t xml:space="preserve">cannot </w:t>
      </w:r>
      <w:r w:rsidR="001D62D6">
        <w:rPr>
          <w:szCs w:val="26"/>
        </w:rPr>
        <w:t>presume that the Complainant received th</w:t>
      </w:r>
      <w:r w:rsidR="00F15EAB">
        <w:rPr>
          <w:szCs w:val="26"/>
        </w:rPr>
        <w:t>is</w:t>
      </w:r>
      <w:r w:rsidR="001D62D6">
        <w:rPr>
          <w:szCs w:val="26"/>
        </w:rPr>
        <w:t xml:space="preserve"> document</w:t>
      </w:r>
      <w:r w:rsidR="004162DA">
        <w:rPr>
          <w:szCs w:val="26"/>
        </w:rPr>
        <w:t xml:space="preserve"> or that the Complainant was aware of the proper procedures for requesting a continuance</w:t>
      </w:r>
      <w:r w:rsidR="001D62D6">
        <w:rPr>
          <w:szCs w:val="26"/>
        </w:rPr>
        <w:t>.  As such,</w:t>
      </w:r>
      <w:r w:rsidR="00094355">
        <w:rPr>
          <w:szCs w:val="26"/>
        </w:rPr>
        <w:t xml:space="preserve"> we cannot conclude</w:t>
      </w:r>
      <w:r w:rsidR="001D62D6">
        <w:rPr>
          <w:szCs w:val="26"/>
        </w:rPr>
        <w:t xml:space="preserve"> </w:t>
      </w:r>
      <w:r w:rsidR="00094355">
        <w:rPr>
          <w:szCs w:val="26"/>
        </w:rPr>
        <w:t xml:space="preserve">that </w:t>
      </w:r>
      <w:r w:rsidR="001D62D6">
        <w:rPr>
          <w:szCs w:val="26"/>
        </w:rPr>
        <w:t xml:space="preserve">the Complainant was provided with the requisite notice and opportunity to be heard and </w:t>
      </w:r>
      <w:r w:rsidR="00094355">
        <w:rPr>
          <w:szCs w:val="26"/>
        </w:rPr>
        <w:t xml:space="preserve">that </w:t>
      </w:r>
      <w:r w:rsidR="001D62D6">
        <w:rPr>
          <w:szCs w:val="26"/>
        </w:rPr>
        <w:t xml:space="preserve">her due process rights have been satisfied.  </w:t>
      </w:r>
      <w:r w:rsidR="00F15EAB">
        <w:rPr>
          <w:i/>
          <w:szCs w:val="26"/>
        </w:rPr>
        <w:t>See</w:t>
      </w:r>
      <w:r w:rsidR="000851ED">
        <w:rPr>
          <w:i/>
          <w:szCs w:val="26"/>
        </w:rPr>
        <w:t>,</w:t>
      </w:r>
      <w:r w:rsidR="00F15EAB">
        <w:rPr>
          <w:i/>
          <w:szCs w:val="26"/>
        </w:rPr>
        <w:t xml:space="preserve"> </w:t>
      </w:r>
      <w:r w:rsidR="001D62D6">
        <w:rPr>
          <w:i/>
          <w:szCs w:val="26"/>
        </w:rPr>
        <w:t>Schneider v. Pa. PUC</w:t>
      </w:r>
      <w:r w:rsidR="001D62D6">
        <w:rPr>
          <w:szCs w:val="26"/>
        </w:rPr>
        <w:t>, 479 A.2d 10 (Pa. Cmwlth. 1984).</w:t>
      </w:r>
      <w:r w:rsidR="00094355">
        <w:rPr>
          <w:szCs w:val="26"/>
        </w:rPr>
        <w:t xml:space="preserve">  </w:t>
      </w:r>
      <w:r w:rsidR="001D62D6">
        <w:rPr>
          <w:szCs w:val="26"/>
        </w:rPr>
        <w:t xml:space="preserve">        </w:t>
      </w:r>
    </w:p>
    <w:p w:rsidR="001D62D6" w:rsidRDefault="001D62D6" w:rsidP="001D62D6">
      <w:pPr>
        <w:spacing w:line="360" w:lineRule="auto"/>
        <w:ind w:firstLine="1440"/>
        <w:rPr>
          <w:szCs w:val="26"/>
        </w:rPr>
      </w:pPr>
    </w:p>
    <w:p w:rsidR="00B350EB" w:rsidRDefault="006A3879" w:rsidP="00BA1874">
      <w:pPr>
        <w:spacing w:line="360" w:lineRule="auto"/>
        <w:ind w:firstLine="1440"/>
      </w:pPr>
      <w:r>
        <w:rPr>
          <w:szCs w:val="26"/>
        </w:rPr>
        <w:t>Additionally,</w:t>
      </w:r>
      <w:r w:rsidR="00FB4D50">
        <w:rPr>
          <w:szCs w:val="26"/>
        </w:rPr>
        <w:t xml:space="preserve"> attached to the Exceptions, </w:t>
      </w:r>
      <w:r w:rsidR="0084336E">
        <w:t xml:space="preserve">the </w:t>
      </w:r>
      <w:r w:rsidR="000851ED">
        <w:t xml:space="preserve">Complainant submitted a </w:t>
      </w:r>
      <w:r w:rsidR="0084336E">
        <w:t>medical excuse covering the period on July 29, 2011</w:t>
      </w:r>
      <w:r w:rsidR="00607A42">
        <w:t>,</w:t>
      </w:r>
      <w:r w:rsidR="0084336E">
        <w:t xml:space="preserve"> during which the hearing was held</w:t>
      </w:r>
      <w:r w:rsidR="00B350EB">
        <w:t>.  Although the better procedure would have been for the Complainant to submit this excuse to the ALJ prior to the issuance of the Initial Decision, we find that this</w:t>
      </w:r>
      <w:r>
        <w:t xml:space="preserve"> </w:t>
      </w:r>
      <w:r w:rsidR="00B350EB">
        <w:t xml:space="preserve">excuse </w:t>
      </w:r>
      <w:r w:rsidR="0084336E">
        <w:t xml:space="preserve">demonstrates that the Complainant had good cause for not attending the hearing.  </w:t>
      </w:r>
    </w:p>
    <w:p w:rsidR="00B350EB" w:rsidRDefault="00B350EB" w:rsidP="00BA1874">
      <w:pPr>
        <w:spacing w:line="360" w:lineRule="auto"/>
        <w:ind w:firstLine="1440"/>
      </w:pPr>
    </w:p>
    <w:p w:rsidR="001D62D6" w:rsidRDefault="00BA5FB5" w:rsidP="00BA1874">
      <w:pPr>
        <w:spacing w:line="360" w:lineRule="auto"/>
        <w:ind w:firstLine="1440"/>
        <w:rPr>
          <w:szCs w:val="26"/>
        </w:rPr>
      </w:pPr>
      <w:r>
        <w:t xml:space="preserve">Under the circumstances in this case, it would not be appropriate to dismiss the Complaint.  </w:t>
      </w:r>
      <w:r w:rsidR="00D91273">
        <w:t>Our decision is consistent with our holding in</w:t>
      </w:r>
      <w:r w:rsidR="00D91273" w:rsidRPr="007828A8">
        <w:rPr>
          <w:szCs w:val="26"/>
        </w:rPr>
        <w:t xml:space="preserve"> </w:t>
      </w:r>
      <w:r w:rsidR="00D91273" w:rsidRPr="007828A8">
        <w:rPr>
          <w:i/>
          <w:szCs w:val="26"/>
        </w:rPr>
        <w:t>Carlock v. The United Telephone Company of Pennsylvania</w:t>
      </w:r>
      <w:r w:rsidR="00D91273" w:rsidRPr="007828A8">
        <w:rPr>
          <w:szCs w:val="26"/>
        </w:rPr>
        <w:t xml:space="preserve">, Docket No. F-00163617 (Order entered </w:t>
      </w:r>
      <w:r w:rsidR="00F94B7F">
        <w:rPr>
          <w:szCs w:val="26"/>
        </w:rPr>
        <w:t xml:space="preserve">             </w:t>
      </w:r>
      <w:r w:rsidR="00D91273" w:rsidRPr="007828A8">
        <w:rPr>
          <w:szCs w:val="26"/>
        </w:rPr>
        <w:t xml:space="preserve">July 14, 1993), </w:t>
      </w:r>
      <w:r w:rsidR="00D91273">
        <w:rPr>
          <w:szCs w:val="26"/>
        </w:rPr>
        <w:t xml:space="preserve">in which </w:t>
      </w:r>
      <w:r w:rsidR="00D91273" w:rsidRPr="007828A8">
        <w:rPr>
          <w:szCs w:val="26"/>
        </w:rPr>
        <w:t xml:space="preserve">we held that, in the normal course, we would not dismiss a </w:t>
      </w:r>
      <w:r w:rsidR="00D91273" w:rsidRPr="00527F92">
        <w:rPr>
          <w:i/>
          <w:szCs w:val="26"/>
        </w:rPr>
        <w:t>pro se</w:t>
      </w:r>
      <w:r w:rsidR="00D91273" w:rsidRPr="00527F92">
        <w:rPr>
          <w:szCs w:val="26"/>
        </w:rPr>
        <w:t xml:space="preserve"> complaint without first providing a hearing during which the </w:t>
      </w:r>
      <w:r w:rsidR="00D91273" w:rsidRPr="00527F92">
        <w:rPr>
          <w:i/>
          <w:szCs w:val="26"/>
        </w:rPr>
        <w:t>pro se</w:t>
      </w:r>
      <w:r w:rsidR="00D91273" w:rsidRPr="00527F92">
        <w:rPr>
          <w:szCs w:val="26"/>
        </w:rPr>
        <w:t xml:space="preserve"> complainant could further explain his or her position and the factual basis for the complaint.  </w:t>
      </w:r>
      <w:r w:rsidR="003A1ACF">
        <w:t xml:space="preserve">As such, we grant the Complainant’s Exception on this issue. </w:t>
      </w:r>
      <w:r w:rsidR="0084336E">
        <w:t xml:space="preserve"> </w:t>
      </w:r>
      <w:r w:rsidR="00FB4D50">
        <w:rPr>
          <w:szCs w:val="22"/>
        </w:rPr>
        <w:t xml:space="preserve">We shall therefore remand this </w:t>
      </w:r>
      <w:r w:rsidR="00FB4D50">
        <w:rPr>
          <w:szCs w:val="22"/>
        </w:rPr>
        <w:lastRenderedPageBreak/>
        <w:t>proceeding to the OALJ for such</w:t>
      </w:r>
      <w:r w:rsidR="00FB4D50" w:rsidRPr="009F11DD">
        <w:t xml:space="preserve"> </w:t>
      </w:r>
      <w:r w:rsidR="00FB4D50" w:rsidRPr="00266F27">
        <w:t>evidentiary hearings as deemed necessary and the issuance of an Initial Decision on Remand</w:t>
      </w:r>
      <w:r w:rsidR="0084336E">
        <w:t xml:space="preserve">   </w:t>
      </w:r>
      <w:r w:rsidR="006A3879">
        <w:t xml:space="preserve"> </w:t>
      </w:r>
      <w:r w:rsidR="006A3879" w:rsidRPr="00A129EC">
        <w:t xml:space="preserve"> </w:t>
      </w:r>
      <w:r w:rsidR="006A3879">
        <w:rPr>
          <w:szCs w:val="26"/>
        </w:rPr>
        <w:t xml:space="preserve">   </w:t>
      </w:r>
    </w:p>
    <w:p w:rsidR="007C1C08" w:rsidRDefault="007C1C08" w:rsidP="001248B9">
      <w:pPr>
        <w:spacing w:line="360" w:lineRule="auto"/>
        <w:ind w:firstLine="720"/>
        <w:rPr>
          <w:b/>
          <w:szCs w:val="26"/>
        </w:rPr>
      </w:pPr>
    </w:p>
    <w:p w:rsidR="001248B9" w:rsidRPr="004F621A" w:rsidRDefault="001248B9" w:rsidP="001248B9">
      <w:pPr>
        <w:spacing w:line="360" w:lineRule="auto"/>
        <w:ind w:firstLine="720"/>
        <w:rPr>
          <w:b/>
          <w:szCs w:val="26"/>
        </w:rPr>
      </w:pPr>
      <w:r>
        <w:rPr>
          <w:b/>
          <w:szCs w:val="26"/>
        </w:rPr>
        <w:t>C</w:t>
      </w:r>
      <w:r w:rsidRPr="004F621A">
        <w:rPr>
          <w:b/>
          <w:szCs w:val="26"/>
        </w:rPr>
        <w:t>.</w:t>
      </w:r>
      <w:r w:rsidRPr="004F621A">
        <w:rPr>
          <w:b/>
          <w:szCs w:val="26"/>
        </w:rPr>
        <w:tab/>
        <w:t xml:space="preserve">Motion for Summary Judgment </w:t>
      </w:r>
      <w:r w:rsidRPr="004F621A">
        <w:rPr>
          <w:b/>
          <w:szCs w:val="26"/>
        </w:rPr>
        <w:tab/>
      </w:r>
    </w:p>
    <w:p w:rsidR="008C4053" w:rsidRDefault="001248B9" w:rsidP="001248B9">
      <w:pPr>
        <w:spacing w:line="360" w:lineRule="auto"/>
        <w:rPr>
          <w:szCs w:val="24"/>
        </w:rPr>
      </w:pPr>
      <w:r w:rsidRPr="005870B1">
        <w:rPr>
          <w:szCs w:val="26"/>
        </w:rPr>
        <w:t xml:space="preserve">   </w:t>
      </w:r>
      <w:r w:rsidRPr="005870B1">
        <w:rPr>
          <w:szCs w:val="24"/>
        </w:rPr>
        <w:tab/>
      </w:r>
      <w:r w:rsidRPr="005870B1">
        <w:rPr>
          <w:szCs w:val="24"/>
        </w:rPr>
        <w:tab/>
      </w:r>
    </w:p>
    <w:p w:rsidR="00E578EA" w:rsidRDefault="001248B9" w:rsidP="001248B9">
      <w:pPr>
        <w:spacing w:line="360" w:lineRule="auto"/>
        <w:rPr>
          <w:b/>
          <w:szCs w:val="24"/>
        </w:rPr>
      </w:pPr>
      <w:r>
        <w:rPr>
          <w:szCs w:val="24"/>
        </w:rPr>
        <w:tab/>
      </w:r>
      <w:r>
        <w:rPr>
          <w:szCs w:val="24"/>
        </w:rPr>
        <w:tab/>
      </w:r>
      <w:r w:rsidRPr="00D437DF">
        <w:rPr>
          <w:b/>
          <w:szCs w:val="24"/>
        </w:rPr>
        <w:t>1.</w:t>
      </w:r>
      <w:r w:rsidRPr="00D437DF">
        <w:rPr>
          <w:b/>
          <w:szCs w:val="24"/>
        </w:rPr>
        <w:tab/>
        <w:t>Legal Standards</w:t>
      </w:r>
    </w:p>
    <w:p w:rsidR="001248B9" w:rsidRPr="00D437DF" w:rsidRDefault="001248B9" w:rsidP="001248B9">
      <w:pPr>
        <w:spacing w:line="360" w:lineRule="auto"/>
        <w:rPr>
          <w:b/>
          <w:szCs w:val="24"/>
        </w:rPr>
      </w:pPr>
      <w:r w:rsidRPr="00D437DF">
        <w:rPr>
          <w:b/>
          <w:szCs w:val="24"/>
        </w:rPr>
        <w:t xml:space="preserve"> </w:t>
      </w:r>
    </w:p>
    <w:p w:rsidR="001248B9" w:rsidRDefault="001248B9" w:rsidP="001248B9">
      <w:pPr>
        <w:spacing w:line="360" w:lineRule="auto"/>
        <w:rPr>
          <w:szCs w:val="24"/>
        </w:rPr>
      </w:pPr>
      <w:r>
        <w:rPr>
          <w:szCs w:val="24"/>
        </w:rPr>
        <w:tab/>
      </w:r>
      <w:r>
        <w:rPr>
          <w:szCs w:val="24"/>
        </w:rPr>
        <w:tab/>
        <w:t xml:space="preserve">Motions for summary judgment are governed by the Commission’s Regulations at 52 Pa. Code § 5.102.  Section 5.102(a) provides the following:  </w:t>
      </w:r>
    </w:p>
    <w:p w:rsidR="001248B9" w:rsidRDefault="001248B9" w:rsidP="001248B9">
      <w:pPr>
        <w:ind w:left="1440" w:right="1440"/>
      </w:pPr>
      <w:r>
        <w:t>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1248B9" w:rsidRDefault="001248B9" w:rsidP="001248B9">
      <w:pPr>
        <w:ind w:left="1440" w:right="1440"/>
      </w:pPr>
    </w:p>
    <w:p w:rsidR="001248B9" w:rsidRDefault="001248B9" w:rsidP="001248B9">
      <w:pPr>
        <w:spacing w:line="360" w:lineRule="auto"/>
        <w:rPr>
          <w:szCs w:val="24"/>
        </w:rPr>
      </w:pPr>
      <w:r>
        <w:t xml:space="preserve">Additionally, “[a] motion for summary judgment must be based on the pleadings and depositions, answers to interrogatories, admissions and supporting affidavits.”  </w:t>
      </w:r>
      <w:r w:rsidR="00F94B7F">
        <w:t xml:space="preserve">             </w:t>
      </w:r>
      <w:r>
        <w:t xml:space="preserve">52 Pa. Code </w:t>
      </w:r>
      <w:r>
        <w:rPr>
          <w:szCs w:val="24"/>
        </w:rPr>
        <w:t>§ 5.102(c).  A motion for summary judgment will be granted only “</w:t>
      </w:r>
      <w:r>
        <w:t xml:space="preserve">if the applicable pleadings, depositions, answers to interrogatories and admissions, together with affidavits, if any, show that there is no genuine issue as to a material fact and that the moving party is entitled to a judgment as a matter of law.”  </w:t>
      </w:r>
      <w:r w:rsidR="00CF689A">
        <w:t xml:space="preserve">52 Pa. Code </w:t>
      </w:r>
      <w:r w:rsidR="00CF689A">
        <w:rPr>
          <w:szCs w:val="24"/>
        </w:rPr>
        <w:t>§ 5.102</w:t>
      </w:r>
      <w:r w:rsidR="00CF689A">
        <w:t xml:space="preserve">(d)(1).  </w:t>
      </w:r>
      <w:r>
        <w:t>A motion for summary judgment</w:t>
      </w:r>
      <w:r>
        <w:rPr>
          <w:szCs w:val="26"/>
        </w:rPr>
        <w:t xml:space="preserve">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Pr>
          <w:i/>
          <w:szCs w:val="26"/>
        </w:rPr>
        <w:t>Day v. Volkswagonwerk Aktiengesellschaft</w:t>
      </w:r>
      <w:r>
        <w:rPr>
          <w:szCs w:val="26"/>
        </w:rPr>
        <w:t>, 464 A.2d 1313, 1316 (Pa. Super. Ct. 1983).</w:t>
      </w:r>
      <w:r>
        <w:t xml:space="preserve">   </w:t>
      </w:r>
      <w:r>
        <w:rPr>
          <w:szCs w:val="24"/>
        </w:rPr>
        <w:tab/>
      </w:r>
    </w:p>
    <w:p w:rsidR="001248B9" w:rsidRDefault="001248B9" w:rsidP="001248B9">
      <w:pPr>
        <w:spacing w:line="360" w:lineRule="auto"/>
        <w:rPr>
          <w:szCs w:val="24"/>
        </w:rPr>
      </w:pPr>
    </w:p>
    <w:p w:rsidR="00F94B7F" w:rsidRDefault="00F94B7F" w:rsidP="001248B9">
      <w:pPr>
        <w:spacing w:line="360" w:lineRule="auto"/>
        <w:rPr>
          <w:szCs w:val="24"/>
        </w:rPr>
      </w:pPr>
    </w:p>
    <w:p w:rsidR="00F94B7F" w:rsidRDefault="00F94B7F" w:rsidP="001248B9">
      <w:pPr>
        <w:spacing w:line="360" w:lineRule="auto"/>
        <w:rPr>
          <w:szCs w:val="24"/>
        </w:rPr>
      </w:pPr>
    </w:p>
    <w:p w:rsidR="00F94B7F" w:rsidRPr="005870B1" w:rsidRDefault="00F94B7F" w:rsidP="001248B9">
      <w:pPr>
        <w:spacing w:line="360" w:lineRule="auto"/>
        <w:rPr>
          <w:szCs w:val="24"/>
        </w:rPr>
      </w:pPr>
    </w:p>
    <w:p w:rsidR="001248B9" w:rsidRPr="00241868" w:rsidRDefault="001248B9" w:rsidP="001248B9">
      <w:pPr>
        <w:ind w:left="1440"/>
        <w:rPr>
          <w:b/>
        </w:rPr>
      </w:pPr>
      <w:r>
        <w:rPr>
          <w:b/>
        </w:rPr>
        <w:lastRenderedPageBreak/>
        <w:t>2.</w:t>
      </w:r>
      <w:r>
        <w:rPr>
          <w:b/>
        </w:rPr>
        <w:tab/>
      </w:r>
      <w:r w:rsidRPr="00241868">
        <w:rPr>
          <w:b/>
        </w:rPr>
        <w:t xml:space="preserve">ALJ’s Recommendation </w:t>
      </w:r>
    </w:p>
    <w:p w:rsidR="001248B9" w:rsidRPr="00081EEF" w:rsidRDefault="001248B9" w:rsidP="001248B9"/>
    <w:p w:rsidR="001248B9" w:rsidRDefault="001248B9" w:rsidP="001248B9"/>
    <w:p w:rsidR="001248B9" w:rsidRDefault="001248B9" w:rsidP="001248B9">
      <w:pPr>
        <w:spacing w:line="360" w:lineRule="auto"/>
        <w:ind w:firstLine="720"/>
      </w:pPr>
      <w:r>
        <w:tab/>
        <w:t xml:space="preserve">In the Initial Decision, the ALJ found that because the Parties’ pleadings revealed a disagreement between the Complainant, PECO, and Commerce over material facts, the Complainant was not entitled to judgment as a matter of law.  The ALJ also determined that the Motion was submitted at such a time </w:t>
      </w:r>
      <w:r w:rsidR="00DB5701">
        <w:t xml:space="preserve">as </w:t>
      </w:r>
      <w:r>
        <w:t xml:space="preserve">to delay the scheduled hearing.  Furthermore, the ALJ noted that the Motion was deficient because it did not contain the requisite Notice to Plead and was not based on depositions, answers to interrogatories, admissions and supporting affidavits.  I.D. at 6.  </w:t>
      </w:r>
    </w:p>
    <w:p w:rsidR="00DB5701" w:rsidRDefault="00DB5701" w:rsidP="001248B9">
      <w:pPr>
        <w:tabs>
          <w:tab w:val="left" w:pos="1440"/>
        </w:tabs>
        <w:spacing w:line="360" w:lineRule="auto"/>
        <w:ind w:left="1440"/>
        <w:rPr>
          <w:b/>
        </w:rPr>
      </w:pPr>
    </w:p>
    <w:p w:rsidR="001248B9" w:rsidRPr="004F621A" w:rsidRDefault="001248B9" w:rsidP="001248B9">
      <w:pPr>
        <w:tabs>
          <w:tab w:val="left" w:pos="1440"/>
        </w:tabs>
        <w:spacing w:line="360" w:lineRule="auto"/>
        <w:ind w:left="1440"/>
        <w:rPr>
          <w:b/>
        </w:rPr>
      </w:pPr>
      <w:r>
        <w:rPr>
          <w:b/>
        </w:rPr>
        <w:t>3</w:t>
      </w:r>
      <w:r w:rsidRPr="004F621A">
        <w:rPr>
          <w:b/>
        </w:rPr>
        <w:t>.</w:t>
      </w:r>
      <w:r>
        <w:rPr>
          <w:b/>
        </w:rPr>
        <w:tab/>
      </w:r>
      <w:r w:rsidRPr="004F621A">
        <w:rPr>
          <w:b/>
        </w:rPr>
        <w:t xml:space="preserve">Positions of the Parties </w:t>
      </w:r>
      <w:r>
        <w:rPr>
          <w:b/>
        </w:rPr>
        <w:t xml:space="preserve"> </w:t>
      </w:r>
      <w:r w:rsidRPr="004F621A">
        <w:rPr>
          <w:b/>
        </w:rPr>
        <w:tab/>
      </w:r>
      <w:r w:rsidRPr="004F621A">
        <w:rPr>
          <w:b/>
        </w:rPr>
        <w:tab/>
      </w:r>
    </w:p>
    <w:p w:rsidR="001248B9" w:rsidRDefault="001248B9" w:rsidP="001248B9">
      <w:pPr>
        <w:spacing w:line="360" w:lineRule="auto"/>
        <w:ind w:firstLine="720"/>
      </w:pPr>
    </w:p>
    <w:p w:rsidR="001248B9" w:rsidRDefault="001248B9" w:rsidP="001248B9">
      <w:pPr>
        <w:spacing w:line="360" w:lineRule="auto"/>
        <w:ind w:firstLine="720"/>
      </w:pPr>
      <w:r>
        <w:tab/>
        <w:t xml:space="preserve">In her Exceptions, the Complainant avers that the Motion she filed on September 20, 2011 was submitted in a timely manner.  Exc. at 3.  She also avers that PECO and Commerce improperly refused to file a response to the Motion.  </w:t>
      </w:r>
      <w:r w:rsidRPr="00CA0BA4">
        <w:rPr>
          <w:i/>
        </w:rPr>
        <w:t>Id</w:t>
      </w:r>
      <w:r>
        <w:t xml:space="preserve">. at 3, 4.  Further, the Complainant asserts that the ALJ should have granted the Motion because there are no genuine issues of material fact to be decided in this proceeding.  </w:t>
      </w:r>
      <w:r w:rsidRPr="00CA0BA4">
        <w:rPr>
          <w:i/>
        </w:rPr>
        <w:t>Id</w:t>
      </w:r>
      <w:r>
        <w:t xml:space="preserve">. at 5.  </w:t>
      </w:r>
    </w:p>
    <w:p w:rsidR="001248B9" w:rsidRDefault="001248B9" w:rsidP="001248B9">
      <w:pPr>
        <w:spacing w:line="360" w:lineRule="auto"/>
        <w:ind w:firstLine="720"/>
      </w:pPr>
    </w:p>
    <w:p w:rsidR="001248B9" w:rsidRDefault="001248B9" w:rsidP="00F94B7F">
      <w:pPr>
        <w:spacing w:line="360" w:lineRule="auto"/>
        <w:ind w:firstLine="720"/>
      </w:pPr>
      <w:r>
        <w:tab/>
        <w:t>In its Replies to Exceptions, Commerce states that the ALJ correctly determined that the Complainant’s Motion was untimely.  Commerce state</w:t>
      </w:r>
      <w:r w:rsidR="00FB4D50">
        <w:t>s</w:t>
      </w:r>
      <w:r>
        <w:t xml:space="preserve"> that</w:t>
      </w:r>
      <w:r w:rsidR="00FB4D50">
        <w:t>,</w:t>
      </w:r>
      <w:r>
        <w:t xml:space="preserve"> because the Complainant submitted the Motion on the eve of the hearing scheduled for </w:t>
      </w:r>
      <w:r w:rsidR="00F94B7F">
        <w:t xml:space="preserve">            </w:t>
      </w:r>
      <w:r>
        <w:t xml:space="preserve">July 29, 2011, the Motion was submitted at such a time as to delay the scheduled hearing in contravention of Section 5.102(a) of the Commission’s Regulations, </w:t>
      </w:r>
      <w:r w:rsidR="00F94B7F">
        <w:t xml:space="preserve">                           </w:t>
      </w:r>
      <w:r>
        <w:t>52 Pa. Code § 5.102(a).  Commerce also agreed with the ALJ that the Complainant’s Motion was deficient for numerous reasons, including that the Motion did not contain a Notice to Plead and was not based on pleadings and depositions, answers to interrogatories, or admissions and supporting affidavits as required by the Commission’s Regulations.  R.Exc. at 4.  Moreover, Commerce averred that</w:t>
      </w:r>
      <w:r w:rsidR="00FB4D50">
        <w:t>,</w:t>
      </w:r>
      <w:r>
        <w:t xml:space="preserve"> because the pleadings in this case reveal a disagreement between the Complainant, PECO, and Commerce over </w:t>
      </w:r>
      <w:r>
        <w:lastRenderedPageBreak/>
        <w:t xml:space="preserve">material facts, the ALJ correctly determined that the Complainant was not entitled to judgment as a matter of law.  </w:t>
      </w:r>
      <w:r w:rsidRPr="00AF0B1E">
        <w:rPr>
          <w:i/>
        </w:rPr>
        <w:t>Id</w:t>
      </w:r>
      <w:r>
        <w:t xml:space="preserve">. at 5.                 </w:t>
      </w:r>
    </w:p>
    <w:p w:rsidR="007C1C08" w:rsidRDefault="007C1C08" w:rsidP="00BA1874">
      <w:pPr>
        <w:spacing w:line="360" w:lineRule="auto"/>
        <w:ind w:firstLine="1440"/>
        <w:rPr>
          <w:b/>
          <w:szCs w:val="26"/>
        </w:rPr>
      </w:pPr>
    </w:p>
    <w:p w:rsidR="001248B9" w:rsidRPr="001248B9" w:rsidRDefault="001248B9" w:rsidP="00BA1874">
      <w:pPr>
        <w:spacing w:line="360" w:lineRule="auto"/>
        <w:ind w:firstLine="1440"/>
        <w:rPr>
          <w:b/>
          <w:szCs w:val="26"/>
        </w:rPr>
      </w:pPr>
      <w:r w:rsidRPr="001248B9">
        <w:rPr>
          <w:b/>
          <w:szCs w:val="26"/>
        </w:rPr>
        <w:t>4.</w:t>
      </w:r>
      <w:r w:rsidRPr="001248B9">
        <w:rPr>
          <w:b/>
          <w:szCs w:val="26"/>
        </w:rPr>
        <w:tab/>
        <w:t xml:space="preserve">Disposition </w:t>
      </w:r>
    </w:p>
    <w:p w:rsidR="001248B9" w:rsidRDefault="001248B9" w:rsidP="00BA1874">
      <w:pPr>
        <w:spacing w:line="360" w:lineRule="auto"/>
        <w:ind w:firstLine="1440"/>
        <w:rPr>
          <w:szCs w:val="26"/>
        </w:rPr>
      </w:pPr>
    </w:p>
    <w:p w:rsidR="00E578EA" w:rsidRDefault="00E578EA" w:rsidP="00BA1874">
      <w:pPr>
        <w:spacing w:line="360" w:lineRule="auto"/>
        <w:ind w:firstLine="1440"/>
      </w:pPr>
      <w:r>
        <w:rPr>
          <w:szCs w:val="26"/>
        </w:rPr>
        <w:t xml:space="preserve">Based upon our review of this </w:t>
      </w:r>
      <w:r w:rsidR="00513681">
        <w:rPr>
          <w:szCs w:val="26"/>
        </w:rPr>
        <w:t>Exception</w:t>
      </w:r>
      <w:r>
        <w:rPr>
          <w:szCs w:val="26"/>
        </w:rPr>
        <w:t>, we agree with the ALJ’s determination that the Complainant’s Motion for Summary Judgment should be denied.  It is clear from the Parties’ pleadings that there is</w:t>
      </w:r>
      <w:r w:rsidRPr="00E578EA">
        <w:t xml:space="preserve"> </w:t>
      </w:r>
      <w:r>
        <w:t xml:space="preserve">a disagreement between the Complainant, PECO, and Commerce over material facts.  </w:t>
      </w:r>
      <w:r w:rsidR="004E7884">
        <w:t xml:space="preserve">We also agree with the ALJ that the Complainant’s Motion was filed in such a manner as to delay the scheduled hearing and that the Motion was deficient in several respects.  Accordingly, we shall deny the Complainant’s Exception on this issue.    </w:t>
      </w:r>
      <w:r>
        <w:t xml:space="preserve">  </w:t>
      </w:r>
    </w:p>
    <w:p w:rsidR="00713464" w:rsidRDefault="00713464" w:rsidP="00BA1874">
      <w:pPr>
        <w:spacing w:line="360" w:lineRule="auto"/>
        <w:ind w:firstLine="1440"/>
      </w:pPr>
    </w:p>
    <w:p w:rsidR="00266F27" w:rsidRPr="00266F27" w:rsidRDefault="00713464" w:rsidP="00266F27">
      <w:pPr>
        <w:spacing w:line="360" w:lineRule="auto"/>
        <w:ind w:firstLine="1440"/>
      </w:pPr>
      <w:r>
        <w:t xml:space="preserve">By denying the Motion, we are providing the Parties with an opportunity to be heard on the issues regarding whether the charges on the Complainant’s electric bill are correct and whether termination of the Complainant’s electric service was proper.  </w:t>
      </w:r>
      <w:r w:rsidR="00D57058">
        <w:t xml:space="preserve">Consistent with our </w:t>
      </w:r>
      <w:r w:rsidR="00CF471F">
        <w:t>decision regarding</w:t>
      </w:r>
      <w:r w:rsidR="00D57058">
        <w:t xml:space="preserve"> the Motion and our decision, above, not to dismiss the Complaint, we shall remand this proceeding to the OALJ </w:t>
      </w:r>
      <w:r w:rsidR="00266F27" w:rsidRPr="00266F27">
        <w:t>for such evidentiary hearings as deemed necessary and the issuance of an Initial Decision on Remand.</w:t>
      </w:r>
      <w:r w:rsidR="00266F27">
        <w:t xml:space="preserve">  </w:t>
      </w:r>
      <w:r w:rsidR="00266F27" w:rsidRPr="00266F27">
        <w:t xml:space="preserve">  </w:t>
      </w:r>
    </w:p>
    <w:p w:rsidR="00713464" w:rsidRDefault="00D57058" w:rsidP="00BA1874">
      <w:pPr>
        <w:spacing w:line="360" w:lineRule="auto"/>
        <w:ind w:firstLine="1440"/>
      </w:pPr>
      <w:r>
        <w:t xml:space="preserve">   </w:t>
      </w:r>
    </w:p>
    <w:p w:rsidR="00BC1B7D" w:rsidRDefault="005C446F" w:rsidP="009F11DD">
      <w:pPr>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Pr="007828A8" w:rsidRDefault="000A4744" w:rsidP="00066A76">
      <w:pPr>
        <w:spacing w:line="360" w:lineRule="auto"/>
        <w:rPr>
          <w:szCs w:val="26"/>
        </w:rPr>
      </w:pPr>
      <w:r w:rsidRPr="00A55BFB">
        <w:rPr>
          <w:b/>
          <w:szCs w:val="22"/>
        </w:rPr>
        <w:tab/>
      </w:r>
      <w:r w:rsidRPr="00A55BFB">
        <w:rPr>
          <w:b/>
          <w:szCs w:val="22"/>
        </w:rPr>
        <w:tab/>
      </w:r>
      <w:r w:rsidRPr="00A55BFB">
        <w:rPr>
          <w:szCs w:val="22"/>
        </w:rPr>
        <w:t xml:space="preserve">Based upon our review of the </w:t>
      </w:r>
      <w:r w:rsidR="005C5EA3">
        <w:rPr>
          <w:szCs w:val="22"/>
        </w:rPr>
        <w:t xml:space="preserve">Exceptions, the Initial Decision, and the record in this proceeding, including the Parties’ filings, we shall grant the Exceptions, in part, deny the Exceptions, in part, and modify the Initial Decision, consistent with this Opinion and Order.  We </w:t>
      </w:r>
      <w:r w:rsidR="00FB4D50">
        <w:rPr>
          <w:szCs w:val="22"/>
        </w:rPr>
        <w:t xml:space="preserve">shall </w:t>
      </w:r>
      <w:r w:rsidR="005C5EA3">
        <w:rPr>
          <w:szCs w:val="22"/>
        </w:rPr>
        <w:t xml:space="preserve">also </w:t>
      </w:r>
      <w:r w:rsidR="009F11DD">
        <w:rPr>
          <w:szCs w:val="22"/>
        </w:rPr>
        <w:t>remand this proceeding to the OALJ for such</w:t>
      </w:r>
      <w:r w:rsidR="009F11DD" w:rsidRPr="009F11DD">
        <w:t xml:space="preserve"> </w:t>
      </w:r>
      <w:r w:rsidR="009F11DD" w:rsidRPr="00266F27">
        <w:t>evidentiary hearings as deemed necessary and the issuance of an Initial Decision on Remand</w:t>
      </w:r>
      <w:r w:rsidR="0044197C" w:rsidRPr="00A55BFB">
        <w:rPr>
          <w:szCs w:val="22"/>
        </w:rPr>
        <w:t xml:space="preserve">; </w:t>
      </w:r>
      <w:r w:rsidR="00066A76" w:rsidRPr="007828A8">
        <w:rPr>
          <w:b/>
          <w:szCs w:val="26"/>
        </w:rPr>
        <w:t>THEREFORE,</w:t>
      </w:r>
      <w:r w:rsidR="00066A76" w:rsidRPr="007828A8">
        <w:rPr>
          <w:szCs w:val="26"/>
        </w:rPr>
        <w:t xml:space="preserve"> </w:t>
      </w:r>
    </w:p>
    <w:p w:rsidR="00066A76" w:rsidRPr="00066A76" w:rsidRDefault="00066A76" w:rsidP="00066A76">
      <w:pPr>
        <w:spacing w:line="360" w:lineRule="auto"/>
        <w:rPr>
          <w:szCs w:val="26"/>
        </w:rPr>
      </w:pPr>
      <w:r w:rsidRPr="00066A76">
        <w:rPr>
          <w:szCs w:val="26"/>
        </w:rPr>
        <w:tab/>
      </w:r>
      <w:r w:rsidRPr="00066A76">
        <w:rPr>
          <w:szCs w:val="26"/>
        </w:rPr>
        <w:tab/>
      </w:r>
    </w:p>
    <w:p w:rsidR="00066A76" w:rsidRPr="00066A76" w:rsidRDefault="00066A76" w:rsidP="00F94B7F">
      <w:pPr>
        <w:spacing w:line="360" w:lineRule="auto"/>
        <w:rPr>
          <w:b/>
          <w:szCs w:val="26"/>
        </w:rPr>
      </w:pPr>
      <w:r w:rsidRPr="00066A76">
        <w:rPr>
          <w:szCs w:val="26"/>
        </w:rPr>
        <w:lastRenderedPageBreak/>
        <w:tab/>
      </w:r>
      <w:r w:rsidRPr="00066A76">
        <w:rPr>
          <w:szCs w:val="26"/>
        </w:rPr>
        <w:tab/>
      </w: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9F11DD">
        <w:rPr>
          <w:szCs w:val="26"/>
        </w:rPr>
        <w:t>E.C. Smart</w:t>
      </w:r>
      <w:r>
        <w:rPr>
          <w:szCs w:val="26"/>
        </w:rPr>
        <w:t xml:space="preserve"> are </w:t>
      </w:r>
      <w:r w:rsidR="009F11DD">
        <w:rPr>
          <w:szCs w:val="26"/>
        </w:rPr>
        <w:t xml:space="preserve">granted, in part, and </w:t>
      </w:r>
      <w:r>
        <w:rPr>
          <w:szCs w:val="26"/>
        </w:rPr>
        <w:t>denied,</w:t>
      </w:r>
      <w:r w:rsidR="009F11DD">
        <w:rPr>
          <w:szCs w:val="26"/>
        </w:rPr>
        <w:t xml:space="preserve"> in part,</w:t>
      </w:r>
      <w:r>
        <w:rPr>
          <w:szCs w:val="26"/>
        </w:rPr>
        <w:t xml:space="preserve"> consistent with this Opinion and Order.</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F94B7F">
        <w:rPr>
          <w:szCs w:val="26"/>
        </w:rPr>
        <w:t xml:space="preserve">      </w:t>
      </w:r>
      <w:r w:rsidR="009F11DD">
        <w:rPr>
          <w:szCs w:val="26"/>
        </w:rPr>
        <w:t>Christopher P. Pell</w:t>
      </w:r>
      <w:r>
        <w:rPr>
          <w:szCs w:val="26"/>
        </w:rPr>
        <w:t xml:space="preserve">, issued September </w:t>
      </w:r>
      <w:r w:rsidR="009F11DD">
        <w:rPr>
          <w:szCs w:val="26"/>
        </w:rPr>
        <w:t>6</w:t>
      </w:r>
      <w:r>
        <w:rPr>
          <w:szCs w:val="26"/>
        </w:rPr>
        <w:t xml:space="preserve">, 2011, is </w:t>
      </w:r>
      <w:r w:rsidR="009F11DD">
        <w:rPr>
          <w:szCs w:val="26"/>
        </w:rPr>
        <w:t>modified</w:t>
      </w:r>
      <w:r>
        <w:rPr>
          <w:szCs w:val="26"/>
        </w:rPr>
        <w:t xml:space="preserve">, consistent with this Opinion and Order.  </w:t>
      </w:r>
    </w:p>
    <w:p w:rsidR="00066A76" w:rsidRDefault="00066A76" w:rsidP="00066A76">
      <w:pPr>
        <w:spacing w:line="360" w:lineRule="auto"/>
        <w:rPr>
          <w:szCs w:val="26"/>
        </w:rPr>
      </w:pPr>
    </w:p>
    <w:p w:rsidR="00066A76" w:rsidRDefault="00066A76" w:rsidP="00066A76">
      <w:pPr>
        <w:spacing w:line="360" w:lineRule="auto"/>
        <w:rPr>
          <w:szCs w:val="26"/>
        </w:rPr>
      </w:pPr>
      <w:r>
        <w:rPr>
          <w:szCs w:val="26"/>
        </w:rPr>
        <w:tab/>
      </w:r>
      <w:r>
        <w:rPr>
          <w:szCs w:val="26"/>
        </w:rPr>
        <w:tab/>
        <w:t>3.</w:t>
      </w:r>
      <w:r>
        <w:rPr>
          <w:szCs w:val="26"/>
        </w:rPr>
        <w:tab/>
        <w:t xml:space="preserve">That </w:t>
      </w:r>
      <w:r w:rsidR="009F11DD">
        <w:rPr>
          <w:szCs w:val="26"/>
        </w:rPr>
        <w:t xml:space="preserve">E.C. Smart’s Motion for Summary Judgment against PECO Energy Company and Commerce Energy, Inc., at Docket Nos. C-2010-2193243 and </w:t>
      </w:r>
      <w:r w:rsidR="003127A4">
        <w:rPr>
          <w:szCs w:val="26"/>
        </w:rPr>
        <w:br/>
      </w:r>
      <w:r w:rsidR="009F11DD">
        <w:rPr>
          <w:szCs w:val="26"/>
        </w:rPr>
        <w:t xml:space="preserve">C-2010-2193415, is denied.  </w:t>
      </w:r>
    </w:p>
    <w:p w:rsidR="00066A76" w:rsidRDefault="00066A76" w:rsidP="00066A76">
      <w:pPr>
        <w:spacing w:line="360" w:lineRule="auto"/>
        <w:rPr>
          <w:szCs w:val="26"/>
        </w:rPr>
      </w:pPr>
    </w:p>
    <w:p w:rsidR="00066A76" w:rsidRDefault="00066A76" w:rsidP="009F11DD">
      <w:pPr>
        <w:spacing w:line="360" w:lineRule="auto"/>
        <w:rPr>
          <w:szCs w:val="26"/>
        </w:rPr>
      </w:pPr>
      <w:r>
        <w:rPr>
          <w:szCs w:val="26"/>
        </w:rPr>
        <w:tab/>
      </w:r>
      <w:r>
        <w:rPr>
          <w:szCs w:val="26"/>
        </w:rPr>
        <w:tab/>
      </w:r>
      <w:r w:rsidR="009F11DD">
        <w:rPr>
          <w:szCs w:val="26"/>
        </w:rPr>
        <w:t>4.</w:t>
      </w:r>
      <w:r w:rsidR="009F11DD">
        <w:rPr>
          <w:szCs w:val="26"/>
        </w:rPr>
        <w:tab/>
        <w:t xml:space="preserve">That this proceeding is remanded </w:t>
      </w:r>
      <w:r w:rsidR="009F11DD">
        <w:rPr>
          <w:szCs w:val="22"/>
        </w:rPr>
        <w:t>to the OALJ for such</w:t>
      </w:r>
      <w:r w:rsidR="009F11DD" w:rsidRPr="009F11DD">
        <w:t xml:space="preserve"> </w:t>
      </w:r>
      <w:r w:rsidR="009F11DD" w:rsidRPr="00266F27">
        <w:t>evidentiary hearings as deemed necessary and the issuance of an Initial Decision on Remand</w:t>
      </w:r>
      <w:r w:rsidR="00CF471F">
        <w:t>.</w:t>
      </w:r>
    </w:p>
    <w:p w:rsidR="00066A76" w:rsidRPr="00066A76" w:rsidRDefault="00066A76" w:rsidP="00066A76">
      <w:pPr>
        <w:spacing w:line="360" w:lineRule="auto"/>
        <w:rPr>
          <w:szCs w:val="26"/>
        </w:rPr>
      </w:pPr>
    </w:p>
    <w:p w:rsidR="00066A76" w:rsidRPr="00066A76" w:rsidRDefault="00A74E37" w:rsidP="00066A76">
      <w:pPr>
        <w:spacing w:line="360" w:lineRule="auto"/>
        <w:rPr>
          <w:szCs w:val="24"/>
        </w:rPr>
      </w:pPr>
      <w:r>
        <w:rPr>
          <w:noProof/>
        </w:rPr>
        <w:drawing>
          <wp:anchor distT="0" distB="0" distL="114300" distR="114300" simplePos="0" relativeHeight="251658240" behindDoc="1" locked="0" layoutInCell="1" allowOverlap="1" wp14:anchorId="0FA523CE" wp14:editId="4D5B5EBE">
            <wp:simplePos x="0" y="0"/>
            <wp:positionH relativeFrom="column">
              <wp:posOffset>2952750</wp:posOffset>
            </wp:positionH>
            <wp:positionV relativeFrom="paragraph">
              <wp:posOffset>111125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C442B4">
        <w:rPr>
          <w:szCs w:val="24"/>
        </w:rPr>
        <w:t>January 27</w:t>
      </w:r>
      <w:r w:rsidRPr="00066A76">
        <w:rPr>
          <w:szCs w:val="24"/>
        </w:rPr>
        <w:t>, 201</w:t>
      </w:r>
      <w:r w:rsidR="00C442B4">
        <w:rPr>
          <w:szCs w:val="24"/>
        </w:rPr>
        <w:t>2</w:t>
      </w:r>
      <w:r w:rsidRPr="00066A76">
        <w:rPr>
          <w:szCs w:val="24"/>
        </w:rPr>
        <w:t xml:space="preserve"> </w:t>
      </w:r>
    </w:p>
    <w:p w:rsidR="00066A76" w:rsidRPr="00066A76" w:rsidRDefault="00066A76" w:rsidP="00066A76">
      <w:pPr>
        <w:tabs>
          <w:tab w:val="left" w:pos="-720"/>
        </w:tabs>
        <w:suppressAutoHyphens/>
        <w:rPr>
          <w:szCs w:val="24"/>
        </w:rPr>
      </w:pPr>
    </w:p>
    <w:p w:rsidR="00066A76" w:rsidRPr="00066A76" w:rsidRDefault="00066A76" w:rsidP="00F63337">
      <w:pPr>
        <w:tabs>
          <w:tab w:val="left" w:pos="-720"/>
        </w:tabs>
        <w:suppressAutoHyphens/>
        <w:rPr>
          <w:sz w:val="24"/>
          <w:szCs w:val="24"/>
        </w:rPr>
      </w:pPr>
      <w:r w:rsidRPr="00066A76">
        <w:rPr>
          <w:szCs w:val="24"/>
        </w:rPr>
        <w:t>ORDER ENTERED:</w:t>
      </w:r>
      <w:r w:rsidR="006028DA">
        <w:rPr>
          <w:szCs w:val="24"/>
        </w:rPr>
        <w:t xml:space="preserve">  </w:t>
      </w:r>
      <w:r w:rsidR="00A74E37">
        <w:rPr>
          <w:szCs w:val="24"/>
        </w:rPr>
        <w:t>January 27, 2012</w:t>
      </w:r>
      <w:bookmarkStart w:id="1" w:name="_GoBack"/>
      <w:bookmarkEnd w:id="1"/>
    </w:p>
    <w:p w:rsidR="00BC1B7D" w:rsidRPr="00BC1B7D" w:rsidRDefault="000A4744" w:rsidP="00F63337">
      <w:pPr>
        <w:spacing w:line="360" w:lineRule="auto"/>
      </w:pPr>
      <w:r>
        <w:rPr>
          <w:rFonts w:ascii="Times New (W1)" w:hAnsi="Times New (W1)"/>
          <w:szCs w:val="22"/>
        </w:rPr>
        <w:t xml:space="preserve">  </w:t>
      </w:r>
      <w:r w:rsidRPr="000A4744">
        <w:rPr>
          <w:rFonts w:ascii="Times New (W1)" w:hAnsi="Times New (W1)"/>
          <w:szCs w:val="22"/>
        </w:rPr>
        <w:t xml:space="preserve"> </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36" w:rsidRDefault="00E72936" w:rsidP="00567496">
      <w:r>
        <w:separator/>
      </w:r>
    </w:p>
  </w:endnote>
  <w:endnote w:type="continuationSeparator" w:id="0">
    <w:p w:rsidR="00E72936" w:rsidRDefault="00E72936"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B0428F" w:rsidRDefault="00B0428F">
        <w:pPr>
          <w:pStyle w:val="Footer"/>
          <w:jc w:val="center"/>
        </w:pPr>
        <w:r>
          <w:fldChar w:fldCharType="begin"/>
        </w:r>
        <w:r>
          <w:instrText xml:space="preserve"> PAGE   \* MERGEFORMAT </w:instrText>
        </w:r>
        <w:r>
          <w:fldChar w:fldCharType="separate"/>
        </w:r>
        <w:r w:rsidR="00A74E37">
          <w:rPr>
            <w:noProof/>
          </w:rPr>
          <w:t>13</w:t>
        </w:r>
        <w:r>
          <w:rPr>
            <w:noProof/>
          </w:rPr>
          <w:fldChar w:fldCharType="end"/>
        </w:r>
      </w:p>
    </w:sdtContent>
  </w:sdt>
  <w:p w:rsidR="00B0428F" w:rsidRDefault="00B04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36" w:rsidRDefault="00E72936" w:rsidP="00567496">
      <w:r>
        <w:separator/>
      </w:r>
    </w:p>
  </w:footnote>
  <w:footnote w:type="continuationSeparator" w:id="0">
    <w:p w:rsidR="00E72936" w:rsidRDefault="00E72936" w:rsidP="00567496">
      <w:r>
        <w:continuationSeparator/>
      </w:r>
    </w:p>
  </w:footnote>
  <w:footnote w:id="1">
    <w:p w:rsidR="00021A4A" w:rsidRDefault="00021A4A" w:rsidP="00021A4A">
      <w:pPr>
        <w:pStyle w:val="FootnoteText"/>
        <w:ind w:firstLine="720"/>
      </w:pPr>
      <w:r w:rsidRPr="00021A4A">
        <w:rPr>
          <w:rStyle w:val="FootnoteReference"/>
          <w:sz w:val="22"/>
          <w:szCs w:val="22"/>
        </w:rPr>
        <w:footnoteRef/>
      </w:r>
      <w:r w:rsidRPr="00021A4A">
        <w:rPr>
          <w:sz w:val="22"/>
          <w:szCs w:val="22"/>
        </w:rPr>
        <w:t xml:space="preserve"> </w:t>
      </w:r>
      <w:r>
        <w:tab/>
      </w:r>
      <w:r w:rsidR="00D52904">
        <w:rPr>
          <w:sz w:val="26"/>
          <w:szCs w:val="26"/>
        </w:rPr>
        <w:t xml:space="preserve">On September 9, 2010, Commerce requested an extension of time to file an Answer.  </w:t>
      </w:r>
      <w:r w:rsidRPr="00021A4A">
        <w:rPr>
          <w:sz w:val="26"/>
        </w:rPr>
        <w:t>By Secretarial Letter dated October 12, 2010, Commerce was granted an extension of time, until October 15, 2010, to file an Answer to the Complaint.</w:t>
      </w:r>
      <w:r>
        <w:t xml:space="preserve">    </w:t>
      </w:r>
    </w:p>
  </w:footnote>
  <w:footnote w:id="2">
    <w:p w:rsidR="001172E7" w:rsidRPr="001172E7" w:rsidRDefault="008928D4" w:rsidP="001172E7">
      <w:pPr>
        <w:pStyle w:val="NormalWeb"/>
        <w:ind w:firstLine="720"/>
        <w:rPr>
          <w:sz w:val="26"/>
        </w:rPr>
      </w:pPr>
      <w:r w:rsidRPr="001172E7">
        <w:rPr>
          <w:rStyle w:val="FootnoteReference"/>
          <w:sz w:val="22"/>
          <w:szCs w:val="22"/>
        </w:rPr>
        <w:footnoteRef/>
      </w:r>
      <w:r>
        <w:t xml:space="preserve"> </w:t>
      </w:r>
      <w:r>
        <w:tab/>
      </w:r>
      <w:bookmarkStart w:id="0" w:name="1.2."/>
      <w:r w:rsidR="001172E7" w:rsidRPr="001172E7">
        <w:rPr>
          <w:sz w:val="26"/>
        </w:rPr>
        <w:t xml:space="preserve">Section 1.2 of our Regulations, 52 Pa. Code § 1.2, provides the following, in pertinent part: </w:t>
      </w:r>
    </w:p>
    <w:p w:rsidR="001172E7" w:rsidRPr="001172E7" w:rsidRDefault="001172E7" w:rsidP="001172E7">
      <w:pPr>
        <w:pStyle w:val="NormalWeb"/>
        <w:ind w:left="1440" w:right="1440"/>
        <w:rPr>
          <w:sz w:val="26"/>
        </w:rPr>
      </w:pPr>
      <w:r w:rsidRPr="001172E7">
        <w:rPr>
          <w:sz w:val="26"/>
        </w:rPr>
        <w:t xml:space="preserve">(a)  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 </w:t>
      </w:r>
    </w:p>
    <w:p w:rsidR="001172E7" w:rsidRDefault="001172E7" w:rsidP="001172E7">
      <w:pPr>
        <w:pStyle w:val="NormalWeb"/>
        <w:ind w:left="3600" w:right="1440"/>
        <w:rPr>
          <w:sz w:val="26"/>
        </w:rPr>
      </w:pPr>
      <w:r>
        <w:rPr>
          <w:sz w:val="26"/>
        </w:rPr>
        <w:t>***</w:t>
      </w:r>
    </w:p>
    <w:p w:rsidR="001172E7" w:rsidRPr="001172E7" w:rsidRDefault="001172E7" w:rsidP="001172E7">
      <w:pPr>
        <w:pStyle w:val="NormalWeb"/>
        <w:ind w:left="1440" w:right="1440"/>
        <w:rPr>
          <w:sz w:val="26"/>
        </w:rPr>
      </w:pPr>
      <w:r w:rsidRPr="001172E7">
        <w:rPr>
          <w:sz w:val="26"/>
        </w:rPr>
        <w:t xml:space="preserve">(d)  These liberal construction provisions apply with particularity in proceedings involving pro se litigants. </w:t>
      </w:r>
      <w:r>
        <w:rPr>
          <w:sz w:val="26"/>
        </w:rPr>
        <w:t xml:space="preserve"> </w:t>
      </w:r>
    </w:p>
    <w:bookmarkEnd w:id="0"/>
    <w:p w:rsidR="008928D4" w:rsidRDefault="008928D4" w:rsidP="008928D4">
      <w:pPr>
        <w:pStyle w:val="FootnoteText"/>
        <w:ind w:firstLine="720"/>
      </w:pPr>
    </w:p>
  </w:footnote>
  <w:footnote w:id="3">
    <w:p w:rsidR="001F017D" w:rsidRPr="003A4B56" w:rsidRDefault="001F017D" w:rsidP="001F017D">
      <w:pPr>
        <w:pStyle w:val="FootnoteText"/>
        <w:ind w:firstLine="720"/>
        <w:rPr>
          <w:sz w:val="26"/>
        </w:rPr>
      </w:pPr>
      <w:r w:rsidRPr="003A4B56">
        <w:rPr>
          <w:rStyle w:val="FootnoteReference"/>
          <w:sz w:val="22"/>
          <w:szCs w:val="22"/>
        </w:rPr>
        <w:footnoteRef/>
      </w:r>
      <w:r>
        <w:t xml:space="preserve"> </w:t>
      </w:r>
      <w:r>
        <w:tab/>
      </w:r>
      <w:r w:rsidR="003A4B56" w:rsidRPr="003A4B56">
        <w:rPr>
          <w:sz w:val="26"/>
        </w:rPr>
        <w:t>While the OALJ’s service list for the May 27, 2011 Hearing Notice listed the Complainant’s address as the same address that appeared on the Complaint, the service list for the June 1, 2011 Prehearing Order listed a</w:t>
      </w:r>
      <w:r w:rsidR="003A4B56">
        <w:rPr>
          <w:sz w:val="26"/>
        </w:rPr>
        <w:t>n address which is</w:t>
      </w:r>
      <w:r w:rsidR="003A4B56" w:rsidRPr="003A4B56">
        <w:rPr>
          <w:sz w:val="26"/>
        </w:rPr>
        <w:t xml:space="preserve"> different </w:t>
      </w:r>
      <w:r w:rsidR="003A4B56">
        <w:rPr>
          <w:sz w:val="26"/>
        </w:rPr>
        <w:t xml:space="preserve">from the </w:t>
      </w:r>
      <w:r w:rsidR="003A4B56" w:rsidRPr="003A4B56">
        <w:rPr>
          <w:sz w:val="26"/>
        </w:rPr>
        <w:t xml:space="preserve">address </w:t>
      </w:r>
      <w:r w:rsidR="003A4B56">
        <w:rPr>
          <w:sz w:val="26"/>
        </w:rPr>
        <w:t xml:space="preserve">listed on </w:t>
      </w:r>
      <w:r w:rsidR="003A4B56" w:rsidRPr="003A4B56">
        <w:rPr>
          <w:sz w:val="26"/>
        </w:rPr>
        <w:t xml:space="preserve">the Complaint </w:t>
      </w:r>
      <w:r w:rsidR="003A4B56">
        <w:rPr>
          <w:sz w:val="26"/>
        </w:rPr>
        <w:t>and</w:t>
      </w:r>
      <w:r w:rsidR="003A4B56" w:rsidRPr="003A4B56">
        <w:rPr>
          <w:sz w:val="26"/>
        </w:rPr>
        <w:t xml:space="preserve"> is not on record as the Complainant’s address.</w:t>
      </w:r>
      <w:r w:rsidR="003A4B56">
        <w:rPr>
          <w:sz w:val="26"/>
        </w:rPr>
        <w:t xml:space="preserve">  </w:t>
      </w:r>
      <w:r w:rsidR="003A4B56" w:rsidRPr="003A4B56">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6E9"/>
    <w:rsid w:val="00004858"/>
    <w:rsid w:val="00004E2C"/>
    <w:rsid w:val="00004F7C"/>
    <w:rsid w:val="00006415"/>
    <w:rsid w:val="00006ECB"/>
    <w:rsid w:val="00006EFA"/>
    <w:rsid w:val="00013322"/>
    <w:rsid w:val="0001578F"/>
    <w:rsid w:val="00016924"/>
    <w:rsid w:val="00016B40"/>
    <w:rsid w:val="00017680"/>
    <w:rsid w:val="000211D0"/>
    <w:rsid w:val="00021A4A"/>
    <w:rsid w:val="000222AE"/>
    <w:rsid w:val="00022504"/>
    <w:rsid w:val="0002280B"/>
    <w:rsid w:val="000228FE"/>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38F"/>
    <w:rsid w:val="00034F46"/>
    <w:rsid w:val="00034F90"/>
    <w:rsid w:val="000422E7"/>
    <w:rsid w:val="00042CC3"/>
    <w:rsid w:val="000447CE"/>
    <w:rsid w:val="00044CEB"/>
    <w:rsid w:val="00045551"/>
    <w:rsid w:val="00045911"/>
    <w:rsid w:val="00046962"/>
    <w:rsid w:val="00047785"/>
    <w:rsid w:val="000506DB"/>
    <w:rsid w:val="00050CF6"/>
    <w:rsid w:val="00051324"/>
    <w:rsid w:val="000519B5"/>
    <w:rsid w:val="00052468"/>
    <w:rsid w:val="00052D75"/>
    <w:rsid w:val="000550E9"/>
    <w:rsid w:val="00055623"/>
    <w:rsid w:val="00057D94"/>
    <w:rsid w:val="0006109C"/>
    <w:rsid w:val="00061888"/>
    <w:rsid w:val="00063D15"/>
    <w:rsid w:val="00063E1C"/>
    <w:rsid w:val="00064894"/>
    <w:rsid w:val="000658EB"/>
    <w:rsid w:val="00065A18"/>
    <w:rsid w:val="00065F0E"/>
    <w:rsid w:val="00066A76"/>
    <w:rsid w:val="00066AE5"/>
    <w:rsid w:val="0007219D"/>
    <w:rsid w:val="000728F9"/>
    <w:rsid w:val="000732CB"/>
    <w:rsid w:val="000740B8"/>
    <w:rsid w:val="00074262"/>
    <w:rsid w:val="00074274"/>
    <w:rsid w:val="000749FD"/>
    <w:rsid w:val="0007550D"/>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C77"/>
    <w:rsid w:val="000A13F2"/>
    <w:rsid w:val="000A1613"/>
    <w:rsid w:val="000A1BE6"/>
    <w:rsid w:val="000A4744"/>
    <w:rsid w:val="000A4F3F"/>
    <w:rsid w:val="000A6F8A"/>
    <w:rsid w:val="000A7DED"/>
    <w:rsid w:val="000B0210"/>
    <w:rsid w:val="000B12E3"/>
    <w:rsid w:val="000B1971"/>
    <w:rsid w:val="000B1E0D"/>
    <w:rsid w:val="000B1F90"/>
    <w:rsid w:val="000B531C"/>
    <w:rsid w:val="000B599B"/>
    <w:rsid w:val="000B6883"/>
    <w:rsid w:val="000B6C4C"/>
    <w:rsid w:val="000B710E"/>
    <w:rsid w:val="000B75DD"/>
    <w:rsid w:val="000C213E"/>
    <w:rsid w:val="000C35F6"/>
    <w:rsid w:val="000C459A"/>
    <w:rsid w:val="000C5F40"/>
    <w:rsid w:val="000C69AD"/>
    <w:rsid w:val="000C7089"/>
    <w:rsid w:val="000C7A35"/>
    <w:rsid w:val="000D0D98"/>
    <w:rsid w:val="000D1091"/>
    <w:rsid w:val="000D2A6B"/>
    <w:rsid w:val="000D380B"/>
    <w:rsid w:val="000D3DCC"/>
    <w:rsid w:val="000D43BE"/>
    <w:rsid w:val="000D476B"/>
    <w:rsid w:val="000D48F9"/>
    <w:rsid w:val="000D520C"/>
    <w:rsid w:val="000D6CEF"/>
    <w:rsid w:val="000D74EC"/>
    <w:rsid w:val="000D7FD2"/>
    <w:rsid w:val="000E007A"/>
    <w:rsid w:val="000E01F7"/>
    <w:rsid w:val="000E0269"/>
    <w:rsid w:val="000E0764"/>
    <w:rsid w:val="000E0FA7"/>
    <w:rsid w:val="000E124B"/>
    <w:rsid w:val="000E22AE"/>
    <w:rsid w:val="000E285A"/>
    <w:rsid w:val="000E35F4"/>
    <w:rsid w:val="000E3C3B"/>
    <w:rsid w:val="000E4883"/>
    <w:rsid w:val="000E5496"/>
    <w:rsid w:val="000E6231"/>
    <w:rsid w:val="000E75E1"/>
    <w:rsid w:val="000E7645"/>
    <w:rsid w:val="000E7975"/>
    <w:rsid w:val="000F0EA5"/>
    <w:rsid w:val="000F2AEE"/>
    <w:rsid w:val="000F3544"/>
    <w:rsid w:val="000F415F"/>
    <w:rsid w:val="000F45BD"/>
    <w:rsid w:val="000F461C"/>
    <w:rsid w:val="000F46D2"/>
    <w:rsid w:val="000F501F"/>
    <w:rsid w:val="000F50A2"/>
    <w:rsid w:val="000F50C8"/>
    <w:rsid w:val="000F7DAE"/>
    <w:rsid w:val="00100BCA"/>
    <w:rsid w:val="0010174E"/>
    <w:rsid w:val="00101D54"/>
    <w:rsid w:val="00102F7E"/>
    <w:rsid w:val="00104159"/>
    <w:rsid w:val="00105BF5"/>
    <w:rsid w:val="00105E00"/>
    <w:rsid w:val="00105F1D"/>
    <w:rsid w:val="00106B30"/>
    <w:rsid w:val="00107493"/>
    <w:rsid w:val="00107BD9"/>
    <w:rsid w:val="00112874"/>
    <w:rsid w:val="00115130"/>
    <w:rsid w:val="00115FB0"/>
    <w:rsid w:val="00116C7B"/>
    <w:rsid w:val="0011729D"/>
    <w:rsid w:val="001172E7"/>
    <w:rsid w:val="00120481"/>
    <w:rsid w:val="001212C2"/>
    <w:rsid w:val="00121D4A"/>
    <w:rsid w:val="00121DD2"/>
    <w:rsid w:val="00122DEA"/>
    <w:rsid w:val="0012301B"/>
    <w:rsid w:val="00123544"/>
    <w:rsid w:val="001248B9"/>
    <w:rsid w:val="00124CAA"/>
    <w:rsid w:val="00124D07"/>
    <w:rsid w:val="001251FA"/>
    <w:rsid w:val="00126313"/>
    <w:rsid w:val="00126693"/>
    <w:rsid w:val="00127A3B"/>
    <w:rsid w:val="00127ADA"/>
    <w:rsid w:val="00130039"/>
    <w:rsid w:val="00130A5C"/>
    <w:rsid w:val="00130A80"/>
    <w:rsid w:val="00130E3F"/>
    <w:rsid w:val="00131318"/>
    <w:rsid w:val="001324BC"/>
    <w:rsid w:val="0013263B"/>
    <w:rsid w:val="0013296C"/>
    <w:rsid w:val="0013363F"/>
    <w:rsid w:val="00134BFA"/>
    <w:rsid w:val="00135DD1"/>
    <w:rsid w:val="00137474"/>
    <w:rsid w:val="00137993"/>
    <w:rsid w:val="00140308"/>
    <w:rsid w:val="00141235"/>
    <w:rsid w:val="0014343B"/>
    <w:rsid w:val="00143548"/>
    <w:rsid w:val="00143873"/>
    <w:rsid w:val="00143B1D"/>
    <w:rsid w:val="00150526"/>
    <w:rsid w:val="00150E8C"/>
    <w:rsid w:val="00151710"/>
    <w:rsid w:val="00151E19"/>
    <w:rsid w:val="001520DA"/>
    <w:rsid w:val="00152175"/>
    <w:rsid w:val="00153381"/>
    <w:rsid w:val="00153DA6"/>
    <w:rsid w:val="00153E8D"/>
    <w:rsid w:val="00153F8F"/>
    <w:rsid w:val="00154722"/>
    <w:rsid w:val="001550A1"/>
    <w:rsid w:val="0015535F"/>
    <w:rsid w:val="00156581"/>
    <w:rsid w:val="00162263"/>
    <w:rsid w:val="001623B6"/>
    <w:rsid w:val="001624A6"/>
    <w:rsid w:val="00163290"/>
    <w:rsid w:val="0016372F"/>
    <w:rsid w:val="001648F1"/>
    <w:rsid w:val="0016528B"/>
    <w:rsid w:val="0016597F"/>
    <w:rsid w:val="001660A3"/>
    <w:rsid w:val="00167166"/>
    <w:rsid w:val="00167B7B"/>
    <w:rsid w:val="00167E4A"/>
    <w:rsid w:val="001701B4"/>
    <w:rsid w:val="00172E5B"/>
    <w:rsid w:val="00173196"/>
    <w:rsid w:val="0017378E"/>
    <w:rsid w:val="00174348"/>
    <w:rsid w:val="001743B6"/>
    <w:rsid w:val="00174916"/>
    <w:rsid w:val="001757B6"/>
    <w:rsid w:val="00175ED3"/>
    <w:rsid w:val="0018006C"/>
    <w:rsid w:val="00180D82"/>
    <w:rsid w:val="00182093"/>
    <w:rsid w:val="00184831"/>
    <w:rsid w:val="00185FB2"/>
    <w:rsid w:val="00187958"/>
    <w:rsid w:val="0019027A"/>
    <w:rsid w:val="0019028A"/>
    <w:rsid w:val="00191C9B"/>
    <w:rsid w:val="00192C94"/>
    <w:rsid w:val="001958F7"/>
    <w:rsid w:val="001960EE"/>
    <w:rsid w:val="001A0BA6"/>
    <w:rsid w:val="001A1EF3"/>
    <w:rsid w:val="001A253A"/>
    <w:rsid w:val="001A272B"/>
    <w:rsid w:val="001A2965"/>
    <w:rsid w:val="001A410D"/>
    <w:rsid w:val="001A462A"/>
    <w:rsid w:val="001A4EB7"/>
    <w:rsid w:val="001A6C53"/>
    <w:rsid w:val="001A7031"/>
    <w:rsid w:val="001A7064"/>
    <w:rsid w:val="001A7E39"/>
    <w:rsid w:val="001B1E6E"/>
    <w:rsid w:val="001B2A8A"/>
    <w:rsid w:val="001B4D9F"/>
    <w:rsid w:val="001B4DBE"/>
    <w:rsid w:val="001B5ECD"/>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2F20"/>
    <w:rsid w:val="001D3050"/>
    <w:rsid w:val="001D6158"/>
    <w:rsid w:val="001D62D6"/>
    <w:rsid w:val="001D6915"/>
    <w:rsid w:val="001E00F5"/>
    <w:rsid w:val="001E197D"/>
    <w:rsid w:val="001E19B2"/>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30C"/>
    <w:rsid w:val="001F66B3"/>
    <w:rsid w:val="001F709D"/>
    <w:rsid w:val="001F71DF"/>
    <w:rsid w:val="001F73C2"/>
    <w:rsid w:val="0020062B"/>
    <w:rsid w:val="00200D38"/>
    <w:rsid w:val="00200F19"/>
    <w:rsid w:val="00201A51"/>
    <w:rsid w:val="00201C6A"/>
    <w:rsid w:val="00201DF0"/>
    <w:rsid w:val="00203A63"/>
    <w:rsid w:val="00204170"/>
    <w:rsid w:val="00204A77"/>
    <w:rsid w:val="002056F8"/>
    <w:rsid w:val="00205C93"/>
    <w:rsid w:val="0020767E"/>
    <w:rsid w:val="002133BD"/>
    <w:rsid w:val="00213844"/>
    <w:rsid w:val="00213CEC"/>
    <w:rsid w:val="0021490C"/>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DF9"/>
    <w:rsid w:val="00227EA0"/>
    <w:rsid w:val="00227F83"/>
    <w:rsid w:val="00230192"/>
    <w:rsid w:val="00230DE7"/>
    <w:rsid w:val="00231DE5"/>
    <w:rsid w:val="00232902"/>
    <w:rsid w:val="00232D7D"/>
    <w:rsid w:val="0023365D"/>
    <w:rsid w:val="00234136"/>
    <w:rsid w:val="00236652"/>
    <w:rsid w:val="002403F6"/>
    <w:rsid w:val="00240734"/>
    <w:rsid w:val="00241868"/>
    <w:rsid w:val="00243200"/>
    <w:rsid w:val="002432FA"/>
    <w:rsid w:val="00245113"/>
    <w:rsid w:val="00245BA0"/>
    <w:rsid w:val="00246E31"/>
    <w:rsid w:val="00247038"/>
    <w:rsid w:val="0025268A"/>
    <w:rsid w:val="00252AD1"/>
    <w:rsid w:val="00252DDE"/>
    <w:rsid w:val="00253336"/>
    <w:rsid w:val="00253D39"/>
    <w:rsid w:val="00254CFC"/>
    <w:rsid w:val="002554F7"/>
    <w:rsid w:val="00255974"/>
    <w:rsid w:val="002561C5"/>
    <w:rsid w:val="00256216"/>
    <w:rsid w:val="00256810"/>
    <w:rsid w:val="00256AF5"/>
    <w:rsid w:val="00261A12"/>
    <w:rsid w:val="00261F96"/>
    <w:rsid w:val="00262B0C"/>
    <w:rsid w:val="002634A2"/>
    <w:rsid w:val="00264338"/>
    <w:rsid w:val="0026462F"/>
    <w:rsid w:val="00266F27"/>
    <w:rsid w:val="00267054"/>
    <w:rsid w:val="002675F5"/>
    <w:rsid w:val="0026779F"/>
    <w:rsid w:val="002679A8"/>
    <w:rsid w:val="00267E5C"/>
    <w:rsid w:val="00270E51"/>
    <w:rsid w:val="00271F56"/>
    <w:rsid w:val="00272126"/>
    <w:rsid w:val="00272DDC"/>
    <w:rsid w:val="0027360A"/>
    <w:rsid w:val="00274B3E"/>
    <w:rsid w:val="00274CA0"/>
    <w:rsid w:val="00275369"/>
    <w:rsid w:val="00280E7B"/>
    <w:rsid w:val="00281A01"/>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DC5"/>
    <w:rsid w:val="00293120"/>
    <w:rsid w:val="00293AFA"/>
    <w:rsid w:val="002957BF"/>
    <w:rsid w:val="0029593E"/>
    <w:rsid w:val="002964BA"/>
    <w:rsid w:val="002974DC"/>
    <w:rsid w:val="002A14E0"/>
    <w:rsid w:val="002A2130"/>
    <w:rsid w:val="002A3932"/>
    <w:rsid w:val="002A4218"/>
    <w:rsid w:val="002A48A3"/>
    <w:rsid w:val="002A5492"/>
    <w:rsid w:val="002A54B9"/>
    <w:rsid w:val="002A609D"/>
    <w:rsid w:val="002A678C"/>
    <w:rsid w:val="002A6C71"/>
    <w:rsid w:val="002A7B3F"/>
    <w:rsid w:val="002B1787"/>
    <w:rsid w:val="002B3D1D"/>
    <w:rsid w:val="002B56B3"/>
    <w:rsid w:val="002C0E1C"/>
    <w:rsid w:val="002C15C0"/>
    <w:rsid w:val="002C1776"/>
    <w:rsid w:val="002C2BA6"/>
    <w:rsid w:val="002C3E78"/>
    <w:rsid w:val="002C403A"/>
    <w:rsid w:val="002C4F37"/>
    <w:rsid w:val="002C5120"/>
    <w:rsid w:val="002C519E"/>
    <w:rsid w:val="002C712F"/>
    <w:rsid w:val="002C73F8"/>
    <w:rsid w:val="002C794E"/>
    <w:rsid w:val="002C7AD3"/>
    <w:rsid w:val="002D035A"/>
    <w:rsid w:val="002D0DE8"/>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645C"/>
    <w:rsid w:val="002F6B14"/>
    <w:rsid w:val="002F7734"/>
    <w:rsid w:val="002F7AFB"/>
    <w:rsid w:val="00300758"/>
    <w:rsid w:val="00301D87"/>
    <w:rsid w:val="00302476"/>
    <w:rsid w:val="00303159"/>
    <w:rsid w:val="0030374F"/>
    <w:rsid w:val="003066F3"/>
    <w:rsid w:val="00306F3B"/>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85"/>
    <w:rsid w:val="00331985"/>
    <w:rsid w:val="003319DD"/>
    <w:rsid w:val="00332DC9"/>
    <w:rsid w:val="00333DB3"/>
    <w:rsid w:val="0033458B"/>
    <w:rsid w:val="0033524A"/>
    <w:rsid w:val="003356A1"/>
    <w:rsid w:val="00336BF4"/>
    <w:rsid w:val="00337357"/>
    <w:rsid w:val="00341DC5"/>
    <w:rsid w:val="003436D0"/>
    <w:rsid w:val="00343A19"/>
    <w:rsid w:val="00347FE2"/>
    <w:rsid w:val="00350630"/>
    <w:rsid w:val="00350C04"/>
    <w:rsid w:val="00350EB2"/>
    <w:rsid w:val="00351617"/>
    <w:rsid w:val="00351BF4"/>
    <w:rsid w:val="00351E77"/>
    <w:rsid w:val="003526AD"/>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A0C"/>
    <w:rsid w:val="00363E3B"/>
    <w:rsid w:val="0036420A"/>
    <w:rsid w:val="00364537"/>
    <w:rsid w:val="003647B6"/>
    <w:rsid w:val="0036503E"/>
    <w:rsid w:val="003663E2"/>
    <w:rsid w:val="003668EF"/>
    <w:rsid w:val="003674E8"/>
    <w:rsid w:val="003715E6"/>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69F0"/>
    <w:rsid w:val="003A14E5"/>
    <w:rsid w:val="003A1ACF"/>
    <w:rsid w:val="003A2E8C"/>
    <w:rsid w:val="003A3420"/>
    <w:rsid w:val="003A3D81"/>
    <w:rsid w:val="003A4B56"/>
    <w:rsid w:val="003A53FE"/>
    <w:rsid w:val="003A6101"/>
    <w:rsid w:val="003A70D4"/>
    <w:rsid w:val="003A7A08"/>
    <w:rsid w:val="003A7D61"/>
    <w:rsid w:val="003B063B"/>
    <w:rsid w:val="003B14B4"/>
    <w:rsid w:val="003B2D9C"/>
    <w:rsid w:val="003B431A"/>
    <w:rsid w:val="003B4495"/>
    <w:rsid w:val="003B4648"/>
    <w:rsid w:val="003B51D4"/>
    <w:rsid w:val="003B5ADE"/>
    <w:rsid w:val="003B5FFD"/>
    <w:rsid w:val="003B6749"/>
    <w:rsid w:val="003B7145"/>
    <w:rsid w:val="003B7921"/>
    <w:rsid w:val="003B79E7"/>
    <w:rsid w:val="003B7E65"/>
    <w:rsid w:val="003C066C"/>
    <w:rsid w:val="003C126B"/>
    <w:rsid w:val="003C15E8"/>
    <w:rsid w:val="003C1869"/>
    <w:rsid w:val="003C27F1"/>
    <w:rsid w:val="003C36DD"/>
    <w:rsid w:val="003C4974"/>
    <w:rsid w:val="003C49D4"/>
    <w:rsid w:val="003C5846"/>
    <w:rsid w:val="003C78C2"/>
    <w:rsid w:val="003C7E10"/>
    <w:rsid w:val="003C7F9D"/>
    <w:rsid w:val="003D00D4"/>
    <w:rsid w:val="003D02B7"/>
    <w:rsid w:val="003D059B"/>
    <w:rsid w:val="003D457A"/>
    <w:rsid w:val="003D7A67"/>
    <w:rsid w:val="003E0094"/>
    <w:rsid w:val="003E0158"/>
    <w:rsid w:val="003E1087"/>
    <w:rsid w:val="003E1582"/>
    <w:rsid w:val="003E2D04"/>
    <w:rsid w:val="003E3489"/>
    <w:rsid w:val="003E3902"/>
    <w:rsid w:val="003E3BF6"/>
    <w:rsid w:val="003E3D43"/>
    <w:rsid w:val="003E4036"/>
    <w:rsid w:val="003E49D2"/>
    <w:rsid w:val="003E5F24"/>
    <w:rsid w:val="003E61EF"/>
    <w:rsid w:val="003E7C58"/>
    <w:rsid w:val="003F0D49"/>
    <w:rsid w:val="003F1A9A"/>
    <w:rsid w:val="003F1D06"/>
    <w:rsid w:val="003F2343"/>
    <w:rsid w:val="003F301C"/>
    <w:rsid w:val="003F3031"/>
    <w:rsid w:val="003F34B2"/>
    <w:rsid w:val="003F3D4C"/>
    <w:rsid w:val="003F4EA6"/>
    <w:rsid w:val="00401266"/>
    <w:rsid w:val="00401A88"/>
    <w:rsid w:val="00402A9C"/>
    <w:rsid w:val="00402CE7"/>
    <w:rsid w:val="00402FB6"/>
    <w:rsid w:val="00403424"/>
    <w:rsid w:val="00404584"/>
    <w:rsid w:val="00404B93"/>
    <w:rsid w:val="0040664F"/>
    <w:rsid w:val="0040677B"/>
    <w:rsid w:val="00407677"/>
    <w:rsid w:val="004076D5"/>
    <w:rsid w:val="00407AFD"/>
    <w:rsid w:val="0041131A"/>
    <w:rsid w:val="00411387"/>
    <w:rsid w:val="00411649"/>
    <w:rsid w:val="00411782"/>
    <w:rsid w:val="00412105"/>
    <w:rsid w:val="004121A0"/>
    <w:rsid w:val="0041460A"/>
    <w:rsid w:val="00414F35"/>
    <w:rsid w:val="004162DA"/>
    <w:rsid w:val="00416468"/>
    <w:rsid w:val="00416B51"/>
    <w:rsid w:val="00417BD6"/>
    <w:rsid w:val="00421932"/>
    <w:rsid w:val="00421ABF"/>
    <w:rsid w:val="00422697"/>
    <w:rsid w:val="00423CDB"/>
    <w:rsid w:val="004240CD"/>
    <w:rsid w:val="00424367"/>
    <w:rsid w:val="0042459E"/>
    <w:rsid w:val="00424786"/>
    <w:rsid w:val="004249BE"/>
    <w:rsid w:val="00425C56"/>
    <w:rsid w:val="00426DFB"/>
    <w:rsid w:val="00431EAD"/>
    <w:rsid w:val="004327CD"/>
    <w:rsid w:val="00433826"/>
    <w:rsid w:val="0043525E"/>
    <w:rsid w:val="004352B1"/>
    <w:rsid w:val="004358C9"/>
    <w:rsid w:val="004358E7"/>
    <w:rsid w:val="00435BA6"/>
    <w:rsid w:val="00435D68"/>
    <w:rsid w:val="00436CED"/>
    <w:rsid w:val="00437D58"/>
    <w:rsid w:val="00441614"/>
    <w:rsid w:val="0044197C"/>
    <w:rsid w:val="004428D1"/>
    <w:rsid w:val="00443444"/>
    <w:rsid w:val="00443DD7"/>
    <w:rsid w:val="00444B37"/>
    <w:rsid w:val="00444D21"/>
    <w:rsid w:val="00445513"/>
    <w:rsid w:val="0044597E"/>
    <w:rsid w:val="0044608D"/>
    <w:rsid w:val="00446B41"/>
    <w:rsid w:val="00447015"/>
    <w:rsid w:val="00447A4D"/>
    <w:rsid w:val="00447DEA"/>
    <w:rsid w:val="00450395"/>
    <w:rsid w:val="0045102C"/>
    <w:rsid w:val="00451239"/>
    <w:rsid w:val="004523B6"/>
    <w:rsid w:val="0045433D"/>
    <w:rsid w:val="00455D63"/>
    <w:rsid w:val="00455F99"/>
    <w:rsid w:val="00456053"/>
    <w:rsid w:val="0045661F"/>
    <w:rsid w:val="00460630"/>
    <w:rsid w:val="00461029"/>
    <w:rsid w:val="00461396"/>
    <w:rsid w:val="0046257A"/>
    <w:rsid w:val="00462DA5"/>
    <w:rsid w:val="00465726"/>
    <w:rsid w:val="00465EF1"/>
    <w:rsid w:val="00467B47"/>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90D47"/>
    <w:rsid w:val="00492623"/>
    <w:rsid w:val="00492F3F"/>
    <w:rsid w:val="004937D4"/>
    <w:rsid w:val="004938B3"/>
    <w:rsid w:val="00493CAD"/>
    <w:rsid w:val="004945A6"/>
    <w:rsid w:val="00495EDD"/>
    <w:rsid w:val="004962D6"/>
    <w:rsid w:val="00496924"/>
    <w:rsid w:val="00496C05"/>
    <w:rsid w:val="00496DAD"/>
    <w:rsid w:val="004A0ECB"/>
    <w:rsid w:val="004A1AF2"/>
    <w:rsid w:val="004A457F"/>
    <w:rsid w:val="004A4D88"/>
    <w:rsid w:val="004A56DF"/>
    <w:rsid w:val="004A641C"/>
    <w:rsid w:val="004A74B7"/>
    <w:rsid w:val="004A7C3F"/>
    <w:rsid w:val="004B1218"/>
    <w:rsid w:val="004B13E3"/>
    <w:rsid w:val="004B2521"/>
    <w:rsid w:val="004B3847"/>
    <w:rsid w:val="004B5212"/>
    <w:rsid w:val="004B53D5"/>
    <w:rsid w:val="004B5417"/>
    <w:rsid w:val="004C13FC"/>
    <w:rsid w:val="004C175F"/>
    <w:rsid w:val="004C3681"/>
    <w:rsid w:val="004C3B49"/>
    <w:rsid w:val="004C55C6"/>
    <w:rsid w:val="004C576F"/>
    <w:rsid w:val="004C662B"/>
    <w:rsid w:val="004C6F98"/>
    <w:rsid w:val="004C6FC9"/>
    <w:rsid w:val="004C7296"/>
    <w:rsid w:val="004C779E"/>
    <w:rsid w:val="004C7E0A"/>
    <w:rsid w:val="004C7F5C"/>
    <w:rsid w:val="004D0689"/>
    <w:rsid w:val="004D1FBC"/>
    <w:rsid w:val="004D3124"/>
    <w:rsid w:val="004D3451"/>
    <w:rsid w:val="004D34C7"/>
    <w:rsid w:val="004D3741"/>
    <w:rsid w:val="004D3805"/>
    <w:rsid w:val="004D4091"/>
    <w:rsid w:val="004D4685"/>
    <w:rsid w:val="004D485B"/>
    <w:rsid w:val="004E0B69"/>
    <w:rsid w:val="004E2C91"/>
    <w:rsid w:val="004E2E45"/>
    <w:rsid w:val="004E446A"/>
    <w:rsid w:val="004E4E16"/>
    <w:rsid w:val="004E5252"/>
    <w:rsid w:val="004E7093"/>
    <w:rsid w:val="004E7884"/>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696"/>
    <w:rsid w:val="0050428E"/>
    <w:rsid w:val="00504323"/>
    <w:rsid w:val="005051AE"/>
    <w:rsid w:val="00505406"/>
    <w:rsid w:val="005060CE"/>
    <w:rsid w:val="005072FD"/>
    <w:rsid w:val="00507D5E"/>
    <w:rsid w:val="00510538"/>
    <w:rsid w:val="005107E0"/>
    <w:rsid w:val="00510914"/>
    <w:rsid w:val="005116AE"/>
    <w:rsid w:val="00511F17"/>
    <w:rsid w:val="005134AF"/>
    <w:rsid w:val="005134D7"/>
    <w:rsid w:val="00513681"/>
    <w:rsid w:val="00514742"/>
    <w:rsid w:val="00515A6F"/>
    <w:rsid w:val="005171CB"/>
    <w:rsid w:val="00520858"/>
    <w:rsid w:val="00520AA0"/>
    <w:rsid w:val="00522CD1"/>
    <w:rsid w:val="00524BED"/>
    <w:rsid w:val="005252D4"/>
    <w:rsid w:val="00527F4E"/>
    <w:rsid w:val="00527F92"/>
    <w:rsid w:val="0053016D"/>
    <w:rsid w:val="00530629"/>
    <w:rsid w:val="00532591"/>
    <w:rsid w:val="0053296A"/>
    <w:rsid w:val="00533945"/>
    <w:rsid w:val="00533A1E"/>
    <w:rsid w:val="00533E96"/>
    <w:rsid w:val="00533F05"/>
    <w:rsid w:val="00535DDD"/>
    <w:rsid w:val="00536215"/>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7611"/>
    <w:rsid w:val="00557DDC"/>
    <w:rsid w:val="00560C20"/>
    <w:rsid w:val="00560CEE"/>
    <w:rsid w:val="00561C42"/>
    <w:rsid w:val="005621B2"/>
    <w:rsid w:val="005625C9"/>
    <w:rsid w:val="00562A88"/>
    <w:rsid w:val="00562B19"/>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4276"/>
    <w:rsid w:val="005852B1"/>
    <w:rsid w:val="0058540F"/>
    <w:rsid w:val="005861AC"/>
    <w:rsid w:val="005870B1"/>
    <w:rsid w:val="00587D9E"/>
    <w:rsid w:val="00587E5F"/>
    <w:rsid w:val="005904FB"/>
    <w:rsid w:val="00591023"/>
    <w:rsid w:val="005935DB"/>
    <w:rsid w:val="0059436D"/>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D2C"/>
    <w:rsid w:val="005B7D6A"/>
    <w:rsid w:val="005B7DEA"/>
    <w:rsid w:val="005C15C4"/>
    <w:rsid w:val="005C17B1"/>
    <w:rsid w:val="005C274E"/>
    <w:rsid w:val="005C43DB"/>
    <w:rsid w:val="005C446F"/>
    <w:rsid w:val="005C58C1"/>
    <w:rsid w:val="005C5EA3"/>
    <w:rsid w:val="005C7162"/>
    <w:rsid w:val="005C720E"/>
    <w:rsid w:val="005C726E"/>
    <w:rsid w:val="005D287F"/>
    <w:rsid w:val="005D35CD"/>
    <w:rsid w:val="005D3A6A"/>
    <w:rsid w:val="005D3D00"/>
    <w:rsid w:val="005D3D10"/>
    <w:rsid w:val="005D4B34"/>
    <w:rsid w:val="005D61AF"/>
    <w:rsid w:val="005D642F"/>
    <w:rsid w:val="005D6549"/>
    <w:rsid w:val="005D78E1"/>
    <w:rsid w:val="005E0286"/>
    <w:rsid w:val="005E037C"/>
    <w:rsid w:val="005E1B9D"/>
    <w:rsid w:val="005E23DF"/>
    <w:rsid w:val="005E250D"/>
    <w:rsid w:val="005E2B61"/>
    <w:rsid w:val="005E3461"/>
    <w:rsid w:val="005E3725"/>
    <w:rsid w:val="005E45AF"/>
    <w:rsid w:val="005E49CD"/>
    <w:rsid w:val="005E51E1"/>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D1E"/>
    <w:rsid w:val="006028DA"/>
    <w:rsid w:val="0060406B"/>
    <w:rsid w:val="00604213"/>
    <w:rsid w:val="00604732"/>
    <w:rsid w:val="00604BC9"/>
    <w:rsid w:val="0060681D"/>
    <w:rsid w:val="00607A42"/>
    <w:rsid w:val="00610346"/>
    <w:rsid w:val="0061074A"/>
    <w:rsid w:val="00610F18"/>
    <w:rsid w:val="0061168C"/>
    <w:rsid w:val="0061212E"/>
    <w:rsid w:val="00612174"/>
    <w:rsid w:val="006127D3"/>
    <w:rsid w:val="00612ABE"/>
    <w:rsid w:val="00614345"/>
    <w:rsid w:val="006143BD"/>
    <w:rsid w:val="00614729"/>
    <w:rsid w:val="006148EB"/>
    <w:rsid w:val="00614C39"/>
    <w:rsid w:val="00614EE9"/>
    <w:rsid w:val="00616C9B"/>
    <w:rsid w:val="00622ED8"/>
    <w:rsid w:val="0062421D"/>
    <w:rsid w:val="006248B5"/>
    <w:rsid w:val="00624CA0"/>
    <w:rsid w:val="00627124"/>
    <w:rsid w:val="00627147"/>
    <w:rsid w:val="00630A8F"/>
    <w:rsid w:val="0063189C"/>
    <w:rsid w:val="00631AE8"/>
    <w:rsid w:val="006339B2"/>
    <w:rsid w:val="00634240"/>
    <w:rsid w:val="0063544D"/>
    <w:rsid w:val="00635640"/>
    <w:rsid w:val="00635BC9"/>
    <w:rsid w:val="00636A27"/>
    <w:rsid w:val="00636C12"/>
    <w:rsid w:val="0064072D"/>
    <w:rsid w:val="0064189B"/>
    <w:rsid w:val="00641916"/>
    <w:rsid w:val="006432AA"/>
    <w:rsid w:val="00644953"/>
    <w:rsid w:val="0064546E"/>
    <w:rsid w:val="00645A99"/>
    <w:rsid w:val="00646500"/>
    <w:rsid w:val="006468A5"/>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2653"/>
    <w:rsid w:val="00664117"/>
    <w:rsid w:val="006644D0"/>
    <w:rsid w:val="00665289"/>
    <w:rsid w:val="006657F6"/>
    <w:rsid w:val="0066630E"/>
    <w:rsid w:val="0066644E"/>
    <w:rsid w:val="006665EC"/>
    <w:rsid w:val="00666697"/>
    <w:rsid w:val="00666DBC"/>
    <w:rsid w:val="00667AAF"/>
    <w:rsid w:val="00670A27"/>
    <w:rsid w:val="00671438"/>
    <w:rsid w:val="006719E1"/>
    <w:rsid w:val="00671AA4"/>
    <w:rsid w:val="00673439"/>
    <w:rsid w:val="00674FC9"/>
    <w:rsid w:val="0067535F"/>
    <w:rsid w:val="00675A9C"/>
    <w:rsid w:val="00677382"/>
    <w:rsid w:val="00680689"/>
    <w:rsid w:val="0068114D"/>
    <w:rsid w:val="00681BCD"/>
    <w:rsid w:val="00681F82"/>
    <w:rsid w:val="00684638"/>
    <w:rsid w:val="00685B16"/>
    <w:rsid w:val="006872FF"/>
    <w:rsid w:val="006909A3"/>
    <w:rsid w:val="0069120E"/>
    <w:rsid w:val="00691ED8"/>
    <w:rsid w:val="00693378"/>
    <w:rsid w:val="0069557A"/>
    <w:rsid w:val="00695E3F"/>
    <w:rsid w:val="00695E4C"/>
    <w:rsid w:val="00696CFE"/>
    <w:rsid w:val="00697928"/>
    <w:rsid w:val="006A1585"/>
    <w:rsid w:val="006A3879"/>
    <w:rsid w:val="006A3EAE"/>
    <w:rsid w:val="006A3F88"/>
    <w:rsid w:val="006A520A"/>
    <w:rsid w:val="006B0138"/>
    <w:rsid w:val="006B0B4D"/>
    <w:rsid w:val="006B266C"/>
    <w:rsid w:val="006B2831"/>
    <w:rsid w:val="006B3133"/>
    <w:rsid w:val="006B50CA"/>
    <w:rsid w:val="006B6347"/>
    <w:rsid w:val="006B6C8C"/>
    <w:rsid w:val="006B6DDD"/>
    <w:rsid w:val="006B6E8F"/>
    <w:rsid w:val="006B726D"/>
    <w:rsid w:val="006B786A"/>
    <w:rsid w:val="006B7936"/>
    <w:rsid w:val="006C06E9"/>
    <w:rsid w:val="006C07A2"/>
    <w:rsid w:val="006C10C7"/>
    <w:rsid w:val="006C17F3"/>
    <w:rsid w:val="006C3593"/>
    <w:rsid w:val="006C44D0"/>
    <w:rsid w:val="006C5595"/>
    <w:rsid w:val="006C5B18"/>
    <w:rsid w:val="006C5EA5"/>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C9F"/>
    <w:rsid w:val="00706D1C"/>
    <w:rsid w:val="00707FA3"/>
    <w:rsid w:val="00707FDB"/>
    <w:rsid w:val="00710028"/>
    <w:rsid w:val="0071030E"/>
    <w:rsid w:val="00710F31"/>
    <w:rsid w:val="007116DF"/>
    <w:rsid w:val="00711AD7"/>
    <w:rsid w:val="007121F7"/>
    <w:rsid w:val="0071285C"/>
    <w:rsid w:val="00713464"/>
    <w:rsid w:val="0071373D"/>
    <w:rsid w:val="007162D0"/>
    <w:rsid w:val="0071743D"/>
    <w:rsid w:val="00717625"/>
    <w:rsid w:val="00720F4C"/>
    <w:rsid w:val="00720F81"/>
    <w:rsid w:val="007227DF"/>
    <w:rsid w:val="0072298B"/>
    <w:rsid w:val="00723777"/>
    <w:rsid w:val="007260A7"/>
    <w:rsid w:val="00726574"/>
    <w:rsid w:val="007279BD"/>
    <w:rsid w:val="0073059E"/>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90638"/>
    <w:rsid w:val="007923ED"/>
    <w:rsid w:val="00793110"/>
    <w:rsid w:val="00794433"/>
    <w:rsid w:val="00795707"/>
    <w:rsid w:val="0079657C"/>
    <w:rsid w:val="0079657E"/>
    <w:rsid w:val="00797E29"/>
    <w:rsid w:val="007A083C"/>
    <w:rsid w:val="007A1B99"/>
    <w:rsid w:val="007A26A5"/>
    <w:rsid w:val="007A315F"/>
    <w:rsid w:val="007A488F"/>
    <w:rsid w:val="007A600F"/>
    <w:rsid w:val="007A6202"/>
    <w:rsid w:val="007A6318"/>
    <w:rsid w:val="007A6DBD"/>
    <w:rsid w:val="007A7122"/>
    <w:rsid w:val="007A7178"/>
    <w:rsid w:val="007B28EB"/>
    <w:rsid w:val="007B2B9C"/>
    <w:rsid w:val="007B3BCE"/>
    <w:rsid w:val="007B3D0A"/>
    <w:rsid w:val="007B432A"/>
    <w:rsid w:val="007B4582"/>
    <w:rsid w:val="007B491F"/>
    <w:rsid w:val="007B5FFB"/>
    <w:rsid w:val="007B6A3C"/>
    <w:rsid w:val="007B73CC"/>
    <w:rsid w:val="007B7412"/>
    <w:rsid w:val="007B7777"/>
    <w:rsid w:val="007C02E3"/>
    <w:rsid w:val="007C18F9"/>
    <w:rsid w:val="007C1C08"/>
    <w:rsid w:val="007C1DB8"/>
    <w:rsid w:val="007C2569"/>
    <w:rsid w:val="007C2651"/>
    <w:rsid w:val="007C3ED8"/>
    <w:rsid w:val="007C455B"/>
    <w:rsid w:val="007C58E0"/>
    <w:rsid w:val="007C5E78"/>
    <w:rsid w:val="007D02D5"/>
    <w:rsid w:val="007D0595"/>
    <w:rsid w:val="007D0DDB"/>
    <w:rsid w:val="007D0E92"/>
    <w:rsid w:val="007D11E0"/>
    <w:rsid w:val="007D2869"/>
    <w:rsid w:val="007D2A3A"/>
    <w:rsid w:val="007D3A38"/>
    <w:rsid w:val="007D3E1E"/>
    <w:rsid w:val="007D424A"/>
    <w:rsid w:val="007D4C8B"/>
    <w:rsid w:val="007D6624"/>
    <w:rsid w:val="007D7503"/>
    <w:rsid w:val="007D7CD2"/>
    <w:rsid w:val="007E12F7"/>
    <w:rsid w:val="007E2C8E"/>
    <w:rsid w:val="007E2D9A"/>
    <w:rsid w:val="007E334D"/>
    <w:rsid w:val="007E44DC"/>
    <w:rsid w:val="007E494E"/>
    <w:rsid w:val="007E4B27"/>
    <w:rsid w:val="007E50D8"/>
    <w:rsid w:val="007E58E1"/>
    <w:rsid w:val="007E6698"/>
    <w:rsid w:val="007E6A77"/>
    <w:rsid w:val="007E7997"/>
    <w:rsid w:val="007E7AA6"/>
    <w:rsid w:val="007F0150"/>
    <w:rsid w:val="007F03E8"/>
    <w:rsid w:val="007F2AFF"/>
    <w:rsid w:val="007F3A0E"/>
    <w:rsid w:val="007F3CBE"/>
    <w:rsid w:val="007F4F81"/>
    <w:rsid w:val="007F5118"/>
    <w:rsid w:val="007F5DDD"/>
    <w:rsid w:val="007F5EFD"/>
    <w:rsid w:val="007F6AB0"/>
    <w:rsid w:val="007F6CCC"/>
    <w:rsid w:val="007F6FEF"/>
    <w:rsid w:val="007F7315"/>
    <w:rsid w:val="007F7B2F"/>
    <w:rsid w:val="0080083D"/>
    <w:rsid w:val="00800C4D"/>
    <w:rsid w:val="008010F4"/>
    <w:rsid w:val="0080136F"/>
    <w:rsid w:val="008022D6"/>
    <w:rsid w:val="00802791"/>
    <w:rsid w:val="00802F32"/>
    <w:rsid w:val="00804F10"/>
    <w:rsid w:val="008056E0"/>
    <w:rsid w:val="00806E9F"/>
    <w:rsid w:val="008078CF"/>
    <w:rsid w:val="008101E2"/>
    <w:rsid w:val="008111CD"/>
    <w:rsid w:val="00812945"/>
    <w:rsid w:val="00813B71"/>
    <w:rsid w:val="00813C34"/>
    <w:rsid w:val="0081568C"/>
    <w:rsid w:val="00815EB1"/>
    <w:rsid w:val="0081664A"/>
    <w:rsid w:val="00823444"/>
    <w:rsid w:val="0082373F"/>
    <w:rsid w:val="00825B5B"/>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3218"/>
    <w:rsid w:val="0084336E"/>
    <w:rsid w:val="00843C35"/>
    <w:rsid w:val="00844D02"/>
    <w:rsid w:val="0084516C"/>
    <w:rsid w:val="00845A05"/>
    <w:rsid w:val="0084796F"/>
    <w:rsid w:val="0085081C"/>
    <w:rsid w:val="0085147A"/>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7140"/>
    <w:rsid w:val="00882826"/>
    <w:rsid w:val="00882B47"/>
    <w:rsid w:val="00883114"/>
    <w:rsid w:val="008837F0"/>
    <w:rsid w:val="0088405F"/>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C2A"/>
    <w:rsid w:val="008B4123"/>
    <w:rsid w:val="008B4724"/>
    <w:rsid w:val="008B4B55"/>
    <w:rsid w:val="008B4CFB"/>
    <w:rsid w:val="008B54C0"/>
    <w:rsid w:val="008B6211"/>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1B16"/>
    <w:rsid w:val="008D2365"/>
    <w:rsid w:val="008D2D08"/>
    <w:rsid w:val="008D38F3"/>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EBA"/>
    <w:rsid w:val="008F65D5"/>
    <w:rsid w:val="008F6E06"/>
    <w:rsid w:val="008F774F"/>
    <w:rsid w:val="008F7A43"/>
    <w:rsid w:val="008F7D17"/>
    <w:rsid w:val="00901A48"/>
    <w:rsid w:val="0090209F"/>
    <w:rsid w:val="0090277B"/>
    <w:rsid w:val="00903A51"/>
    <w:rsid w:val="00903CEF"/>
    <w:rsid w:val="00903FDC"/>
    <w:rsid w:val="0090609E"/>
    <w:rsid w:val="009063D5"/>
    <w:rsid w:val="009067A2"/>
    <w:rsid w:val="00906897"/>
    <w:rsid w:val="00907B37"/>
    <w:rsid w:val="0091225F"/>
    <w:rsid w:val="009122BF"/>
    <w:rsid w:val="009130AC"/>
    <w:rsid w:val="0091424D"/>
    <w:rsid w:val="00914A95"/>
    <w:rsid w:val="009154B8"/>
    <w:rsid w:val="00915A0E"/>
    <w:rsid w:val="009161C8"/>
    <w:rsid w:val="0091789A"/>
    <w:rsid w:val="00917EA2"/>
    <w:rsid w:val="00920281"/>
    <w:rsid w:val="0092196C"/>
    <w:rsid w:val="00921E76"/>
    <w:rsid w:val="0092295B"/>
    <w:rsid w:val="00922C82"/>
    <w:rsid w:val="0092368A"/>
    <w:rsid w:val="00923A3D"/>
    <w:rsid w:val="00924C8A"/>
    <w:rsid w:val="009250E1"/>
    <w:rsid w:val="00925137"/>
    <w:rsid w:val="00925959"/>
    <w:rsid w:val="00926224"/>
    <w:rsid w:val="0092653C"/>
    <w:rsid w:val="00927A56"/>
    <w:rsid w:val="00927DB0"/>
    <w:rsid w:val="009304E4"/>
    <w:rsid w:val="00930F1B"/>
    <w:rsid w:val="009317CC"/>
    <w:rsid w:val="0093194D"/>
    <w:rsid w:val="00931994"/>
    <w:rsid w:val="009324D7"/>
    <w:rsid w:val="00934429"/>
    <w:rsid w:val="00934C68"/>
    <w:rsid w:val="00934DE1"/>
    <w:rsid w:val="00935991"/>
    <w:rsid w:val="0093650E"/>
    <w:rsid w:val="00936526"/>
    <w:rsid w:val="0093736F"/>
    <w:rsid w:val="00937717"/>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3E7B"/>
    <w:rsid w:val="0096463E"/>
    <w:rsid w:val="009648DD"/>
    <w:rsid w:val="00964AD0"/>
    <w:rsid w:val="009664FB"/>
    <w:rsid w:val="009677FB"/>
    <w:rsid w:val="00970814"/>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66BB"/>
    <w:rsid w:val="0099684D"/>
    <w:rsid w:val="00997381"/>
    <w:rsid w:val="009976E8"/>
    <w:rsid w:val="00997AA4"/>
    <w:rsid w:val="009A071D"/>
    <w:rsid w:val="009A1237"/>
    <w:rsid w:val="009A2096"/>
    <w:rsid w:val="009A2945"/>
    <w:rsid w:val="009A3072"/>
    <w:rsid w:val="009A4345"/>
    <w:rsid w:val="009A48F8"/>
    <w:rsid w:val="009A6F1C"/>
    <w:rsid w:val="009A707D"/>
    <w:rsid w:val="009B2DF7"/>
    <w:rsid w:val="009B348F"/>
    <w:rsid w:val="009B38A9"/>
    <w:rsid w:val="009B49A1"/>
    <w:rsid w:val="009B4A45"/>
    <w:rsid w:val="009B4C69"/>
    <w:rsid w:val="009B53B3"/>
    <w:rsid w:val="009B6112"/>
    <w:rsid w:val="009B6E8E"/>
    <w:rsid w:val="009B6F6C"/>
    <w:rsid w:val="009B73B5"/>
    <w:rsid w:val="009B7D52"/>
    <w:rsid w:val="009B7E13"/>
    <w:rsid w:val="009C044C"/>
    <w:rsid w:val="009C146E"/>
    <w:rsid w:val="009C2AA3"/>
    <w:rsid w:val="009C2C4E"/>
    <w:rsid w:val="009C2D71"/>
    <w:rsid w:val="009C418A"/>
    <w:rsid w:val="009C461F"/>
    <w:rsid w:val="009C56D7"/>
    <w:rsid w:val="009C6456"/>
    <w:rsid w:val="009C6E03"/>
    <w:rsid w:val="009C786D"/>
    <w:rsid w:val="009D003E"/>
    <w:rsid w:val="009D09AD"/>
    <w:rsid w:val="009D13FE"/>
    <w:rsid w:val="009D1662"/>
    <w:rsid w:val="009D1FFD"/>
    <w:rsid w:val="009D5143"/>
    <w:rsid w:val="009D54C6"/>
    <w:rsid w:val="009D6721"/>
    <w:rsid w:val="009D68C9"/>
    <w:rsid w:val="009D7298"/>
    <w:rsid w:val="009D75BF"/>
    <w:rsid w:val="009D792A"/>
    <w:rsid w:val="009D7CA6"/>
    <w:rsid w:val="009D7D2F"/>
    <w:rsid w:val="009E1586"/>
    <w:rsid w:val="009E19D8"/>
    <w:rsid w:val="009E1AAD"/>
    <w:rsid w:val="009E2295"/>
    <w:rsid w:val="009E2992"/>
    <w:rsid w:val="009E2FD9"/>
    <w:rsid w:val="009E30FE"/>
    <w:rsid w:val="009E52C6"/>
    <w:rsid w:val="009E6485"/>
    <w:rsid w:val="009E64A7"/>
    <w:rsid w:val="009E68F3"/>
    <w:rsid w:val="009E78EA"/>
    <w:rsid w:val="009E7A21"/>
    <w:rsid w:val="009F0762"/>
    <w:rsid w:val="009F11DD"/>
    <w:rsid w:val="009F1CE5"/>
    <w:rsid w:val="009F2351"/>
    <w:rsid w:val="009F2415"/>
    <w:rsid w:val="009F25B4"/>
    <w:rsid w:val="009F2E57"/>
    <w:rsid w:val="009F30B9"/>
    <w:rsid w:val="009F4288"/>
    <w:rsid w:val="009F4B59"/>
    <w:rsid w:val="009F5888"/>
    <w:rsid w:val="009F5A83"/>
    <w:rsid w:val="009F65BA"/>
    <w:rsid w:val="009F6880"/>
    <w:rsid w:val="009F7701"/>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8F5"/>
    <w:rsid w:val="00A15D2F"/>
    <w:rsid w:val="00A16206"/>
    <w:rsid w:val="00A17297"/>
    <w:rsid w:val="00A1771F"/>
    <w:rsid w:val="00A22540"/>
    <w:rsid w:val="00A23458"/>
    <w:rsid w:val="00A2427F"/>
    <w:rsid w:val="00A2488E"/>
    <w:rsid w:val="00A26B0E"/>
    <w:rsid w:val="00A30563"/>
    <w:rsid w:val="00A319CA"/>
    <w:rsid w:val="00A333A0"/>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F17"/>
    <w:rsid w:val="00A4512E"/>
    <w:rsid w:val="00A451BD"/>
    <w:rsid w:val="00A4530D"/>
    <w:rsid w:val="00A46405"/>
    <w:rsid w:val="00A47715"/>
    <w:rsid w:val="00A47E87"/>
    <w:rsid w:val="00A512C9"/>
    <w:rsid w:val="00A51E29"/>
    <w:rsid w:val="00A540FF"/>
    <w:rsid w:val="00A5412A"/>
    <w:rsid w:val="00A542C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6405"/>
    <w:rsid w:val="00A667FA"/>
    <w:rsid w:val="00A66DA4"/>
    <w:rsid w:val="00A71A39"/>
    <w:rsid w:val="00A71FE2"/>
    <w:rsid w:val="00A727CB"/>
    <w:rsid w:val="00A7282D"/>
    <w:rsid w:val="00A74E37"/>
    <w:rsid w:val="00A74F7D"/>
    <w:rsid w:val="00A75E45"/>
    <w:rsid w:val="00A76177"/>
    <w:rsid w:val="00A765CE"/>
    <w:rsid w:val="00A804B6"/>
    <w:rsid w:val="00A807AE"/>
    <w:rsid w:val="00A80864"/>
    <w:rsid w:val="00A81971"/>
    <w:rsid w:val="00A81CEA"/>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2B68"/>
    <w:rsid w:val="00AB2E0E"/>
    <w:rsid w:val="00AB2FD1"/>
    <w:rsid w:val="00AB3B02"/>
    <w:rsid w:val="00AB492E"/>
    <w:rsid w:val="00AB595B"/>
    <w:rsid w:val="00AB6088"/>
    <w:rsid w:val="00AB61A1"/>
    <w:rsid w:val="00AB6EBC"/>
    <w:rsid w:val="00AB7024"/>
    <w:rsid w:val="00AB762C"/>
    <w:rsid w:val="00AC22CA"/>
    <w:rsid w:val="00AC3D1E"/>
    <w:rsid w:val="00AC521D"/>
    <w:rsid w:val="00AC6135"/>
    <w:rsid w:val="00AC6576"/>
    <w:rsid w:val="00AC6EF1"/>
    <w:rsid w:val="00AC75D5"/>
    <w:rsid w:val="00AC7722"/>
    <w:rsid w:val="00AD0B42"/>
    <w:rsid w:val="00AD0BDE"/>
    <w:rsid w:val="00AD0C75"/>
    <w:rsid w:val="00AD121B"/>
    <w:rsid w:val="00AD144A"/>
    <w:rsid w:val="00AD1B3B"/>
    <w:rsid w:val="00AD24B4"/>
    <w:rsid w:val="00AD29CD"/>
    <w:rsid w:val="00AD2BE6"/>
    <w:rsid w:val="00AD4BC4"/>
    <w:rsid w:val="00AD73AA"/>
    <w:rsid w:val="00AD774C"/>
    <w:rsid w:val="00AE0C80"/>
    <w:rsid w:val="00AE1B8E"/>
    <w:rsid w:val="00AE2CE9"/>
    <w:rsid w:val="00AE3362"/>
    <w:rsid w:val="00AE3C30"/>
    <w:rsid w:val="00AE498C"/>
    <w:rsid w:val="00AF055C"/>
    <w:rsid w:val="00AF0B1E"/>
    <w:rsid w:val="00AF1456"/>
    <w:rsid w:val="00AF18FC"/>
    <w:rsid w:val="00AF1A47"/>
    <w:rsid w:val="00AF1F55"/>
    <w:rsid w:val="00AF2FB1"/>
    <w:rsid w:val="00AF3D6C"/>
    <w:rsid w:val="00AF3E1C"/>
    <w:rsid w:val="00AF4548"/>
    <w:rsid w:val="00AF5A92"/>
    <w:rsid w:val="00AF6337"/>
    <w:rsid w:val="00AF7405"/>
    <w:rsid w:val="00B004FE"/>
    <w:rsid w:val="00B01318"/>
    <w:rsid w:val="00B03651"/>
    <w:rsid w:val="00B0428F"/>
    <w:rsid w:val="00B04553"/>
    <w:rsid w:val="00B047D0"/>
    <w:rsid w:val="00B04CD4"/>
    <w:rsid w:val="00B059A1"/>
    <w:rsid w:val="00B061FB"/>
    <w:rsid w:val="00B06454"/>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56C"/>
    <w:rsid w:val="00B17CE7"/>
    <w:rsid w:val="00B203D5"/>
    <w:rsid w:val="00B20C2F"/>
    <w:rsid w:val="00B21615"/>
    <w:rsid w:val="00B23ED7"/>
    <w:rsid w:val="00B24058"/>
    <w:rsid w:val="00B24F30"/>
    <w:rsid w:val="00B26C80"/>
    <w:rsid w:val="00B279EC"/>
    <w:rsid w:val="00B302F6"/>
    <w:rsid w:val="00B308BA"/>
    <w:rsid w:val="00B3120B"/>
    <w:rsid w:val="00B317A8"/>
    <w:rsid w:val="00B31F53"/>
    <w:rsid w:val="00B327B5"/>
    <w:rsid w:val="00B32B1D"/>
    <w:rsid w:val="00B32DDA"/>
    <w:rsid w:val="00B33B15"/>
    <w:rsid w:val="00B33C81"/>
    <w:rsid w:val="00B33D98"/>
    <w:rsid w:val="00B341A0"/>
    <w:rsid w:val="00B346BE"/>
    <w:rsid w:val="00B34AAC"/>
    <w:rsid w:val="00B34AF6"/>
    <w:rsid w:val="00B34FA3"/>
    <w:rsid w:val="00B350EB"/>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6F04"/>
    <w:rsid w:val="00B47B46"/>
    <w:rsid w:val="00B502F3"/>
    <w:rsid w:val="00B508B0"/>
    <w:rsid w:val="00B519F0"/>
    <w:rsid w:val="00B51A61"/>
    <w:rsid w:val="00B5436F"/>
    <w:rsid w:val="00B55185"/>
    <w:rsid w:val="00B55491"/>
    <w:rsid w:val="00B559D1"/>
    <w:rsid w:val="00B567EC"/>
    <w:rsid w:val="00B56D64"/>
    <w:rsid w:val="00B57550"/>
    <w:rsid w:val="00B60DD4"/>
    <w:rsid w:val="00B6288F"/>
    <w:rsid w:val="00B634F2"/>
    <w:rsid w:val="00B64F93"/>
    <w:rsid w:val="00B65FFB"/>
    <w:rsid w:val="00B664DF"/>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36B8"/>
    <w:rsid w:val="00B93B6A"/>
    <w:rsid w:val="00B94024"/>
    <w:rsid w:val="00B948C8"/>
    <w:rsid w:val="00B94F5F"/>
    <w:rsid w:val="00B95060"/>
    <w:rsid w:val="00B955E4"/>
    <w:rsid w:val="00B9649A"/>
    <w:rsid w:val="00B965AA"/>
    <w:rsid w:val="00BA0B52"/>
    <w:rsid w:val="00BA1874"/>
    <w:rsid w:val="00BA1A0F"/>
    <w:rsid w:val="00BA2386"/>
    <w:rsid w:val="00BA2BB6"/>
    <w:rsid w:val="00BA32F8"/>
    <w:rsid w:val="00BA35B7"/>
    <w:rsid w:val="00BA43F1"/>
    <w:rsid w:val="00BA4D48"/>
    <w:rsid w:val="00BA5631"/>
    <w:rsid w:val="00BA5AA1"/>
    <w:rsid w:val="00BA5FB5"/>
    <w:rsid w:val="00BA6153"/>
    <w:rsid w:val="00BA61E7"/>
    <w:rsid w:val="00BA7118"/>
    <w:rsid w:val="00BA7398"/>
    <w:rsid w:val="00BA77B6"/>
    <w:rsid w:val="00BA7B40"/>
    <w:rsid w:val="00BB1284"/>
    <w:rsid w:val="00BB1C0E"/>
    <w:rsid w:val="00BB2016"/>
    <w:rsid w:val="00BB4551"/>
    <w:rsid w:val="00BB457D"/>
    <w:rsid w:val="00BB4E15"/>
    <w:rsid w:val="00BB735C"/>
    <w:rsid w:val="00BC19EE"/>
    <w:rsid w:val="00BC1B7D"/>
    <w:rsid w:val="00BC2C18"/>
    <w:rsid w:val="00BC2FD0"/>
    <w:rsid w:val="00BC53B1"/>
    <w:rsid w:val="00BC602B"/>
    <w:rsid w:val="00BC713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6EBD"/>
    <w:rsid w:val="00BE7DF3"/>
    <w:rsid w:val="00BE7FFE"/>
    <w:rsid w:val="00BF0C57"/>
    <w:rsid w:val="00BF1126"/>
    <w:rsid w:val="00BF1211"/>
    <w:rsid w:val="00BF1902"/>
    <w:rsid w:val="00BF19B0"/>
    <w:rsid w:val="00BF1AF7"/>
    <w:rsid w:val="00BF2E3C"/>
    <w:rsid w:val="00BF3316"/>
    <w:rsid w:val="00BF3602"/>
    <w:rsid w:val="00BF3D2C"/>
    <w:rsid w:val="00BF4528"/>
    <w:rsid w:val="00BF538A"/>
    <w:rsid w:val="00BF596C"/>
    <w:rsid w:val="00BF5C73"/>
    <w:rsid w:val="00BF5F5D"/>
    <w:rsid w:val="00BF61D4"/>
    <w:rsid w:val="00BF7D35"/>
    <w:rsid w:val="00C0031D"/>
    <w:rsid w:val="00C00D8C"/>
    <w:rsid w:val="00C02651"/>
    <w:rsid w:val="00C036FF"/>
    <w:rsid w:val="00C044A8"/>
    <w:rsid w:val="00C0534E"/>
    <w:rsid w:val="00C05A1D"/>
    <w:rsid w:val="00C05FBA"/>
    <w:rsid w:val="00C065FA"/>
    <w:rsid w:val="00C06BD7"/>
    <w:rsid w:val="00C06C45"/>
    <w:rsid w:val="00C07622"/>
    <w:rsid w:val="00C076E3"/>
    <w:rsid w:val="00C10285"/>
    <w:rsid w:val="00C11217"/>
    <w:rsid w:val="00C1199F"/>
    <w:rsid w:val="00C12AF5"/>
    <w:rsid w:val="00C1430E"/>
    <w:rsid w:val="00C14593"/>
    <w:rsid w:val="00C14C4F"/>
    <w:rsid w:val="00C152B2"/>
    <w:rsid w:val="00C17164"/>
    <w:rsid w:val="00C203E7"/>
    <w:rsid w:val="00C22960"/>
    <w:rsid w:val="00C22E74"/>
    <w:rsid w:val="00C2370D"/>
    <w:rsid w:val="00C24894"/>
    <w:rsid w:val="00C24FDF"/>
    <w:rsid w:val="00C25108"/>
    <w:rsid w:val="00C2610A"/>
    <w:rsid w:val="00C2731C"/>
    <w:rsid w:val="00C27F6E"/>
    <w:rsid w:val="00C30BEE"/>
    <w:rsid w:val="00C313C4"/>
    <w:rsid w:val="00C31E8C"/>
    <w:rsid w:val="00C328C0"/>
    <w:rsid w:val="00C33342"/>
    <w:rsid w:val="00C346AD"/>
    <w:rsid w:val="00C357B5"/>
    <w:rsid w:val="00C35EDF"/>
    <w:rsid w:val="00C362A6"/>
    <w:rsid w:val="00C36932"/>
    <w:rsid w:val="00C36A72"/>
    <w:rsid w:val="00C37505"/>
    <w:rsid w:val="00C418B1"/>
    <w:rsid w:val="00C42205"/>
    <w:rsid w:val="00C42659"/>
    <w:rsid w:val="00C433BD"/>
    <w:rsid w:val="00C43898"/>
    <w:rsid w:val="00C442B4"/>
    <w:rsid w:val="00C45095"/>
    <w:rsid w:val="00C453D8"/>
    <w:rsid w:val="00C454A9"/>
    <w:rsid w:val="00C466BA"/>
    <w:rsid w:val="00C4674B"/>
    <w:rsid w:val="00C4692E"/>
    <w:rsid w:val="00C46BFA"/>
    <w:rsid w:val="00C47763"/>
    <w:rsid w:val="00C47B24"/>
    <w:rsid w:val="00C47EFC"/>
    <w:rsid w:val="00C504C1"/>
    <w:rsid w:val="00C50629"/>
    <w:rsid w:val="00C50646"/>
    <w:rsid w:val="00C50DFB"/>
    <w:rsid w:val="00C52AC4"/>
    <w:rsid w:val="00C53861"/>
    <w:rsid w:val="00C538C3"/>
    <w:rsid w:val="00C55576"/>
    <w:rsid w:val="00C55AB6"/>
    <w:rsid w:val="00C55FF7"/>
    <w:rsid w:val="00C56008"/>
    <w:rsid w:val="00C56968"/>
    <w:rsid w:val="00C57986"/>
    <w:rsid w:val="00C605E8"/>
    <w:rsid w:val="00C62C35"/>
    <w:rsid w:val="00C63286"/>
    <w:rsid w:val="00C639E0"/>
    <w:rsid w:val="00C63AC0"/>
    <w:rsid w:val="00C63EC3"/>
    <w:rsid w:val="00C643A1"/>
    <w:rsid w:val="00C66309"/>
    <w:rsid w:val="00C6772D"/>
    <w:rsid w:val="00C677EA"/>
    <w:rsid w:val="00C723D7"/>
    <w:rsid w:val="00C72EB7"/>
    <w:rsid w:val="00C75A69"/>
    <w:rsid w:val="00C7618D"/>
    <w:rsid w:val="00C81A9B"/>
    <w:rsid w:val="00C822AA"/>
    <w:rsid w:val="00C82FC6"/>
    <w:rsid w:val="00C83A1D"/>
    <w:rsid w:val="00C83BBA"/>
    <w:rsid w:val="00C84862"/>
    <w:rsid w:val="00C85D6A"/>
    <w:rsid w:val="00C86362"/>
    <w:rsid w:val="00C866DD"/>
    <w:rsid w:val="00C86A0B"/>
    <w:rsid w:val="00C86F58"/>
    <w:rsid w:val="00C90E8D"/>
    <w:rsid w:val="00C91B89"/>
    <w:rsid w:val="00C9240F"/>
    <w:rsid w:val="00C95832"/>
    <w:rsid w:val="00C95BA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230A"/>
    <w:rsid w:val="00CB242F"/>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AD8"/>
    <w:rsid w:val="00CD1E2A"/>
    <w:rsid w:val="00CD2435"/>
    <w:rsid w:val="00CD2A44"/>
    <w:rsid w:val="00CD392F"/>
    <w:rsid w:val="00CD3B9F"/>
    <w:rsid w:val="00CD473E"/>
    <w:rsid w:val="00CD65F5"/>
    <w:rsid w:val="00CD65F6"/>
    <w:rsid w:val="00CD6A83"/>
    <w:rsid w:val="00CD7289"/>
    <w:rsid w:val="00CD77FC"/>
    <w:rsid w:val="00CD7AEF"/>
    <w:rsid w:val="00CE0578"/>
    <w:rsid w:val="00CE0CDA"/>
    <w:rsid w:val="00CE0D46"/>
    <w:rsid w:val="00CE0FED"/>
    <w:rsid w:val="00CE1F96"/>
    <w:rsid w:val="00CE2EC9"/>
    <w:rsid w:val="00CE2FAC"/>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471F"/>
    <w:rsid w:val="00CF55FA"/>
    <w:rsid w:val="00CF5CC6"/>
    <w:rsid w:val="00CF5D6C"/>
    <w:rsid w:val="00CF5E17"/>
    <w:rsid w:val="00CF6838"/>
    <w:rsid w:val="00CF689A"/>
    <w:rsid w:val="00CF7CB2"/>
    <w:rsid w:val="00D000A2"/>
    <w:rsid w:val="00D0071E"/>
    <w:rsid w:val="00D00B16"/>
    <w:rsid w:val="00D030FB"/>
    <w:rsid w:val="00D04CB7"/>
    <w:rsid w:val="00D0504A"/>
    <w:rsid w:val="00D06921"/>
    <w:rsid w:val="00D07461"/>
    <w:rsid w:val="00D075C4"/>
    <w:rsid w:val="00D10BD6"/>
    <w:rsid w:val="00D11684"/>
    <w:rsid w:val="00D11708"/>
    <w:rsid w:val="00D11E52"/>
    <w:rsid w:val="00D123C5"/>
    <w:rsid w:val="00D12DD1"/>
    <w:rsid w:val="00D1300F"/>
    <w:rsid w:val="00D14999"/>
    <w:rsid w:val="00D153F3"/>
    <w:rsid w:val="00D1569D"/>
    <w:rsid w:val="00D15F3E"/>
    <w:rsid w:val="00D17210"/>
    <w:rsid w:val="00D1726C"/>
    <w:rsid w:val="00D205D7"/>
    <w:rsid w:val="00D224FF"/>
    <w:rsid w:val="00D22EA8"/>
    <w:rsid w:val="00D23174"/>
    <w:rsid w:val="00D239C3"/>
    <w:rsid w:val="00D25F97"/>
    <w:rsid w:val="00D27B07"/>
    <w:rsid w:val="00D31272"/>
    <w:rsid w:val="00D31C73"/>
    <w:rsid w:val="00D34379"/>
    <w:rsid w:val="00D34E43"/>
    <w:rsid w:val="00D36B41"/>
    <w:rsid w:val="00D36BF3"/>
    <w:rsid w:val="00D3789F"/>
    <w:rsid w:val="00D37CBE"/>
    <w:rsid w:val="00D4060B"/>
    <w:rsid w:val="00D407CF"/>
    <w:rsid w:val="00D41689"/>
    <w:rsid w:val="00D437DF"/>
    <w:rsid w:val="00D449F2"/>
    <w:rsid w:val="00D457EF"/>
    <w:rsid w:val="00D465E8"/>
    <w:rsid w:val="00D52904"/>
    <w:rsid w:val="00D5368B"/>
    <w:rsid w:val="00D53EFD"/>
    <w:rsid w:val="00D541B5"/>
    <w:rsid w:val="00D54719"/>
    <w:rsid w:val="00D550B6"/>
    <w:rsid w:val="00D55F6E"/>
    <w:rsid w:val="00D56922"/>
    <w:rsid w:val="00D56E20"/>
    <w:rsid w:val="00D57058"/>
    <w:rsid w:val="00D575FA"/>
    <w:rsid w:val="00D57EF1"/>
    <w:rsid w:val="00D607A4"/>
    <w:rsid w:val="00D60BE1"/>
    <w:rsid w:val="00D612D4"/>
    <w:rsid w:val="00D620FE"/>
    <w:rsid w:val="00D66EE3"/>
    <w:rsid w:val="00D671C8"/>
    <w:rsid w:val="00D73682"/>
    <w:rsid w:val="00D73803"/>
    <w:rsid w:val="00D73DA4"/>
    <w:rsid w:val="00D74328"/>
    <w:rsid w:val="00D752C0"/>
    <w:rsid w:val="00D76068"/>
    <w:rsid w:val="00D7620B"/>
    <w:rsid w:val="00D76269"/>
    <w:rsid w:val="00D76AC7"/>
    <w:rsid w:val="00D76D59"/>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1884"/>
    <w:rsid w:val="00DA20AD"/>
    <w:rsid w:val="00DA2D1B"/>
    <w:rsid w:val="00DA322B"/>
    <w:rsid w:val="00DA47D5"/>
    <w:rsid w:val="00DA48FD"/>
    <w:rsid w:val="00DA4FBD"/>
    <w:rsid w:val="00DA5767"/>
    <w:rsid w:val="00DA64CD"/>
    <w:rsid w:val="00DA669C"/>
    <w:rsid w:val="00DA721B"/>
    <w:rsid w:val="00DA779B"/>
    <w:rsid w:val="00DA78D8"/>
    <w:rsid w:val="00DA7CCD"/>
    <w:rsid w:val="00DB0253"/>
    <w:rsid w:val="00DB058E"/>
    <w:rsid w:val="00DB1A46"/>
    <w:rsid w:val="00DB30C9"/>
    <w:rsid w:val="00DB3570"/>
    <w:rsid w:val="00DB4053"/>
    <w:rsid w:val="00DB440F"/>
    <w:rsid w:val="00DB5701"/>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C85"/>
    <w:rsid w:val="00DD67CB"/>
    <w:rsid w:val="00DD6A4C"/>
    <w:rsid w:val="00DD7455"/>
    <w:rsid w:val="00DD7728"/>
    <w:rsid w:val="00DD7EF1"/>
    <w:rsid w:val="00DE0CEF"/>
    <w:rsid w:val="00DE25E1"/>
    <w:rsid w:val="00DE45A8"/>
    <w:rsid w:val="00DE4B21"/>
    <w:rsid w:val="00DE6304"/>
    <w:rsid w:val="00DE68D3"/>
    <w:rsid w:val="00DE7190"/>
    <w:rsid w:val="00DF1837"/>
    <w:rsid w:val="00DF28A9"/>
    <w:rsid w:val="00DF2AB9"/>
    <w:rsid w:val="00DF331C"/>
    <w:rsid w:val="00DF3644"/>
    <w:rsid w:val="00DF5C20"/>
    <w:rsid w:val="00DF6699"/>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33352"/>
    <w:rsid w:val="00E337FC"/>
    <w:rsid w:val="00E33B53"/>
    <w:rsid w:val="00E33C03"/>
    <w:rsid w:val="00E35A3F"/>
    <w:rsid w:val="00E362C8"/>
    <w:rsid w:val="00E368F5"/>
    <w:rsid w:val="00E36F07"/>
    <w:rsid w:val="00E37CFD"/>
    <w:rsid w:val="00E37FC4"/>
    <w:rsid w:val="00E4010D"/>
    <w:rsid w:val="00E41103"/>
    <w:rsid w:val="00E411C1"/>
    <w:rsid w:val="00E41730"/>
    <w:rsid w:val="00E43159"/>
    <w:rsid w:val="00E438D0"/>
    <w:rsid w:val="00E44750"/>
    <w:rsid w:val="00E460B9"/>
    <w:rsid w:val="00E47752"/>
    <w:rsid w:val="00E506C0"/>
    <w:rsid w:val="00E50DCB"/>
    <w:rsid w:val="00E5237F"/>
    <w:rsid w:val="00E52A78"/>
    <w:rsid w:val="00E546A3"/>
    <w:rsid w:val="00E56616"/>
    <w:rsid w:val="00E578EA"/>
    <w:rsid w:val="00E579AD"/>
    <w:rsid w:val="00E579D9"/>
    <w:rsid w:val="00E57ABF"/>
    <w:rsid w:val="00E60A40"/>
    <w:rsid w:val="00E60BD8"/>
    <w:rsid w:val="00E610D6"/>
    <w:rsid w:val="00E61E04"/>
    <w:rsid w:val="00E62545"/>
    <w:rsid w:val="00E634C2"/>
    <w:rsid w:val="00E66945"/>
    <w:rsid w:val="00E66B54"/>
    <w:rsid w:val="00E676DB"/>
    <w:rsid w:val="00E721AA"/>
    <w:rsid w:val="00E72936"/>
    <w:rsid w:val="00E73E2C"/>
    <w:rsid w:val="00E7419E"/>
    <w:rsid w:val="00E75779"/>
    <w:rsid w:val="00E7627D"/>
    <w:rsid w:val="00E766C9"/>
    <w:rsid w:val="00E77754"/>
    <w:rsid w:val="00E810F6"/>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68DD"/>
    <w:rsid w:val="00E97F1F"/>
    <w:rsid w:val="00EA10E9"/>
    <w:rsid w:val="00EA18E4"/>
    <w:rsid w:val="00EA1D4E"/>
    <w:rsid w:val="00EA2B54"/>
    <w:rsid w:val="00EA3918"/>
    <w:rsid w:val="00EA456A"/>
    <w:rsid w:val="00EA5A5B"/>
    <w:rsid w:val="00EA6727"/>
    <w:rsid w:val="00EA7647"/>
    <w:rsid w:val="00EB2239"/>
    <w:rsid w:val="00EB2F8D"/>
    <w:rsid w:val="00EB37B7"/>
    <w:rsid w:val="00EB5D44"/>
    <w:rsid w:val="00EB613E"/>
    <w:rsid w:val="00EB66B7"/>
    <w:rsid w:val="00EB6B5B"/>
    <w:rsid w:val="00EB6E71"/>
    <w:rsid w:val="00EB7922"/>
    <w:rsid w:val="00EB7EB7"/>
    <w:rsid w:val="00EC0AEF"/>
    <w:rsid w:val="00EC12F2"/>
    <w:rsid w:val="00EC1FA5"/>
    <w:rsid w:val="00EC4C4C"/>
    <w:rsid w:val="00EC77BE"/>
    <w:rsid w:val="00ED03B0"/>
    <w:rsid w:val="00ED0A7D"/>
    <w:rsid w:val="00ED172A"/>
    <w:rsid w:val="00ED198F"/>
    <w:rsid w:val="00ED1F58"/>
    <w:rsid w:val="00ED2760"/>
    <w:rsid w:val="00ED2AED"/>
    <w:rsid w:val="00ED3323"/>
    <w:rsid w:val="00ED58D9"/>
    <w:rsid w:val="00ED6332"/>
    <w:rsid w:val="00ED6AC5"/>
    <w:rsid w:val="00EE0006"/>
    <w:rsid w:val="00EE0D80"/>
    <w:rsid w:val="00EE0DCF"/>
    <w:rsid w:val="00EE1437"/>
    <w:rsid w:val="00EE143C"/>
    <w:rsid w:val="00EE1F93"/>
    <w:rsid w:val="00EE32CC"/>
    <w:rsid w:val="00EE38BF"/>
    <w:rsid w:val="00EE3E8E"/>
    <w:rsid w:val="00EE5252"/>
    <w:rsid w:val="00EE5D30"/>
    <w:rsid w:val="00EE60BB"/>
    <w:rsid w:val="00EF0A2D"/>
    <w:rsid w:val="00EF1BE7"/>
    <w:rsid w:val="00EF2487"/>
    <w:rsid w:val="00EF2F13"/>
    <w:rsid w:val="00EF3104"/>
    <w:rsid w:val="00EF3C04"/>
    <w:rsid w:val="00EF4D5A"/>
    <w:rsid w:val="00EF5F6B"/>
    <w:rsid w:val="00EF6596"/>
    <w:rsid w:val="00EF69F4"/>
    <w:rsid w:val="00EF6CAD"/>
    <w:rsid w:val="00EF7179"/>
    <w:rsid w:val="00EF770C"/>
    <w:rsid w:val="00F00521"/>
    <w:rsid w:val="00F007BC"/>
    <w:rsid w:val="00F0181A"/>
    <w:rsid w:val="00F0217F"/>
    <w:rsid w:val="00F03D4A"/>
    <w:rsid w:val="00F058F5"/>
    <w:rsid w:val="00F05C5D"/>
    <w:rsid w:val="00F05C96"/>
    <w:rsid w:val="00F06067"/>
    <w:rsid w:val="00F0607D"/>
    <w:rsid w:val="00F06618"/>
    <w:rsid w:val="00F10637"/>
    <w:rsid w:val="00F122A0"/>
    <w:rsid w:val="00F145BC"/>
    <w:rsid w:val="00F15EAB"/>
    <w:rsid w:val="00F15EFB"/>
    <w:rsid w:val="00F165C6"/>
    <w:rsid w:val="00F1758F"/>
    <w:rsid w:val="00F2005C"/>
    <w:rsid w:val="00F202F9"/>
    <w:rsid w:val="00F2061A"/>
    <w:rsid w:val="00F233B5"/>
    <w:rsid w:val="00F24B1C"/>
    <w:rsid w:val="00F25338"/>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623"/>
    <w:rsid w:val="00F55BBB"/>
    <w:rsid w:val="00F5635E"/>
    <w:rsid w:val="00F600B2"/>
    <w:rsid w:val="00F611F2"/>
    <w:rsid w:val="00F620A3"/>
    <w:rsid w:val="00F62764"/>
    <w:rsid w:val="00F62BE9"/>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84"/>
    <w:rsid w:val="00F80526"/>
    <w:rsid w:val="00F80C15"/>
    <w:rsid w:val="00F81505"/>
    <w:rsid w:val="00F8310C"/>
    <w:rsid w:val="00F8469B"/>
    <w:rsid w:val="00F84D3E"/>
    <w:rsid w:val="00F86CE9"/>
    <w:rsid w:val="00F87154"/>
    <w:rsid w:val="00F8779D"/>
    <w:rsid w:val="00F878E3"/>
    <w:rsid w:val="00F87A1F"/>
    <w:rsid w:val="00F9163C"/>
    <w:rsid w:val="00F91E33"/>
    <w:rsid w:val="00F92426"/>
    <w:rsid w:val="00F9426F"/>
    <w:rsid w:val="00F9467D"/>
    <w:rsid w:val="00F94B51"/>
    <w:rsid w:val="00F94B7F"/>
    <w:rsid w:val="00F95677"/>
    <w:rsid w:val="00F956C8"/>
    <w:rsid w:val="00F95D43"/>
    <w:rsid w:val="00F974EC"/>
    <w:rsid w:val="00F97E58"/>
    <w:rsid w:val="00FA09FA"/>
    <w:rsid w:val="00FA15E3"/>
    <w:rsid w:val="00FA368B"/>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4D50"/>
    <w:rsid w:val="00FB5996"/>
    <w:rsid w:val="00FB5F7F"/>
    <w:rsid w:val="00FB6370"/>
    <w:rsid w:val="00FB7944"/>
    <w:rsid w:val="00FB7D62"/>
    <w:rsid w:val="00FC0B24"/>
    <w:rsid w:val="00FC169E"/>
    <w:rsid w:val="00FC3844"/>
    <w:rsid w:val="00FC435B"/>
    <w:rsid w:val="00FC4808"/>
    <w:rsid w:val="00FC4F92"/>
    <w:rsid w:val="00FC7133"/>
    <w:rsid w:val="00FD0742"/>
    <w:rsid w:val="00FD0955"/>
    <w:rsid w:val="00FD1200"/>
    <w:rsid w:val="00FD1372"/>
    <w:rsid w:val="00FD1C0A"/>
    <w:rsid w:val="00FD1C84"/>
    <w:rsid w:val="00FD251A"/>
    <w:rsid w:val="00FD2A32"/>
    <w:rsid w:val="00FD2BE7"/>
    <w:rsid w:val="00FD33B4"/>
    <w:rsid w:val="00FD33F0"/>
    <w:rsid w:val="00FD3C2A"/>
    <w:rsid w:val="00FD47C6"/>
    <w:rsid w:val="00FD4C91"/>
    <w:rsid w:val="00FD4FB7"/>
    <w:rsid w:val="00FD5FDF"/>
    <w:rsid w:val="00FD6A36"/>
    <w:rsid w:val="00FD780C"/>
    <w:rsid w:val="00FD7AF7"/>
    <w:rsid w:val="00FD7CEC"/>
    <w:rsid w:val="00FE0463"/>
    <w:rsid w:val="00FE08AC"/>
    <w:rsid w:val="00FE0BB0"/>
    <w:rsid w:val="00FE12FF"/>
    <w:rsid w:val="00FE4664"/>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7E05-61B8-4BF5-B1AE-E1ACB929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6</cp:revision>
  <cp:lastPrinted>2012-01-27T16:46:00Z</cp:lastPrinted>
  <dcterms:created xsi:type="dcterms:W3CDTF">2012-01-18T14:37:00Z</dcterms:created>
  <dcterms:modified xsi:type="dcterms:W3CDTF">2012-01-27T16:46:00Z</dcterms:modified>
</cp:coreProperties>
</file>