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4FE" w:rsidRPr="002A5D4B" w:rsidRDefault="009304FE" w:rsidP="002A5A92">
      <w:pPr>
        <w:jc w:val="center"/>
        <w:rPr>
          <w:b/>
          <w:sz w:val="26"/>
          <w:szCs w:val="26"/>
        </w:rPr>
      </w:pPr>
      <w:r w:rsidRPr="002A5D4B">
        <w:rPr>
          <w:b/>
          <w:sz w:val="26"/>
          <w:szCs w:val="26"/>
        </w:rPr>
        <w:t>PENNSYLVANIA</w:t>
      </w:r>
    </w:p>
    <w:p w:rsidR="009304FE" w:rsidRPr="002A5D4B" w:rsidRDefault="009304FE" w:rsidP="002A5A92">
      <w:pPr>
        <w:jc w:val="center"/>
        <w:rPr>
          <w:b/>
          <w:sz w:val="26"/>
          <w:szCs w:val="26"/>
        </w:rPr>
      </w:pPr>
      <w:r w:rsidRPr="002A5D4B">
        <w:rPr>
          <w:b/>
          <w:sz w:val="26"/>
          <w:szCs w:val="26"/>
        </w:rPr>
        <w:t>PUBLIC UTILITY COMMISSION</w:t>
      </w:r>
    </w:p>
    <w:p w:rsidR="009304FE" w:rsidRPr="002A5D4B" w:rsidRDefault="009304FE" w:rsidP="002A5A92">
      <w:pPr>
        <w:jc w:val="center"/>
        <w:rPr>
          <w:b/>
          <w:sz w:val="26"/>
          <w:szCs w:val="26"/>
        </w:rPr>
      </w:pPr>
      <w:smartTag w:uri="urn:schemas-microsoft-com:office:smarttags" w:element="place">
        <w:smartTag w:uri="urn:schemas-microsoft-com:office:smarttags" w:element="City">
          <w:r w:rsidRPr="002A5D4B">
            <w:rPr>
              <w:b/>
              <w:sz w:val="26"/>
              <w:szCs w:val="26"/>
            </w:rPr>
            <w:t>Harrisburg</w:t>
          </w:r>
        </w:smartTag>
        <w:r w:rsidRPr="002A5D4B">
          <w:rPr>
            <w:b/>
            <w:sz w:val="26"/>
            <w:szCs w:val="26"/>
          </w:rPr>
          <w:t xml:space="preserve">, </w:t>
        </w:r>
        <w:smartTag w:uri="urn:schemas-microsoft-com:office:smarttags" w:element="State">
          <w:r w:rsidRPr="002A5D4B">
            <w:rPr>
              <w:b/>
              <w:sz w:val="26"/>
              <w:szCs w:val="26"/>
            </w:rPr>
            <w:t>PA</w:t>
          </w:r>
        </w:smartTag>
        <w:r w:rsidRPr="002A5D4B">
          <w:rPr>
            <w:b/>
            <w:sz w:val="26"/>
            <w:szCs w:val="26"/>
          </w:rPr>
          <w:t xml:space="preserve"> </w:t>
        </w:r>
        <w:smartTag w:uri="urn:schemas-microsoft-com:office:smarttags" w:element="PostalCode">
          <w:r w:rsidRPr="002A5D4B">
            <w:rPr>
              <w:b/>
              <w:sz w:val="26"/>
              <w:szCs w:val="26"/>
            </w:rPr>
            <w:t>17105-3265</w:t>
          </w:r>
        </w:smartTag>
      </w:smartTag>
    </w:p>
    <w:p w:rsidR="009304FE" w:rsidRPr="00BA66A4" w:rsidRDefault="009304FE" w:rsidP="002A5A92">
      <w:pPr>
        <w:rPr>
          <w:sz w:val="26"/>
          <w:szCs w:val="26"/>
        </w:rPr>
      </w:pPr>
    </w:p>
    <w:p w:rsidR="009304FE" w:rsidRPr="002A5D4B" w:rsidRDefault="009304FE" w:rsidP="002A5A92">
      <w:pPr>
        <w:jc w:val="right"/>
        <w:rPr>
          <w:sz w:val="26"/>
          <w:szCs w:val="26"/>
        </w:rPr>
      </w:pPr>
      <w:r>
        <w:rPr>
          <w:sz w:val="26"/>
          <w:szCs w:val="26"/>
        </w:rPr>
        <w:t>P</w:t>
      </w:r>
      <w:r w:rsidRPr="002A5D4B">
        <w:rPr>
          <w:sz w:val="26"/>
          <w:szCs w:val="26"/>
        </w:rPr>
        <w:t xml:space="preserve">ublic Meeting held </w:t>
      </w:r>
      <w:r w:rsidR="00CA1710">
        <w:rPr>
          <w:sz w:val="26"/>
          <w:szCs w:val="26"/>
        </w:rPr>
        <w:t xml:space="preserve">January </w:t>
      </w:r>
      <w:r w:rsidR="00A013C6">
        <w:rPr>
          <w:sz w:val="26"/>
          <w:szCs w:val="26"/>
        </w:rPr>
        <w:t>27</w:t>
      </w:r>
      <w:r w:rsidR="00727163">
        <w:rPr>
          <w:sz w:val="26"/>
          <w:szCs w:val="26"/>
        </w:rPr>
        <w:t xml:space="preserve">, </w:t>
      </w:r>
      <w:r w:rsidRPr="00B01CA9">
        <w:rPr>
          <w:kern w:val="1"/>
          <w:sz w:val="26"/>
          <w:szCs w:val="26"/>
        </w:rPr>
        <w:t>20</w:t>
      </w:r>
      <w:r w:rsidR="00BB25C7">
        <w:rPr>
          <w:kern w:val="1"/>
          <w:sz w:val="26"/>
          <w:szCs w:val="26"/>
        </w:rPr>
        <w:t>1</w:t>
      </w:r>
      <w:r w:rsidR="00CA1710">
        <w:rPr>
          <w:kern w:val="1"/>
          <w:sz w:val="26"/>
          <w:szCs w:val="26"/>
        </w:rPr>
        <w:t>2</w:t>
      </w:r>
    </w:p>
    <w:p w:rsidR="009304FE" w:rsidRDefault="009304FE" w:rsidP="002A5A92">
      <w:pPr>
        <w:rPr>
          <w:sz w:val="26"/>
          <w:szCs w:val="26"/>
        </w:rPr>
      </w:pPr>
    </w:p>
    <w:p w:rsidR="00852CA4" w:rsidRPr="002A5D4B" w:rsidRDefault="00852CA4" w:rsidP="002A5A92">
      <w:pPr>
        <w:rPr>
          <w:sz w:val="26"/>
          <w:szCs w:val="26"/>
        </w:rPr>
      </w:pPr>
    </w:p>
    <w:p w:rsidR="009304FE" w:rsidRDefault="009304FE" w:rsidP="002A5A92">
      <w:pPr>
        <w:rPr>
          <w:sz w:val="26"/>
          <w:szCs w:val="26"/>
        </w:rPr>
      </w:pPr>
      <w:r w:rsidRPr="002A5D4B">
        <w:rPr>
          <w:sz w:val="26"/>
          <w:szCs w:val="26"/>
        </w:rPr>
        <w:t>Commissioners Present:</w:t>
      </w:r>
    </w:p>
    <w:p w:rsidR="00B21832" w:rsidRPr="002A5D4B" w:rsidRDefault="00B21832" w:rsidP="002A5A92">
      <w:pPr>
        <w:rPr>
          <w:sz w:val="26"/>
          <w:szCs w:val="26"/>
        </w:rPr>
      </w:pPr>
    </w:p>
    <w:p w:rsidR="009304FE" w:rsidRDefault="009304FE" w:rsidP="002A5A92">
      <w:pPr>
        <w:rPr>
          <w:sz w:val="26"/>
          <w:szCs w:val="26"/>
        </w:rPr>
      </w:pPr>
    </w:p>
    <w:p w:rsidR="009304FE" w:rsidRPr="002A5D4B" w:rsidRDefault="009304FE" w:rsidP="002A5A92">
      <w:pPr>
        <w:rPr>
          <w:sz w:val="26"/>
          <w:szCs w:val="26"/>
        </w:rPr>
      </w:pPr>
      <w:r>
        <w:rPr>
          <w:sz w:val="26"/>
          <w:szCs w:val="26"/>
        </w:rPr>
        <w:tab/>
      </w:r>
      <w:r w:rsidR="00727163">
        <w:rPr>
          <w:sz w:val="26"/>
          <w:szCs w:val="26"/>
        </w:rPr>
        <w:t>Robert F. Powelson</w:t>
      </w:r>
      <w:r w:rsidRPr="002A5D4B">
        <w:rPr>
          <w:sz w:val="26"/>
          <w:szCs w:val="26"/>
        </w:rPr>
        <w:t>, Chairman</w:t>
      </w:r>
    </w:p>
    <w:p w:rsidR="009304FE" w:rsidRDefault="009304FE" w:rsidP="002A5A92">
      <w:pPr>
        <w:rPr>
          <w:sz w:val="26"/>
          <w:szCs w:val="26"/>
        </w:rPr>
      </w:pPr>
      <w:r>
        <w:rPr>
          <w:sz w:val="26"/>
          <w:szCs w:val="26"/>
        </w:rPr>
        <w:tab/>
      </w:r>
      <w:r w:rsidR="00727163">
        <w:rPr>
          <w:sz w:val="26"/>
          <w:szCs w:val="26"/>
        </w:rPr>
        <w:t>John F. Coleman, Jr.</w:t>
      </w:r>
      <w:r w:rsidRPr="002A5D4B">
        <w:rPr>
          <w:sz w:val="26"/>
          <w:szCs w:val="26"/>
        </w:rPr>
        <w:t>, Vice Chairman</w:t>
      </w:r>
    </w:p>
    <w:p w:rsidR="009304FE" w:rsidRPr="002A5D4B" w:rsidRDefault="001C7F88" w:rsidP="002A5A92">
      <w:pPr>
        <w:rPr>
          <w:sz w:val="26"/>
          <w:szCs w:val="26"/>
        </w:rPr>
      </w:pPr>
      <w:r>
        <w:rPr>
          <w:sz w:val="26"/>
          <w:szCs w:val="26"/>
        </w:rPr>
        <w:tab/>
      </w:r>
      <w:r w:rsidR="009304FE">
        <w:rPr>
          <w:sz w:val="26"/>
          <w:szCs w:val="26"/>
        </w:rPr>
        <w:t>Wayne E. Gardner</w:t>
      </w:r>
    </w:p>
    <w:p w:rsidR="009304FE" w:rsidRDefault="009304FE" w:rsidP="002A5A92">
      <w:pPr>
        <w:rPr>
          <w:sz w:val="26"/>
          <w:szCs w:val="26"/>
        </w:rPr>
      </w:pPr>
      <w:r w:rsidRPr="002A5D4B">
        <w:rPr>
          <w:sz w:val="26"/>
          <w:szCs w:val="26"/>
        </w:rPr>
        <w:tab/>
      </w:r>
      <w:r w:rsidR="00727163">
        <w:rPr>
          <w:sz w:val="26"/>
          <w:szCs w:val="26"/>
        </w:rPr>
        <w:t>James H. Cawley</w:t>
      </w:r>
    </w:p>
    <w:p w:rsidR="00727163" w:rsidRDefault="00727163" w:rsidP="002A5A92">
      <w:pPr>
        <w:rPr>
          <w:sz w:val="26"/>
          <w:szCs w:val="26"/>
        </w:rPr>
      </w:pPr>
      <w:r>
        <w:rPr>
          <w:sz w:val="26"/>
          <w:szCs w:val="26"/>
        </w:rPr>
        <w:tab/>
        <w:t>Pamela A. Witmer</w:t>
      </w:r>
    </w:p>
    <w:p w:rsidR="009304FE" w:rsidRDefault="009304FE" w:rsidP="002A5A92"/>
    <w:p w:rsidR="004E61BF" w:rsidRDefault="004E61BF" w:rsidP="002A5A92">
      <w:pPr>
        <w:tabs>
          <w:tab w:val="left" w:pos="-720"/>
          <w:tab w:val="left" w:pos="0"/>
        </w:tabs>
        <w:suppressAutoHyphens/>
        <w:rPr>
          <w:sz w:val="26"/>
          <w:szCs w:val="26"/>
        </w:rPr>
      </w:pPr>
    </w:p>
    <w:p w:rsidR="00727163" w:rsidRDefault="00CA1710" w:rsidP="002A5A92">
      <w:pPr>
        <w:tabs>
          <w:tab w:val="left" w:pos="-720"/>
        </w:tabs>
        <w:suppressAutoHyphens/>
        <w:rPr>
          <w:sz w:val="26"/>
        </w:rPr>
      </w:pPr>
      <w:r>
        <w:rPr>
          <w:sz w:val="26"/>
        </w:rPr>
        <w:t>Margaret Katz and Alan Katz for</w:t>
      </w:r>
      <w:r>
        <w:rPr>
          <w:sz w:val="26"/>
        </w:rPr>
        <w:tab/>
      </w:r>
      <w:r>
        <w:rPr>
          <w:sz w:val="26"/>
        </w:rPr>
        <w:tab/>
      </w:r>
      <w:r>
        <w:rPr>
          <w:sz w:val="26"/>
        </w:rPr>
        <w:tab/>
      </w:r>
      <w:r w:rsidR="00533CE6">
        <w:rPr>
          <w:sz w:val="26"/>
        </w:rPr>
        <w:tab/>
      </w:r>
      <w:r w:rsidR="00533CE6">
        <w:rPr>
          <w:sz w:val="26"/>
        </w:rPr>
        <w:tab/>
      </w:r>
      <w:r w:rsidR="00533CE6">
        <w:rPr>
          <w:sz w:val="26"/>
        </w:rPr>
        <w:tab/>
        <w:t>F-2010-2211384</w:t>
      </w:r>
    </w:p>
    <w:p w:rsidR="00CA1710" w:rsidRDefault="00CA1710" w:rsidP="002A5A92">
      <w:pPr>
        <w:tabs>
          <w:tab w:val="left" w:pos="-720"/>
        </w:tabs>
        <w:suppressAutoHyphens/>
        <w:rPr>
          <w:sz w:val="26"/>
        </w:rPr>
      </w:pPr>
      <w:r>
        <w:rPr>
          <w:sz w:val="26"/>
        </w:rPr>
        <w:t>Michael Katz</w:t>
      </w:r>
    </w:p>
    <w:p w:rsidR="00217165" w:rsidRDefault="00217165" w:rsidP="002A5A92">
      <w:pPr>
        <w:tabs>
          <w:tab w:val="left" w:pos="-720"/>
        </w:tabs>
        <w:suppressAutoHyphens/>
        <w:rPr>
          <w:sz w:val="26"/>
        </w:rPr>
      </w:pPr>
    </w:p>
    <w:p w:rsidR="00CA1710" w:rsidRDefault="00CA1710" w:rsidP="002A5A92">
      <w:pPr>
        <w:tabs>
          <w:tab w:val="left" w:pos="-720"/>
        </w:tabs>
        <w:suppressAutoHyphens/>
        <w:rPr>
          <w:sz w:val="26"/>
        </w:rPr>
      </w:pPr>
      <w:r>
        <w:rPr>
          <w:sz w:val="26"/>
        </w:rPr>
        <w:tab/>
      </w:r>
      <w:r>
        <w:rPr>
          <w:sz w:val="26"/>
        </w:rPr>
        <w:tab/>
        <w:t>v.</w:t>
      </w:r>
      <w:r>
        <w:rPr>
          <w:sz w:val="26"/>
        </w:rPr>
        <w:tab/>
      </w:r>
      <w:r>
        <w:rPr>
          <w:sz w:val="26"/>
        </w:rPr>
        <w:tab/>
      </w:r>
      <w:r>
        <w:rPr>
          <w:sz w:val="26"/>
        </w:rPr>
        <w:tab/>
      </w:r>
      <w:r>
        <w:rPr>
          <w:sz w:val="26"/>
        </w:rPr>
        <w:tab/>
      </w:r>
      <w:r>
        <w:rPr>
          <w:sz w:val="26"/>
        </w:rPr>
        <w:tab/>
      </w:r>
    </w:p>
    <w:p w:rsidR="00217165" w:rsidRDefault="00217165" w:rsidP="002A5A92">
      <w:pPr>
        <w:tabs>
          <w:tab w:val="left" w:pos="-720"/>
        </w:tabs>
        <w:suppressAutoHyphens/>
        <w:rPr>
          <w:sz w:val="26"/>
        </w:rPr>
      </w:pPr>
    </w:p>
    <w:p w:rsidR="00CA1710" w:rsidRDefault="00CA1710" w:rsidP="002A5A92">
      <w:pPr>
        <w:tabs>
          <w:tab w:val="left" w:pos="-720"/>
        </w:tabs>
        <w:suppressAutoHyphens/>
        <w:rPr>
          <w:sz w:val="26"/>
        </w:rPr>
      </w:pPr>
      <w:r>
        <w:rPr>
          <w:sz w:val="26"/>
        </w:rPr>
        <w:t>PPL Electric Utilities Corporation</w:t>
      </w:r>
    </w:p>
    <w:p w:rsidR="00CA1710" w:rsidRDefault="00CA1710" w:rsidP="002A5A92">
      <w:pPr>
        <w:tabs>
          <w:tab w:val="left" w:pos="-720"/>
        </w:tabs>
        <w:suppressAutoHyphens/>
        <w:rPr>
          <w:sz w:val="26"/>
        </w:rPr>
      </w:pPr>
    </w:p>
    <w:p w:rsidR="00852CA4" w:rsidRPr="00624B80" w:rsidRDefault="00852CA4" w:rsidP="002A5A92">
      <w:pPr>
        <w:tabs>
          <w:tab w:val="left" w:pos="-720"/>
        </w:tabs>
        <w:suppressAutoHyphens/>
        <w:rPr>
          <w:sz w:val="26"/>
        </w:rPr>
      </w:pPr>
    </w:p>
    <w:p w:rsidR="009304FE" w:rsidRDefault="009304FE" w:rsidP="002A5A92">
      <w:pPr>
        <w:tabs>
          <w:tab w:val="center" w:pos="4680"/>
        </w:tabs>
        <w:suppressAutoHyphens/>
        <w:jc w:val="center"/>
        <w:rPr>
          <w:b/>
          <w:sz w:val="26"/>
        </w:rPr>
      </w:pPr>
      <w:r w:rsidRPr="00624B80">
        <w:rPr>
          <w:b/>
          <w:sz w:val="26"/>
        </w:rPr>
        <w:t xml:space="preserve">OPINION </w:t>
      </w:r>
      <w:smartTag w:uri="urn:schemas-microsoft-com:office:smarttags" w:element="stockticker">
        <w:r w:rsidRPr="00624B80">
          <w:rPr>
            <w:b/>
            <w:sz w:val="26"/>
          </w:rPr>
          <w:t>AND</w:t>
        </w:r>
      </w:smartTag>
      <w:r w:rsidRPr="00624B80">
        <w:rPr>
          <w:b/>
          <w:sz w:val="26"/>
        </w:rPr>
        <w:t xml:space="preserve"> ORDER</w:t>
      </w:r>
    </w:p>
    <w:p w:rsidR="00CA6BAF" w:rsidRPr="00624B80" w:rsidRDefault="00CA6BAF" w:rsidP="002A5A92">
      <w:pPr>
        <w:tabs>
          <w:tab w:val="left" w:pos="-720"/>
        </w:tabs>
        <w:suppressAutoHyphens/>
        <w:spacing w:line="360" w:lineRule="auto"/>
        <w:rPr>
          <w:b/>
          <w:sz w:val="26"/>
        </w:rPr>
      </w:pPr>
    </w:p>
    <w:p w:rsidR="009304FE" w:rsidRPr="00624B80" w:rsidRDefault="009304FE" w:rsidP="002A5A92">
      <w:pPr>
        <w:tabs>
          <w:tab w:val="left" w:pos="-720"/>
        </w:tabs>
        <w:suppressAutoHyphens/>
        <w:spacing w:line="360" w:lineRule="auto"/>
        <w:rPr>
          <w:sz w:val="26"/>
        </w:rPr>
      </w:pPr>
      <w:r w:rsidRPr="00624B80">
        <w:rPr>
          <w:b/>
          <w:sz w:val="26"/>
        </w:rPr>
        <w:t>BY THE COMMISSION:</w:t>
      </w:r>
    </w:p>
    <w:p w:rsidR="009304FE" w:rsidRPr="00585188" w:rsidRDefault="009304FE" w:rsidP="002A5A92">
      <w:pPr>
        <w:rPr>
          <w:sz w:val="26"/>
          <w:szCs w:val="26"/>
        </w:rPr>
      </w:pPr>
    </w:p>
    <w:p w:rsidR="002A5A92" w:rsidRDefault="009304FE" w:rsidP="002A5A92">
      <w:pPr>
        <w:spacing w:line="360" w:lineRule="auto"/>
        <w:ind w:firstLine="1440"/>
        <w:rPr>
          <w:sz w:val="26"/>
          <w:szCs w:val="26"/>
        </w:rPr>
      </w:pPr>
      <w:r w:rsidRPr="00585188">
        <w:rPr>
          <w:sz w:val="26"/>
          <w:szCs w:val="26"/>
        </w:rPr>
        <w:t xml:space="preserve">Before the </w:t>
      </w:r>
      <w:r>
        <w:rPr>
          <w:sz w:val="26"/>
          <w:szCs w:val="26"/>
        </w:rPr>
        <w:t>Pennsylvania Public Utility Commission (</w:t>
      </w:r>
      <w:r w:rsidRPr="00585188">
        <w:rPr>
          <w:sz w:val="26"/>
          <w:szCs w:val="26"/>
        </w:rPr>
        <w:t>Commission</w:t>
      </w:r>
      <w:r>
        <w:rPr>
          <w:sz w:val="26"/>
          <w:szCs w:val="26"/>
        </w:rPr>
        <w:t>)</w:t>
      </w:r>
      <w:r w:rsidRPr="00585188">
        <w:rPr>
          <w:sz w:val="26"/>
          <w:szCs w:val="26"/>
        </w:rPr>
        <w:t xml:space="preserve"> for consideration </w:t>
      </w:r>
      <w:r>
        <w:rPr>
          <w:sz w:val="26"/>
          <w:szCs w:val="26"/>
        </w:rPr>
        <w:t xml:space="preserve">and disposition </w:t>
      </w:r>
      <w:r w:rsidRPr="00585188">
        <w:rPr>
          <w:sz w:val="26"/>
          <w:szCs w:val="26"/>
        </w:rPr>
        <w:t xml:space="preserve">are the </w:t>
      </w:r>
      <w:r w:rsidR="002161A1">
        <w:rPr>
          <w:sz w:val="26"/>
          <w:szCs w:val="26"/>
        </w:rPr>
        <w:t xml:space="preserve">Initial Decision </w:t>
      </w:r>
      <w:r w:rsidR="00533CE6">
        <w:rPr>
          <w:sz w:val="26"/>
          <w:szCs w:val="26"/>
        </w:rPr>
        <w:t xml:space="preserve">Sustaining Preliminary Objection and Dismissing Complaint </w:t>
      </w:r>
      <w:r w:rsidR="002161A1">
        <w:rPr>
          <w:sz w:val="26"/>
          <w:szCs w:val="26"/>
        </w:rPr>
        <w:t>(</w:t>
      </w:r>
      <w:r w:rsidR="00A573A6">
        <w:rPr>
          <w:sz w:val="26"/>
          <w:szCs w:val="26"/>
        </w:rPr>
        <w:t xml:space="preserve">Initial Decision or </w:t>
      </w:r>
      <w:r w:rsidR="002161A1">
        <w:rPr>
          <w:sz w:val="26"/>
          <w:szCs w:val="26"/>
        </w:rPr>
        <w:t xml:space="preserve">I.D.) of Administrative Law Judge (ALJ) David A. Salapa issued on March 16, 2011, the Exceptions filed by Margaret and Alan Katz </w:t>
      </w:r>
      <w:r w:rsidR="00E41E44">
        <w:rPr>
          <w:sz w:val="26"/>
          <w:szCs w:val="26"/>
        </w:rPr>
        <w:t xml:space="preserve">(Complainants) </w:t>
      </w:r>
      <w:r w:rsidR="002161A1">
        <w:rPr>
          <w:sz w:val="26"/>
          <w:szCs w:val="26"/>
        </w:rPr>
        <w:t>on behalf of Michael Katz (</w:t>
      </w:r>
      <w:r w:rsidR="00E41E44">
        <w:rPr>
          <w:sz w:val="26"/>
          <w:szCs w:val="26"/>
        </w:rPr>
        <w:t>the Customer</w:t>
      </w:r>
      <w:r w:rsidR="002161A1">
        <w:rPr>
          <w:sz w:val="26"/>
          <w:szCs w:val="26"/>
        </w:rPr>
        <w:t>) on March 3</w:t>
      </w:r>
      <w:r w:rsidR="000B2A5C">
        <w:rPr>
          <w:sz w:val="26"/>
          <w:szCs w:val="26"/>
        </w:rPr>
        <w:t>0</w:t>
      </w:r>
      <w:r w:rsidR="002161A1">
        <w:rPr>
          <w:sz w:val="26"/>
          <w:szCs w:val="26"/>
        </w:rPr>
        <w:t xml:space="preserve">, 2011, and </w:t>
      </w:r>
    </w:p>
    <w:p w:rsidR="002A5A92" w:rsidRDefault="002A5A92" w:rsidP="002A5A92">
      <w:pPr>
        <w:spacing w:line="360" w:lineRule="auto"/>
        <w:ind w:firstLine="1440"/>
        <w:rPr>
          <w:sz w:val="26"/>
          <w:szCs w:val="26"/>
        </w:rPr>
      </w:pPr>
    </w:p>
    <w:p w:rsidR="002A5A92" w:rsidRDefault="002A5A92" w:rsidP="002A5A92">
      <w:pPr>
        <w:spacing w:line="360" w:lineRule="auto"/>
        <w:ind w:firstLine="1440"/>
        <w:rPr>
          <w:sz w:val="26"/>
          <w:szCs w:val="26"/>
        </w:rPr>
      </w:pPr>
    </w:p>
    <w:p w:rsidR="002A5A92" w:rsidRDefault="002A5A92" w:rsidP="002A5A92">
      <w:pPr>
        <w:spacing w:line="360" w:lineRule="auto"/>
        <w:ind w:firstLine="1440"/>
        <w:rPr>
          <w:sz w:val="26"/>
          <w:szCs w:val="26"/>
        </w:rPr>
      </w:pPr>
    </w:p>
    <w:p w:rsidR="002A5A92" w:rsidRDefault="002A5A92" w:rsidP="002A5A92">
      <w:pPr>
        <w:spacing w:line="360" w:lineRule="auto"/>
        <w:ind w:firstLine="1440"/>
        <w:rPr>
          <w:sz w:val="26"/>
          <w:szCs w:val="26"/>
        </w:rPr>
      </w:pPr>
    </w:p>
    <w:p w:rsidR="007915C2" w:rsidRDefault="002161A1" w:rsidP="002A5A92">
      <w:pPr>
        <w:spacing w:line="360" w:lineRule="auto"/>
        <w:rPr>
          <w:sz w:val="26"/>
          <w:szCs w:val="26"/>
        </w:rPr>
      </w:pPr>
      <w:r>
        <w:rPr>
          <w:sz w:val="26"/>
          <w:szCs w:val="26"/>
        </w:rPr>
        <w:lastRenderedPageBreak/>
        <w:t xml:space="preserve">the Replies to Exceptions filed on April 8, 2011, by PPL Electric Utilities Corporation </w:t>
      </w:r>
    </w:p>
    <w:p w:rsidR="00FC776E" w:rsidRDefault="002161A1" w:rsidP="002A5A92">
      <w:pPr>
        <w:spacing w:line="360" w:lineRule="auto"/>
        <w:rPr>
          <w:sz w:val="26"/>
          <w:szCs w:val="26"/>
        </w:rPr>
      </w:pPr>
      <w:r>
        <w:rPr>
          <w:sz w:val="26"/>
          <w:szCs w:val="26"/>
        </w:rPr>
        <w:t>(PPL).</w:t>
      </w:r>
      <w:r w:rsidR="00A82079">
        <w:rPr>
          <w:rStyle w:val="FootnoteReference"/>
        </w:rPr>
        <w:footnoteReference w:id="1"/>
      </w:r>
      <w:r>
        <w:rPr>
          <w:sz w:val="26"/>
          <w:szCs w:val="26"/>
        </w:rPr>
        <w:t xml:space="preserve">  </w:t>
      </w:r>
    </w:p>
    <w:p w:rsidR="00BC207B" w:rsidRDefault="00BC207B" w:rsidP="002A5A92">
      <w:pPr>
        <w:spacing w:line="360" w:lineRule="auto"/>
        <w:jc w:val="center"/>
        <w:rPr>
          <w:b/>
          <w:sz w:val="26"/>
          <w:szCs w:val="26"/>
        </w:rPr>
      </w:pPr>
    </w:p>
    <w:p w:rsidR="009304FE" w:rsidRDefault="00F55BED" w:rsidP="002A5A92">
      <w:pPr>
        <w:spacing w:line="360" w:lineRule="auto"/>
        <w:jc w:val="center"/>
        <w:rPr>
          <w:b/>
          <w:sz w:val="26"/>
          <w:szCs w:val="26"/>
        </w:rPr>
      </w:pPr>
      <w:r w:rsidRPr="00CA1972">
        <w:rPr>
          <w:b/>
          <w:sz w:val="26"/>
          <w:szCs w:val="26"/>
        </w:rPr>
        <w:t>History of the Proceeding</w:t>
      </w:r>
      <w:r w:rsidR="00A82079">
        <w:rPr>
          <w:rStyle w:val="FootnoteReference"/>
          <w:b/>
        </w:rPr>
        <w:footnoteReference w:id="2"/>
      </w:r>
    </w:p>
    <w:p w:rsidR="00E41E44" w:rsidRDefault="00E41E44" w:rsidP="002A5A92">
      <w:pPr>
        <w:spacing w:line="360" w:lineRule="auto"/>
        <w:jc w:val="center"/>
        <w:rPr>
          <w:b/>
          <w:sz w:val="26"/>
          <w:szCs w:val="26"/>
        </w:rPr>
      </w:pPr>
    </w:p>
    <w:p w:rsidR="00E41E44" w:rsidRPr="00E41E44" w:rsidRDefault="00E41E44" w:rsidP="002A5A92">
      <w:pPr>
        <w:pStyle w:val="ParaTab1"/>
        <w:spacing w:line="360" w:lineRule="auto"/>
        <w:ind w:left="90" w:firstLine="1350"/>
        <w:rPr>
          <w:rFonts w:ascii="Times New Roman" w:hAnsi="Times New Roman" w:cs="Times New Roman"/>
          <w:sz w:val="26"/>
          <w:szCs w:val="26"/>
        </w:rPr>
      </w:pPr>
      <w:r w:rsidRPr="00E41E44">
        <w:rPr>
          <w:rFonts w:ascii="Times New Roman" w:hAnsi="Times New Roman" w:cs="Times New Roman"/>
          <w:sz w:val="26"/>
          <w:szCs w:val="26"/>
        </w:rPr>
        <w:t xml:space="preserve">On November 16, 2010, </w:t>
      </w:r>
      <w:r>
        <w:rPr>
          <w:rFonts w:ascii="Times New Roman" w:hAnsi="Times New Roman" w:cs="Times New Roman"/>
          <w:sz w:val="26"/>
          <w:szCs w:val="26"/>
        </w:rPr>
        <w:t>the Complainants f</w:t>
      </w:r>
      <w:r w:rsidRPr="00E41E44">
        <w:rPr>
          <w:rFonts w:ascii="Times New Roman" w:hAnsi="Times New Roman" w:cs="Times New Roman"/>
          <w:sz w:val="26"/>
          <w:szCs w:val="26"/>
        </w:rPr>
        <w:t>iled a</w:t>
      </w:r>
      <w:r>
        <w:rPr>
          <w:rFonts w:ascii="Times New Roman" w:hAnsi="Times New Roman" w:cs="Times New Roman"/>
          <w:sz w:val="26"/>
          <w:szCs w:val="26"/>
        </w:rPr>
        <w:t xml:space="preserve"> formal</w:t>
      </w:r>
      <w:r w:rsidRPr="00E41E44">
        <w:rPr>
          <w:rFonts w:ascii="Times New Roman" w:hAnsi="Times New Roman" w:cs="Times New Roman"/>
          <w:sz w:val="26"/>
          <w:szCs w:val="26"/>
        </w:rPr>
        <w:t xml:space="preserve"> </w:t>
      </w:r>
      <w:r>
        <w:rPr>
          <w:rFonts w:ascii="Times New Roman" w:hAnsi="Times New Roman" w:cs="Times New Roman"/>
          <w:sz w:val="26"/>
          <w:szCs w:val="26"/>
        </w:rPr>
        <w:t>C</w:t>
      </w:r>
      <w:r w:rsidRPr="00E41E44">
        <w:rPr>
          <w:rFonts w:ascii="Times New Roman" w:hAnsi="Times New Roman" w:cs="Times New Roman"/>
          <w:sz w:val="26"/>
          <w:szCs w:val="26"/>
        </w:rPr>
        <w:t xml:space="preserve">omplaint with the Commission against </w:t>
      </w:r>
      <w:r>
        <w:rPr>
          <w:rFonts w:ascii="Times New Roman" w:hAnsi="Times New Roman" w:cs="Times New Roman"/>
          <w:sz w:val="26"/>
          <w:szCs w:val="26"/>
        </w:rPr>
        <w:t xml:space="preserve">PPL.  </w:t>
      </w:r>
      <w:r w:rsidRPr="00E41E44">
        <w:rPr>
          <w:rFonts w:ascii="Times New Roman" w:hAnsi="Times New Roman" w:cs="Times New Roman"/>
          <w:sz w:val="26"/>
          <w:szCs w:val="26"/>
        </w:rPr>
        <w:t xml:space="preserve">At </w:t>
      </w:r>
      <w:r w:rsidR="00A82079">
        <w:rPr>
          <w:rFonts w:ascii="Times New Roman" w:hAnsi="Times New Roman" w:cs="Times New Roman"/>
          <w:sz w:val="26"/>
          <w:szCs w:val="26"/>
        </w:rPr>
        <w:t>P</w:t>
      </w:r>
      <w:r w:rsidRPr="00E41E44">
        <w:rPr>
          <w:rFonts w:ascii="Times New Roman" w:hAnsi="Times New Roman" w:cs="Times New Roman"/>
          <w:sz w:val="26"/>
          <w:szCs w:val="26"/>
        </w:rPr>
        <w:t xml:space="preserve">aragraph 4B of the </w:t>
      </w:r>
      <w:r>
        <w:rPr>
          <w:rFonts w:ascii="Times New Roman" w:hAnsi="Times New Roman" w:cs="Times New Roman"/>
          <w:sz w:val="26"/>
          <w:szCs w:val="26"/>
        </w:rPr>
        <w:t>C</w:t>
      </w:r>
      <w:r w:rsidRPr="00E41E44">
        <w:rPr>
          <w:rFonts w:ascii="Times New Roman" w:hAnsi="Times New Roman" w:cs="Times New Roman"/>
          <w:sz w:val="26"/>
          <w:szCs w:val="26"/>
        </w:rPr>
        <w:t xml:space="preserve">omplaint form requesting the facts of the </w:t>
      </w:r>
      <w:r>
        <w:rPr>
          <w:rFonts w:ascii="Times New Roman" w:hAnsi="Times New Roman" w:cs="Times New Roman"/>
          <w:sz w:val="26"/>
          <w:szCs w:val="26"/>
        </w:rPr>
        <w:t>C</w:t>
      </w:r>
      <w:r w:rsidRPr="00E41E44">
        <w:rPr>
          <w:rFonts w:ascii="Times New Roman" w:hAnsi="Times New Roman" w:cs="Times New Roman"/>
          <w:sz w:val="26"/>
          <w:szCs w:val="26"/>
        </w:rPr>
        <w:t xml:space="preserve">omplaint, the </w:t>
      </w:r>
      <w:r>
        <w:rPr>
          <w:rFonts w:ascii="Times New Roman" w:hAnsi="Times New Roman" w:cs="Times New Roman"/>
          <w:sz w:val="26"/>
          <w:szCs w:val="26"/>
        </w:rPr>
        <w:t>C</w:t>
      </w:r>
      <w:r w:rsidRPr="00E41E44">
        <w:rPr>
          <w:rFonts w:ascii="Times New Roman" w:hAnsi="Times New Roman" w:cs="Times New Roman"/>
          <w:sz w:val="26"/>
          <w:szCs w:val="26"/>
        </w:rPr>
        <w:t>omplaint simply states “See cover letter dated 11/16/10.</w:t>
      </w:r>
      <w:r w:rsidR="00A82079">
        <w:rPr>
          <w:rFonts w:ascii="Times New Roman" w:hAnsi="Times New Roman" w:cs="Times New Roman"/>
          <w:sz w:val="26"/>
          <w:szCs w:val="26"/>
        </w:rPr>
        <w:t>”</w:t>
      </w:r>
      <w:r w:rsidRPr="00E41E44">
        <w:rPr>
          <w:rFonts w:ascii="Times New Roman" w:hAnsi="Times New Roman" w:cs="Times New Roman"/>
          <w:sz w:val="26"/>
          <w:szCs w:val="26"/>
        </w:rPr>
        <w:t xml:space="preserve">  Attached to the </w:t>
      </w:r>
      <w:r>
        <w:rPr>
          <w:rFonts w:ascii="Times New Roman" w:hAnsi="Times New Roman" w:cs="Times New Roman"/>
          <w:sz w:val="26"/>
          <w:szCs w:val="26"/>
        </w:rPr>
        <w:t>C</w:t>
      </w:r>
      <w:r w:rsidRPr="00E41E44">
        <w:rPr>
          <w:rFonts w:ascii="Times New Roman" w:hAnsi="Times New Roman" w:cs="Times New Roman"/>
          <w:sz w:val="26"/>
          <w:szCs w:val="26"/>
        </w:rPr>
        <w:t xml:space="preserve">omplaint form is a two page letter dated November 16, 2010, from the Complainants addressed to the Commission’s Secretary.  The November 16, 2010 letter refers to a letter sent to </w:t>
      </w:r>
      <w:r>
        <w:rPr>
          <w:rFonts w:ascii="Times New Roman" w:hAnsi="Times New Roman" w:cs="Times New Roman"/>
          <w:sz w:val="26"/>
          <w:szCs w:val="26"/>
        </w:rPr>
        <w:t>PPL</w:t>
      </w:r>
      <w:r w:rsidRPr="00E41E44">
        <w:rPr>
          <w:rFonts w:ascii="Times New Roman" w:hAnsi="Times New Roman" w:cs="Times New Roman"/>
          <w:sz w:val="26"/>
          <w:szCs w:val="26"/>
        </w:rPr>
        <w:t xml:space="preserve"> dated June 17, 2010.</w:t>
      </w:r>
    </w:p>
    <w:p w:rsidR="00E41E44" w:rsidRPr="00E41E44" w:rsidRDefault="00E41E44" w:rsidP="002A5A92">
      <w:pPr>
        <w:pStyle w:val="ParaTab1"/>
        <w:spacing w:line="360" w:lineRule="auto"/>
        <w:ind w:firstLine="0"/>
        <w:rPr>
          <w:rFonts w:ascii="Times New Roman" w:hAnsi="Times New Roman" w:cs="Times New Roman"/>
          <w:sz w:val="26"/>
          <w:szCs w:val="26"/>
        </w:rPr>
      </w:pPr>
    </w:p>
    <w:p w:rsidR="00E41E44" w:rsidRPr="00E41E44" w:rsidRDefault="00E41E44" w:rsidP="002A5A92">
      <w:pPr>
        <w:pStyle w:val="ParaTab1"/>
        <w:spacing w:line="360" w:lineRule="auto"/>
        <w:ind w:left="90" w:firstLine="1350"/>
        <w:rPr>
          <w:rFonts w:ascii="Times New Roman" w:hAnsi="Times New Roman" w:cs="Times New Roman"/>
          <w:sz w:val="26"/>
          <w:szCs w:val="26"/>
        </w:rPr>
      </w:pPr>
      <w:r w:rsidRPr="00E41E44">
        <w:rPr>
          <w:rFonts w:ascii="Times New Roman" w:hAnsi="Times New Roman" w:cs="Times New Roman"/>
          <w:sz w:val="26"/>
          <w:szCs w:val="26"/>
        </w:rPr>
        <w:t xml:space="preserve">The letter dated June 17, 2010, sent by Margaret Katz to </w:t>
      </w:r>
      <w:r>
        <w:rPr>
          <w:rFonts w:ascii="Times New Roman" w:hAnsi="Times New Roman" w:cs="Times New Roman"/>
          <w:sz w:val="26"/>
          <w:szCs w:val="26"/>
        </w:rPr>
        <w:t>PPL</w:t>
      </w:r>
      <w:r w:rsidRPr="00E41E44">
        <w:rPr>
          <w:rFonts w:ascii="Times New Roman" w:hAnsi="Times New Roman" w:cs="Times New Roman"/>
          <w:sz w:val="26"/>
          <w:szCs w:val="26"/>
        </w:rPr>
        <w:t xml:space="preserve">, states that she is the Customer’s mother.  Margaret Katz does not live with the Customer but resides in New Jersey.  The June 17, 2010 letter asserts that </w:t>
      </w:r>
      <w:r>
        <w:rPr>
          <w:rFonts w:ascii="Times New Roman" w:hAnsi="Times New Roman" w:cs="Times New Roman"/>
          <w:sz w:val="26"/>
          <w:szCs w:val="26"/>
        </w:rPr>
        <w:t>PPL</w:t>
      </w:r>
      <w:r w:rsidRPr="00E41E44">
        <w:rPr>
          <w:rFonts w:ascii="Times New Roman" w:hAnsi="Times New Roman" w:cs="Times New Roman"/>
          <w:sz w:val="26"/>
          <w:szCs w:val="26"/>
        </w:rPr>
        <w:t xml:space="preserve"> sent a ten day shut off notice to the Customer and that such a notice is not warranted given that the Customer has Asperger’s Syndrome, is disabled and receives only a small monthly Social Security check.  The June 17, 2010 letter criticizes </w:t>
      </w:r>
      <w:r>
        <w:rPr>
          <w:rFonts w:ascii="Times New Roman" w:hAnsi="Times New Roman" w:cs="Times New Roman"/>
          <w:sz w:val="26"/>
          <w:szCs w:val="26"/>
        </w:rPr>
        <w:t>PPL</w:t>
      </w:r>
      <w:r w:rsidRPr="00E41E44">
        <w:rPr>
          <w:rFonts w:ascii="Times New Roman" w:hAnsi="Times New Roman" w:cs="Times New Roman"/>
          <w:sz w:val="26"/>
          <w:szCs w:val="26"/>
        </w:rPr>
        <w:t xml:space="preserve"> for allowing the Customer’s bill to accumulate to an amount of almost $3,000.00.  The June 17, 2010 letter sets forth a chronology of events involving the Customer and attempts by the Complainants to correct what the letter characterizes as mistakes on the Customer’s bills.  According to the June 17, 2010 letter, </w:t>
      </w:r>
      <w:r>
        <w:rPr>
          <w:rFonts w:ascii="Times New Roman" w:hAnsi="Times New Roman" w:cs="Times New Roman"/>
          <w:sz w:val="26"/>
          <w:szCs w:val="26"/>
        </w:rPr>
        <w:t>PPL</w:t>
      </w:r>
      <w:r w:rsidRPr="00E41E44">
        <w:rPr>
          <w:rFonts w:ascii="Times New Roman" w:hAnsi="Times New Roman" w:cs="Times New Roman"/>
          <w:sz w:val="26"/>
          <w:szCs w:val="26"/>
        </w:rPr>
        <w:t xml:space="preserve"> refused to discuss the account with the Complainants because their names were not on the Customer’s account.  </w:t>
      </w:r>
    </w:p>
    <w:p w:rsidR="00E41E44" w:rsidRPr="00E41E44" w:rsidRDefault="00E41E44" w:rsidP="002A5A92">
      <w:pPr>
        <w:pStyle w:val="ParaTab1"/>
        <w:spacing w:line="360" w:lineRule="auto"/>
        <w:ind w:firstLine="0"/>
        <w:rPr>
          <w:rFonts w:ascii="Times New Roman" w:hAnsi="Times New Roman" w:cs="Times New Roman"/>
          <w:sz w:val="26"/>
          <w:szCs w:val="26"/>
        </w:rPr>
      </w:pPr>
    </w:p>
    <w:p w:rsidR="002A5A92" w:rsidRDefault="00E41E44" w:rsidP="002A5A92">
      <w:pPr>
        <w:pStyle w:val="ParaTab1"/>
        <w:spacing w:line="360" w:lineRule="auto"/>
        <w:ind w:left="90" w:firstLine="1350"/>
        <w:rPr>
          <w:rFonts w:ascii="Times New Roman" w:hAnsi="Times New Roman" w:cs="Times New Roman"/>
          <w:sz w:val="26"/>
          <w:szCs w:val="26"/>
        </w:rPr>
      </w:pPr>
      <w:r w:rsidRPr="00E41E44">
        <w:rPr>
          <w:rFonts w:ascii="Times New Roman" w:hAnsi="Times New Roman" w:cs="Times New Roman"/>
          <w:sz w:val="26"/>
          <w:szCs w:val="26"/>
        </w:rPr>
        <w:lastRenderedPageBreak/>
        <w:t xml:space="preserve">Also attached to the </w:t>
      </w:r>
      <w:r>
        <w:rPr>
          <w:rFonts w:ascii="Times New Roman" w:hAnsi="Times New Roman" w:cs="Times New Roman"/>
          <w:sz w:val="26"/>
          <w:szCs w:val="26"/>
        </w:rPr>
        <w:t>C</w:t>
      </w:r>
      <w:r w:rsidRPr="00E41E44">
        <w:rPr>
          <w:rFonts w:ascii="Times New Roman" w:hAnsi="Times New Roman" w:cs="Times New Roman"/>
          <w:sz w:val="26"/>
          <w:szCs w:val="26"/>
        </w:rPr>
        <w:t xml:space="preserve">omplaint is a letter dated July 26, 2010, sent by </w:t>
      </w:r>
    </w:p>
    <w:p w:rsidR="002A5A92" w:rsidRDefault="00E41E44" w:rsidP="002A5A92">
      <w:pPr>
        <w:pStyle w:val="ParaTab1"/>
        <w:spacing w:line="360" w:lineRule="auto"/>
        <w:ind w:left="90" w:firstLine="0"/>
        <w:rPr>
          <w:rFonts w:ascii="Times New Roman" w:hAnsi="Times New Roman" w:cs="Times New Roman"/>
          <w:sz w:val="26"/>
          <w:szCs w:val="26"/>
        </w:rPr>
      </w:pPr>
      <w:r w:rsidRPr="00E41E44">
        <w:rPr>
          <w:rFonts w:ascii="Times New Roman" w:hAnsi="Times New Roman" w:cs="Times New Roman"/>
          <w:sz w:val="26"/>
          <w:szCs w:val="26"/>
        </w:rPr>
        <w:t>Alan Katz to the Commission’s Secretary.</w:t>
      </w:r>
      <w:r w:rsidR="00477BFC">
        <w:rPr>
          <w:rStyle w:val="FootnoteReference"/>
          <w:rFonts w:ascii="Times New Roman" w:hAnsi="Times New Roman" w:cs="Times New Roman"/>
        </w:rPr>
        <w:footnoteReference w:id="3"/>
      </w:r>
      <w:r w:rsidRPr="00E41E44">
        <w:rPr>
          <w:rFonts w:ascii="Times New Roman" w:hAnsi="Times New Roman" w:cs="Times New Roman"/>
          <w:sz w:val="26"/>
          <w:szCs w:val="26"/>
        </w:rPr>
        <w:t xml:space="preserve">  Alan Katz is the Customer’s brother.  </w:t>
      </w:r>
    </w:p>
    <w:p w:rsidR="002A5A92" w:rsidRDefault="00E41E44" w:rsidP="002A5A92">
      <w:pPr>
        <w:pStyle w:val="ParaTab1"/>
        <w:spacing w:line="360" w:lineRule="auto"/>
        <w:ind w:left="90" w:firstLine="0"/>
        <w:rPr>
          <w:rFonts w:ascii="Times New Roman" w:hAnsi="Times New Roman" w:cs="Times New Roman"/>
          <w:sz w:val="26"/>
          <w:szCs w:val="26"/>
        </w:rPr>
      </w:pPr>
      <w:r w:rsidRPr="00E41E44">
        <w:rPr>
          <w:rFonts w:ascii="Times New Roman" w:hAnsi="Times New Roman" w:cs="Times New Roman"/>
          <w:sz w:val="26"/>
          <w:szCs w:val="26"/>
        </w:rPr>
        <w:t xml:space="preserve">Alan Katz does not live with the Customer but resides in New Jersey.  The July 26, 2010 letter outlines many of the same concerns expressed by Margaret Katz in the </w:t>
      </w:r>
    </w:p>
    <w:p w:rsidR="00E41E44" w:rsidRPr="00E41E44" w:rsidRDefault="00E41E44" w:rsidP="002A5A92">
      <w:pPr>
        <w:pStyle w:val="ParaTab1"/>
        <w:spacing w:line="360" w:lineRule="auto"/>
        <w:ind w:left="90" w:firstLine="0"/>
        <w:rPr>
          <w:rFonts w:ascii="Times New Roman" w:hAnsi="Times New Roman" w:cs="Times New Roman"/>
          <w:sz w:val="26"/>
          <w:szCs w:val="26"/>
        </w:rPr>
      </w:pPr>
      <w:r w:rsidRPr="00E41E44">
        <w:rPr>
          <w:rFonts w:ascii="Times New Roman" w:hAnsi="Times New Roman" w:cs="Times New Roman"/>
          <w:sz w:val="26"/>
          <w:szCs w:val="26"/>
        </w:rPr>
        <w:t>June 17, 2010 letter.</w:t>
      </w:r>
    </w:p>
    <w:p w:rsidR="00E41E44" w:rsidRPr="00E41E44" w:rsidRDefault="00E41E44" w:rsidP="002A5A92">
      <w:pPr>
        <w:pStyle w:val="ParaTab1"/>
        <w:spacing w:line="360" w:lineRule="auto"/>
        <w:ind w:firstLine="0"/>
        <w:rPr>
          <w:rFonts w:ascii="Times New Roman" w:hAnsi="Times New Roman" w:cs="Times New Roman"/>
          <w:sz w:val="26"/>
          <w:szCs w:val="26"/>
        </w:rPr>
      </w:pPr>
    </w:p>
    <w:p w:rsidR="00E41E44" w:rsidRPr="00E41E44" w:rsidRDefault="00E41E44" w:rsidP="002A5A92">
      <w:pPr>
        <w:pStyle w:val="ParaTab1"/>
        <w:spacing w:line="360" w:lineRule="auto"/>
        <w:ind w:left="90" w:firstLine="1350"/>
        <w:rPr>
          <w:rFonts w:ascii="Times New Roman" w:hAnsi="Times New Roman" w:cs="Times New Roman"/>
          <w:sz w:val="26"/>
          <w:szCs w:val="26"/>
        </w:rPr>
      </w:pPr>
      <w:r w:rsidRPr="00E41E44">
        <w:rPr>
          <w:rFonts w:ascii="Times New Roman" w:hAnsi="Times New Roman" w:cs="Times New Roman"/>
          <w:sz w:val="26"/>
          <w:szCs w:val="26"/>
        </w:rPr>
        <w:t>The Complainants’ November 16, 2010 letter to the Commission’s Secretary criticizes</w:t>
      </w:r>
      <w:r>
        <w:rPr>
          <w:rFonts w:ascii="Times New Roman" w:hAnsi="Times New Roman" w:cs="Times New Roman"/>
          <w:sz w:val="26"/>
          <w:szCs w:val="26"/>
        </w:rPr>
        <w:t xml:space="preserve"> PPL</w:t>
      </w:r>
      <w:r w:rsidRPr="00E41E44">
        <w:rPr>
          <w:rFonts w:ascii="Times New Roman" w:hAnsi="Times New Roman" w:cs="Times New Roman"/>
          <w:sz w:val="26"/>
          <w:szCs w:val="26"/>
        </w:rPr>
        <w:t xml:space="preserve"> for not contacting the Complainants when the Customer’s bills went unpaid.  According to the November 16, 2010 letter, had </w:t>
      </w:r>
      <w:r>
        <w:rPr>
          <w:rFonts w:ascii="Times New Roman" w:hAnsi="Times New Roman" w:cs="Times New Roman"/>
          <w:sz w:val="26"/>
          <w:szCs w:val="26"/>
        </w:rPr>
        <w:t>PPL</w:t>
      </w:r>
      <w:r w:rsidRPr="00E41E44">
        <w:rPr>
          <w:rFonts w:ascii="Times New Roman" w:hAnsi="Times New Roman" w:cs="Times New Roman"/>
          <w:sz w:val="26"/>
          <w:szCs w:val="26"/>
        </w:rPr>
        <w:t xml:space="preserve"> contacted the Complainants in a timely fashion, the Customer’s bill would never have accumulated to such a large arrearage.</w:t>
      </w:r>
    </w:p>
    <w:p w:rsidR="00E41E44" w:rsidRPr="00E41E44" w:rsidRDefault="00E41E44" w:rsidP="002A5A92">
      <w:pPr>
        <w:pStyle w:val="ParaTab1"/>
        <w:spacing w:line="360" w:lineRule="auto"/>
        <w:ind w:firstLine="0"/>
        <w:rPr>
          <w:rFonts w:ascii="Times New Roman" w:hAnsi="Times New Roman" w:cs="Times New Roman"/>
          <w:sz w:val="26"/>
          <w:szCs w:val="26"/>
        </w:rPr>
      </w:pPr>
    </w:p>
    <w:p w:rsidR="00E41E44" w:rsidRPr="00E41E44" w:rsidRDefault="00E41E44" w:rsidP="002A5A92">
      <w:pPr>
        <w:pStyle w:val="ParaTab1"/>
        <w:spacing w:line="360" w:lineRule="auto"/>
        <w:ind w:left="90" w:firstLine="1350"/>
        <w:rPr>
          <w:rFonts w:ascii="Times New Roman" w:hAnsi="Times New Roman" w:cs="Times New Roman"/>
          <w:sz w:val="26"/>
          <w:szCs w:val="26"/>
        </w:rPr>
      </w:pPr>
      <w:r w:rsidRPr="00E41E44">
        <w:rPr>
          <w:rFonts w:ascii="Times New Roman" w:hAnsi="Times New Roman" w:cs="Times New Roman"/>
          <w:sz w:val="26"/>
          <w:szCs w:val="26"/>
        </w:rPr>
        <w:t xml:space="preserve">At </w:t>
      </w:r>
      <w:r w:rsidR="00771A9F">
        <w:rPr>
          <w:rFonts w:ascii="Times New Roman" w:hAnsi="Times New Roman" w:cs="Times New Roman"/>
          <w:sz w:val="26"/>
          <w:szCs w:val="26"/>
        </w:rPr>
        <w:t>P</w:t>
      </w:r>
      <w:r w:rsidRPr="00E41E44">
        <w:rPr>
          <w:rFonts w:ascii="Times New Roman" w:hAnsi="Times New Roman" w:cs="Times New Roman"/>
          <w:sz w:val="26"/>
          <w:szCs w:val="26"/>
        </w:rPr>
        <w:t xml:space="preserve">aragraph 5 of the </w:t>
      </w:r>
      <w:r>
        <w:rPr>
          <w:rFonts w:ascii="Times New Roman" w:hAnsi="Times New Roman" w:cs="Times New Roman"/>
          <w:sz w:val="26"/>
          <w:szCs w:val="26"/>
        </w:rPr>
        <w:t>C</w:t>
      </w:r>
      <w:r w:rsidRPr="00E41E44">
        <w:rPr>
          <w:rFonts w:ascii="Times New Roman" w:hAnsi="Times New Roman" w:cs="Times New Roman"/>
          <w:sz w:val="26"/>
          <w:szCs w:val="26"/>
        </w:rPr>
        <w:t xml:space="preserve">omplaint form requesting how the Complainants want the </w:t>
      </w:r>
      <w:r>
        <w:rPr>
          <w:rFonts w:ascii="Times New Roman" w:hAnsi="Times New Roman" w:cs="Times New Roman"/>
          <w:sz w:val="26"/>
          <w:szCs w:val="26"/>
        </w:rPr>
        <w:t>C</w:t>
      </w:r>
      <w:r w:rsidRPr="00E41E44">
        <w:rPr>
          <w:rFonts w:ascii="Times New Roman" w:hAnsi="Times New Roman" w:cs="Times New Roman"/>
          <w:sz w:val="26"/>
          <w:szCs w:val="26"/>
        </w:rPr>
        <w:t>omplaint</w:t>
      </w:r>
      <w:r w:rsidR="00711A13">
        <w:rPr>
          <w:rFonts w:ascii="Times New Roman" w:hAnsi="Times New Roman" w:cs="Times New Roman"/>
          <w:sz w:val="26"/>
          <w:szCs w:val="26"/>
        </w:rPr>
        <w:t xml:space="preserve"> to be</w:t>
      </w:r>
      <w:r w:rsidRPr="00E41E44">
        <w:rPr>
          <w:rFonts w:ascii="Times New Roman" w:hAnsi="Times New Roman" w:cs="Times New Roman"/>
          <w:sz w:val="26"/>
          <w:szCs w:val="26"/>
        </w:rPr>
        <w:t xml:space="preserve"> resolved, the </w:t>
      </w:r>
      <w:r>
        <w:rPr>
          <w:rFonts w:ascii="Times New Roman" w:hAnsi="Times New Roman" w:cs="Times New Roman"/>
          <w:sz w:val="26"/>
          <w:szCs w:val="26"/>
        </w:rPr>
        <w:t>C</w:t>
      </w:r>
      <w:r w:rsidRPr="00E41E44">
        <w:rPr>
          <w:rFonts w:ascii="Times New Roman" w:hAnsi="Times New Roman" w:cs="Times New Roman"/>
          <w:sz w:val="26"/>
          <w:szCs w:val="26"/>
        </w:rPr>
        <w:t>omplaint states “See cover letter.</w:t>
      </w:r>
      <w:r w:rsidR="00711A13">
        <w:rPr>
          <w:rFonts w:ascii="Times New Roman" w:hAnsi="Times New Roman" w:cs="Times New Roman"/>
          <w:sz w:val="26"/>
          <w:szCs w:val="26"/>
        </w:rPr>
        <w:t>”</w:t>
      </w:r>
      <w:r w:rsidRPr="00E41E44">
        <w:rPr>
          <w:rFonts w:ascii="Times New Roman" w:hAnsi="Times New Roman" w:cs="Times New Roman"/>
          <w:sz w:val="26"/>
          <w:szCs w:val="26"/>
        </w:rPr>
        <w:t xml:space="preserve">  The Complainants’ November 16, 2010 letter requests that the Commission direct </w:t>
      </w:r>
      <w:r>
        <w:rPr>
          <w:rFonts w:ascii="Times New Roman" w:hAnsi="Times New Roman" w:cs="Times New Roman"/>
          <w:sz w:val="26"/>
          <w:szCs w:val="26"/>
        </w:rPr>
        <w:t>PPL</w:t>
      </w:r>
      <w:r w:rsidRPr="00E41E44">
        <w:rPr>
          <w:rFonts w:ascii="Times New Roman" w:hAnsi="Times New Roman" w:cs="Times New Roman"/>
          <w:sz w:val="26"/>
          <w:szCs w:val="26"/>
        </w:rPr>
        <w:t xml:space="preserve"> to remove the balance owed by the Customer that</w:t>
      </w:r>
      <w:r w:rsidR="00771A9F">
        <w:rPr>
          <w:rFonts w:ascii="Times New Roman" w:hAnsi="Times New Roman" w:cs="Times New Roman"/>
          <w:sz w:val="26"/>
          <w:szCs w:val="26"/>
        </w:rPr>
        <w:t xml:space="preserve"> the Complainants allege</w:t>
      </w:r>
      <w:r w:rsidRPr="00E41E44">
        <w:rPr>
          <w:rFonts w:ascii="Times New Roman" w:hAnsi="Times New Roman" w:cs="Times New Roman"/>
          <w:sz w:val="26"/>
          <w:szCs w:val="26"/>
        </w:rPr>
        <w:t xml:space="preserve"> </w:t>
      </w:r>
      <w:r>
        <w:rPr>
          <w:rFonts w:ascii="Times New Roman" w:hAnsi="Times New Roman" w:cs="Times New Roman"/>
          <w:sz w:val="26"/>
          <w:szCs w:val="26"/>
        </w:rPr>
        <w:t>PPL</w:t>
      </w:r>
      <w:r w:rsidRPr="00E41E44">
        <w:rPr>
          <w:rFonts w:ascii="Times New Roman" w:hAnsi="Times New Roman" w:cs="Times New Roman"/>
          <w:sz w:val="26"/>
          <w:szCs w:val="26"/>
        </w:rPr>
        <w:t xml:space="preserve"> improperly allowed to accumulate.  </w:t>
      </w:r>
    </w:p>
    <w:p w:rsidR="00E41E44" w:rsidRPr="00E41E44" w:rsidRDefault="00E41E44" w:rsidP="002A5A92">
      <w:pPr>
        <w:pStyle w:val="ParaTab1"/>
        <w:spacing w:line="360" w:lineRule="auto"/>
        <w:ind w:firstLine="0"/>
        <w:rPr>
          <w:rFonts w:ascii="Times New Roman" w:hAnsi="Times New Roman" w:cs="Times New Roman"/>
          <w:sz w:val="26"/>
          <w:szCs w:val="26"/>
        </w:rPr>
      </w:pPr>
    </w:p>
    <w:p w:rsidR="00E41E44" w:rsidRPr="00E41E44" w:rsidRDefault="00E41E44" w:rsidP="002A5A92">
      <w:pPr>
        <w:pStyle w:val="ParaTab1"/>
        <w:spacing w:line="360" w:lineRule="auto"/>
        <w:ind w:left="90" w:firstLine="1350"/>
        <w:rPr>
          <w:rFonts w:ascii="Times New Roman" w:hAnsi="Times New Roman" w:cs="Times New Roman"/>
          <w:sz w:val="26"/>
          <w:szCs w:val="26"/>
        </w:rPr>
      </w:pPr>
      <w:r>
        <w:rPr>
          <w:rFonts w:ascii="Times New Roman" w:hAnsi="Times New Roman" w:cs="Times New Roman"/>
          <w:sz w:val="26"/>
          <w:szCs w:val="26"/>
        </w:rPr>
        <w:t>PPL</w:t>
      </w:r>
      <w:r w:rsidRPr="00E41E44">
        <w:rPr>
          <w:rFonts w:ascii="Times New Roman" w:hAnsi="Times New Roman" w:cs="Times New Roman"/>
          <w:sz w:val="26"/>
          <w:szCs w:val="26"/>
        </w:rPr>
        <w:t xml:space="preserve"> filed an </w:t>
      </w:r>
      <w:r>
        <w:rPr>
          <w:rFonts w:ascii="Times New Roman" w:hAnsi="Times New Roman" w:cs="Times New Roman"/>
          <w:sz w:val="26"/>
          <w:szCs w:val="26"/>
        </w:rPr>
        <w:t>A</w:t>
      </w:r>
      <w:r w:rsidRPr="00E41E44">
        <w:rPr>
          <w:rFonts w:ascii="Times New Roman" w:hAnsi="Times New Roman" w:cs="Times New Roman"/>
          <w:sz w:val="26"/>
          <w:szCs w:val="26"/>
        </w:rPr>
        <w:t>nswer</w:t>
      </w:r>
      <w:r w:rsidR="00771A9F">
        <w:rPr>
          <w:rFonts w:ascii="Times New Roman" w:hAnsi="Times New Roman" w:cs="Times New Roman"/>
          <w:sz w:val="26"/>
          <w:szCs w:val="26"/>
        </w:rPr>
        <w:t xml:space="preserve"> to the Complaint</w:t>
      </w:r>
      <w:r w:rsidRPr="00E41E44">
        <w:rPr>
          <w:rFonts w:ascii="Times New Roman" w:hAnsi="Times New Roman" w:cs="Times New Roman"/>
          <w:sz w:val="26"/>
          <w:szCs w:val="26"/>
        </w:rPr>
        <w:t xml:space="preserve"> on December 13, 2010.</w:t>
      </w:r>
      <w:r w:rsidR="006521DC">
        <w:rPr>
          <w:rStyle w:val="FootnoteReference"/>
          <w:rFonts w:ascii="Times New Roman" w:hAnsi="Times New Roman" w:cs="Times New Roman"/>
        </w:rPr>
        <w:footnoteReference w:id="4"/>
      </w:r>
      <w:r w:rsidRPr="00E41E44">
        <w:rPr>
          <w:rFonts w:ascii="Times New Roman" w:hAnsi="Times New Roman" w:cs="Times New Roman"/>
          <w:sz w:val="26"/>
          <w:szCs w:val="26"/>
        </w:rPr>
        <w:t xml:space="preserve">  The </w:t>
      </w:r>
      <w:r>
        <w:rPr>
          <w:rFonts w:ascii="Times New Roman" w:hAnsi="Times New Roman" w:cs="Times New Roman"/>
          <w:sz w:val="26"/>
          <w:szCs w:val="26"/>
        </w:rPr>
        <w:t>A</w:t>
      </w:r>
      <w:r w:rsidRPr="00E41E44">
        <w:rPr>
          <w:rFonts w:ascii="Times New Roman" w:hAnsi="Times New Roman" w:cs="Times New Roman"/>
          <w:sz w:val="26"/>
          <w:szCs w:val="26"/>
        </w:rPr>
        <w:t xml:space="preserve">nswer denies that there are any incorrect charges on the Customer’s bill.  </w:t>
      </w:r>
      <w:r>
        <w:rPr>
          <w:rFonts w:ascii="Times New Roman" w:hAnsi="Times New Roman" w:cs="Times New Roman"/>
          <w:sz w:val="26"/>
          <w:szCs w:val="26"/>
        </w:rPr>
        <w:t>The A</w:t>
      </w:r>
      <w:r w:rsidRPr="00E41E44">
        <w:rPr>
          <w:rFonts w:ascii="Times New Roman" w:hAnsi="Times New Roman" w:cs="Times New Roman"/>
          <w:sz w:val="26"/>
          <w:szCs w:val="26"/>
        </w:rPr>
        <w:t xml:space="preserve">nswer admits that </w:t>
      </w:r>
      <w:r>
        <w:rPr>
          <w:rFonts w:ascii="Times New Roman" w:hAnsi="Times New Roman" w:cs="Times New Roman"/>
          <w:sz w:val="26"/>
          <w:szCs w:val="26"/>
        </w:rPr>
        <w:t>PPL</w:t>
      </w:r>
      <w:r w:rsidRPr="00E41E44">
        <w:rPr>
          <w:rFonts w:ascii="Times New Roman" w:hAnsi="Times New Roman" w:cs="Times New Roman"/>
          <w:sz w:val="26"/>
          <w:szCs w:val="26"/>
        </w:rPr>
        <w:t xml:space="preserve"> sent bills to the Customer at the Customer’s address.  The </w:t>
      </w:r>
      <w:r>
        <w:rPr>
          <w:rFonts w:ascii="Times New Roman" w:hAnsi="Times New Roman" w:cs="Times New Roman"/>
          <w:sz w:val="26"/>
          <w:szCs w:val="26"/>
        </w:rPr>
        <w:t>A</w:t>
      </w:r>
      <w:r w:rsidRPr="00E41E44">
        <w:rPr>
          <w:rFonts w:ascii="Times New Roman" w:hAnsi="Times New Roman" w:cs="Times New Roman"/>
          <w:sz w:val="26"/>
          <w:szCs w:val="26"/>
        </w:rPr>
        <w:t xml:space="preserve">nswer admits that </w:t>
      </w:r>
      <w:r>
        <w:rPr>
          <w:rFonts w:ascii="Times New Roman" w:hAnsi="Times New Roman" w:cs="Times New Roman"/>
          <w:sz w:val="26"/>
          <w:szCs w:val="26"/>
        </w:rPr>
        <w:t>PPL</w:t>
      </w:r>
      <w:r w:rsidRPr="00E41E44">
        <w:rPr>
          <w:rFonts w:ascii="Times New Roman" w:hAnsi="Times New Roman" w:cs="Times New Roman"/>
          <w:sz w:val="26"/>
          <w:szCs w:val="26"/>
        </w:rPr>
        <w:t xml:space="preserve"> could not share the Customer’s private account information with other individuals.  The </w:t>
      </w:r>
      <w:r>
        <w:rPr>
          <w:rFonts w:ascii="Times New Roman" w:hAnsi="Times New Roman" w:cs="Times New Roman"/>
          <w:sz w:val="26"/>
          <w:szCs w:val="26"/>
        </w:rPr>
        <w:t>A</w:t>
      </w:r>
      <w:r w:rsidRPr="00E41E44">
        <w:rPr>
          <w:rFonts w:ascii="Times New Roman" w:hAnsi="Times New Roman" w:cs="Times New Roman"/>
          <w:sz w:val="26"/>
          <w:szCs w:val="26"/>
        </w:rPr>
        <w:t xml:space="preserve">nswer requests that the Commission deny the </w:t>
      </w:r>
      <w:r>
        <w:rPr>
          <w:rFonts w:ascii="Times New Roman" w:hAnsi="Times New Roman" w:cs="Times New Roman"/>
          <w:sz w:val="26"/>
          <w:szCs w:val="26"/>
        </w:rPr>
        <w:t>C</w:t>
      </w:r>
      <w:r w:rsidRPr="00E41E44">
        <w:rPr>
          <w:rFonts w:ascii="Times New Roman" w:hAnsi="Times New Roman" w:cs="Times New Roman"/>
          <w:sz w:val="26"/>
          <w:szCs w:val="26"/>
        </w:rPr>
        <w:t xml:space="preserve">omplaint.  </w:t>
      </w:r>
    </w:p>
    <w:p w:rsidR="00E41E44" w:rsidRPr="00E41E44" w:rsidRDefault="00E41E44" w:rsidP="002A5A92">
      <w:pPr>
        <w:pStyle w:val="ParaTab1"/>
        <w:spacing w:line="360" w:lineRule="auto"/>
        <w:ind w:firstLine="0"/>
        <w:rPr>
          <w:rFonts w:ascii="Times New Roman" w:hAnsi="Times New Roman" w:cs="Times New Roman"/>
          <w:sz w:val="26"/>
          <w:szCs w:val="26"/>
        </w:rPr>
      </w:pPr>
    </w:p>
    <w:p w:rsidR="002A5A92" w:rsidRDefault="00E41E44" w:rsidP="002A5A92">
      <w:pPr>
        <w:pStyle w:val="ParaTab1"/>
        <w:spacing w:line="360" w:lineRule="auto"/>
        <w:ind w:left="90" w:firstLine="1350"/>
        <w:rPr>
          <w:rFonts w:ascii="Times New Roman" w:hAnsi="Times New Roman" w:cs="Times New Roman"/>
          <w:sz w:val="26"/>
          <w:szCs w:val="26"/>
        </w:rPr>
      </w:pPr>
      <w:r>
        <w:rPr>
          <w:rFonts w:ascii="Times New Roman" w:hAnsi="Times New Roman" w:cs="Times New Roman"/>
          <w:sz w:val="26"/>
          <w:szCs w:val="26"/>
        </w:rPr>
        <w:lastRenderedPageBreak/>
        <w:t xml:space="preserve">PPL also filed </w:t>
      </w:r>
      <w:r w:rsidRPr="00E41E44">
        <w:rPr>
          <w:rFonts w:ascii="Times New Roman" w:hAnsi="Times New Roman" w:cs="Times New Roman"/>
          <w:sz w:val="26"/>
          <w:szCs w:val="26"/>
        </w:rPr>
        <w:t xml:space="preserve">a </w:t>
      </w:r>
      <w:r w:rsidR="00677076">
        <w:rPr>
          <w:rFonts w:ascii="Times New Roman" w:hAnsi="Times New Roman" w:cs="Times New Roman"/>
          <w:sz w:val="26"/>
          <w:szCs w:val="26"/>
        </w:rPr>
        <w:t>Motion to Dismiss (Motion)</w:t>
      </w:r>
      <w:r w:rsidR="00AF15D1">
        <w:rPr>
          <w:rStyle w:val="FootnoteReference"/>
          <w:rFonts w:ascii="Times New Roman" w:hAnsi="Times New Roman" w:cs="Times New Roman"/>
        </w:rPr>
        <w:footnoteReference w:id="5"/>
      </w:r>
      <w:r w:rsidRPr="00E41E44">
        <w:rPr>
          <w:rFonts w:ascii="Times New Roman" w:hAnsi="Times New Roman" w:cs="Times New Roman"/>
          <w:sz w:val="26"/>
          <w:szCs w:val="26"/>
        </w:rPr>
        <w:t xml:space="preserve"> on January 14, 2011, requesting that the Commission dismiss the </w:t>
      </w:r>
      <w:r>
        <w:rPr>
          <w:rFonts w:ascii="Times New Roman" w:hAnsi="Times New Roman" w:cs="Times New Roman"/>
          <w:sz w:val="26"/>
          <w:szCs w:val="26"/>
        </w:rPr>
        <w:t>C</w:t>
      </w:r>
      <w:r w:rsidRPr="00E41E44">
        <w:rPr>
          <w:rFonts w:ascii="Times New Roman" w:hAnsi="Times New Roman" w:cs="Times New Roman"/>
          <w:sz w:val="26"/>
          <w:szCs w:val="26"/>
        </w:rPr>
        <w:t xml:space="preserve">omplaint.  The </w:t>
      </w:r>
      <w:r w:rsidR="00677076">
        <w:rPr>
          <w:rFonts w:ascii="Times New Roman" w:hAnsi="Times New Roman" w:cs="Times New Roman"/>
          <w:sz w:val="26"/>
          <w:szCs w:val="26"/>
        </w:rPr>
        <w:t xml:space="preserve">Motion </w:t>
      </w:r>
      <w:r w:rsidRPr="00E41E44">
        <w:rPr>
          <w:rFonts w:ascii="Times New Roman" w:hAnsi="Times New Roman" w:cs="Times New Roman"/>
          <w:sz w:val="26"/>
          <w:szCs w:val="26"/>
        </w:rPr>
        <w:t xml:space="preserve">states that the Complainants do not reside at the Customer’s service address and the Complainants do not hold power of attorney for the Customer.  The </w:t>
      </w:r>
      <w:r w:rsidR="00677076">
        <w:rPr>
          <w:rFonts w:ascii="Times New Roman" w:hAnsi="Times New Roman" w:cs="Times New Roman"/>
          <w:sz w:val="26"/>
          <w:szCs w:val="26"/>
        </w:rPr>
        <w:t xml:space="preserve">Motion </w:t>
      </w:r>
      <w:r w:rsidRPr="00E41E44">
        <w:rPr>
          <w:rFonts w:ascii="Times New Roman" w:hAnsi="Times New Roman" w:cs="Times New Roman"/>
          <w:sz w:val="26"/>
          <w:szCs w:val="26"/>
        </w:rPr>
        <w:t xml:space="preserve">further states that </w:t>
      </w:r>
    </w:p>
    <w:p w:rsidR="00E41E44" w:rsidRPr="00E41E44" w:rsidRDefault="00E41E44" w:rsidP="002A5A92">
      <w:pPr>
        <w:pStyle w:val="ParaTab1"/>
        <w:spacing w:line="360" w:lineRule="auto"/>
        <w:ind w:left="90" w:firstLine="0"/>
        <w:rPr>
          <w:rFonts w:ascii="Times New Roman" w:hAnsi="Times New Roman" w:cs="Times New Roman"/>
          <w:sz w:val="26"/>
          <w:szCs w:val="26"/>
        </w:rPr>
      </w:pPr>
      <w:r w:rsidRPr="00E41E44">
        <w:rPr>
          <w:rFonts w:ascii="Times New Roman" w:hAnsi="Times New Roman" w:cs="Times New Roman"/>
          <w:sz w:val="26"/>
          <w:szCs w:val="26"/>
        </w:rPr>
        <w:t xml:space="preserve">Jeffry L. Gilbert, Esquire has provided </w:t>
      </w:r>
      <w:r>
        <w:rPr>
          <w:rFonts w:ascii="Times New Roman" w:hAnsi="Times New Roman" w:cs="Times New Roman"/>
          <w:sz w:val="26"/>
          <w:szCs w:val="26"/>
        </w:rPr>
        <w:t>PPL</w:t>
      </w:r>
      <w:r w:rsidRPr="00E41E44">
        <w:rPr>
          <w:rFonts w:ascii="Times New Roman" w:hAnsi="Times New Roman" w:cs="Times New Roman"/>
          <w:sz w:val="26"/>
          <w:szCs w:val="26"/>
        </w:rPr>
        <w:t xml:space="preserve"> with a copy of a power of attorney signed by the Customer which names Jeffry L. Gilbert as his agent.  </w:t>
      </w:r>
    </w:p>
    <w:p w:rsidR="00E41E44" w:rsidRPr="00E41E44" w:rsidRDefault="00E41E44" w:rsidP="002A5A92">
      <w:pPr>
        <w:pStyle w:val="ParaTab1"/>
        <w:spacing w:line="360" w:lineRule="auto"/>
        <w:ind w:firstLine="0"/>
        <w:rPr>
          <w:rFonts w:ascii="Times New Roman" w:hAnsi="Times New Roman" w:cs="Times New Roman"/>
          <w:sz w:val="26"/>
          <w:szCs w:val="26"/>
        </w:rPr>
      </w:pPr>
    </w:p>
    <w:p w:rsidR="00E41E44" w:rsidRPr="00E41E44" w:rsidRDefault="00E41E44" w:rsidP="002A5A92">
      <w:pPr>
        <w:pStyle w:val="ParaTab1"/>
        <w:spacing w:line="360" w:lineRule="auto"/>
        <w:ind w:left="90" w:firstLine="1350"/>
        <w:rPr>
          <w:rFonts w:ascii="Times New Roman" w:hAnsi="Times New Roman" w:cs="Times New Roman"/>
          <w:sz w:val="26"/>
          <w:szCs w:val="26"/>
        </w:rPr>
      </w:pPr>
      <w:r w:rsidRPr="00E41E44">
        <w:rPr>
          <w:rFonts w:ascii="Times New Roman" w:hAnsi="Times New Roman" w:cs="Times New Roman"/>
          <w:sz w:val="26"/>
          <w:szCs w:val="26"/>
        </w:rPr>
        <w:t xml:space="preserve">According to the </w:t>
      </w:r>
      <w:r w:rsidR="00677076">
        <w:rPr>
          <w:rFonts w:ascii="Times New Roman" w:hAnsi="Times New Roman" w:cs="Times New Roman"/>
          <w:sz w:val="26"/>
          <w:szCs w:val="26"/>
        </w:rPr>
        <w:t>Motion</w:t>
      </w:r>
      <w:r w:rsidRPr="00E41E44">
        <w:rPr>
          <w:rFonts w:ascii="Times New Roman" w:hAnsi="Times New Roman" w:cs="Times New Roman"/>
          <w:sz w:val="26"/>
          <w:szCs w:val="26"/>
        </w:rPr>
        <w:t xml:space="preserve">, Alan Katz has informed </w:t>
      </w:r>
      <w:r>
        <w:rPr>
          <w:rFonts w:ascii="Times New Roman" w:hAnsi="Times New Roman" w:cs="Times New Roman"/>
          <w:sz w:val="26"/>
          <w:szCs w:val="26"/>
        </w:rPr>
        <w:t xml:space="preserve">PPL </w:t>
      </w:r>
      <w:r w:rsidRPr="00E41E44">
        <w:rPr>
          <w:rFonts w:ascii="Times New Roman" w:hAnsi="Times New Roman" w:cs="Times New Roman"/>
          <w:sz w:val="26"/>
          <w:szCs w:val="26"/>
        </w:rPr>
        <w:t xml:space="preserve">that neither he nor Margaret Katz is an agent for the Customer under any existing power of attorney.  The </w:t>
      </w:r>
      <w:r w:rsidR="00677076">
        <w:rPr>
          <w:rFonts w:ascii="Times New Roman" w:hAnsi="Times New Roman" w:cs="Times New Roman"/>
          <w:sz w:val="26"/>
          <w:szCs w:val="26"/>
        </w:rPr>
        <w:t>Moti</w:t>
      </w:r>
      <w:r w:rsidRPr="00E41E44">
        <w:rPr>
          <w:rFonts w:ascii="Times New Roman" w:hAnsi="Times New Roman" w:cs="Times New Roman"/>
          <w:sz w:val="26"/>
          <w:szCs w:val="26"/>
        </w:rPr>
        <w:t xml:space="preserve">on alleges that the Complainants are not authorized to file a </w:t>
      </w:r>
      <w:r w:rsidR="00677076">
        <w:rPr>
          <w:rFonts w:ascii="Times New Roman" w:hAnsi="Times New Roman" w:cs="Times New Roman"/>
          <w:sz w:val="26"/>
          <w:szCs w:val="26"/>
        </w:rPr>
        <w:t>C</w:t>
      </w:r>
      <w:r w:rsidRPr="00E41E44">
        <w:rPr>
          <w:rFonts w:ascii="Times New Roman" w:hAnsi="Times New Roman" w:cs="Times New Roman"/>
          <w:sz w:val="26"/>
          <w:szCs w:val="26"/>
        </w:rPr>
        <w:t xml:space="preserve">omplaint with the Commission on behalf of the Customer.  The </w:t>
      </w:r>
      <w:r w:rsidR="00677076">
        <w:rPr>
          <w:rFonts w:ascii="Times New Roman" w:hAnsi="Times New Roman" w:cs="Times New Roman"/>
          <w:sz w:val="26"/>
          <w:szCs w:val="26"/>
        </w:rPr>
        <w:t>Motion</w:t>
      </w:r>
      <w:r w:rsidRPr="00E41E44">
        <w:rPr>
          <w:rFonts w:ascii="Times New Roman" w:hAnsi="Times New Roman" w:cs="Times New Roman"/>
          <w:sz w:val="26"/>
          <w:szCs w:val="26"/>
        </w:rPr>
        <w:t xml:space="preserve"> requests that the Commission dismiss the </w:t>
      </w:r>
      <w:r w:rsidR="00677076">
        <w:rPr>
          <w:rFonts w:ascii="Times New Roman" w:hAnsi="Times New Roman" w:cs="Times New Roman"/>
          <w:sz w:val="26"/>
          <w:szCs w:val="26"/>
        </w:rPr>
        <w:t>C</w:t>
      </w:r>
      <w:r w:rsidRPr="00E41E44">
        <w:rPr>
          <w:rFonts w:ascii="Times New Roman" w:hAnsi="Times New Roman" w:cs="Times New Roman"/>
          <w:sz w:val="26"/>
          <w:szCs w:val="26"/>
        </w:rPr>
        <w:t xml:space="preserve">omplaint.  </w:t>
      </w:r>
    </w:p>
    <w:p w:rsidR="00E41E44" w:rsidRPr="00E41E44" w:rsidRDefault="00E41E44" w:rsidP="002A5A92">
      <w:pPr>
        <w:pStyle w:val="ParaTab1"/>
        <w:spacing w:line="360" w:lineRule="auto"/>
        <w:ind w:firstLine="0"/>
        <w:rPr>
          <w:rFonts w:ascii="Times New Roman" w:hAnsi="Times New Roman" w:cs="Times New Roman"/>
          <w:sz w:val="26"/>
          <w:szCs w:val="26"/>
        </w:rPr>
      </w:pPr>
    </w:p>
    <w:p w:rsidR="00E41E44" w:rsidRPr="00E41E44" w:rsidRDefault="00E41E44" w:rsidP="002A5A92">
      <w:pPr>
        <w:pStyle w:val="ParaTab1"/>
        <w:spacing w:line="360" w:lineRule="auto"/>
        <w:ind w:firstLine="1350"/>
        <w:rPr>
          <w:rFonts w:ascii="Times New Roman" w:hAnsi="Times New Roman" w:cs="Times New Roman"/>
          <w:sz w:val="26"/>
          <w:szCs w:val="26"/>
        </w:rPr>
      </w:pPr>
      <w:r w:rsidRPr="00E41E44">
        <w:rPr>
          <w:rFonts w:ascii="Times New Roman" w:hAnsi="Times New Roman" w:cs="Times New Roman"/>
          <w:sz w:val="26"/>
          <w:szCs w:val="26"/>
        </w:rPr>
        <w:t>On February 12, 2011</w:t>
      </w:r>
      <w:r>
        <w:rPr>
          <w:rFonts w:ascii="Times New Roman" w:hAnsi="Times New Roman" w:cs="Times New Roman"/>
          <w:sz w:val="26"/>
          <w:szCs w:val="26"/>
        </w:rPr>
        <w:t>,</w:t>
      </w:r>
      <w:r w:rsidRPr="00E41E44">
        <w:rPr>
          <w:rFonts w:ascii="Times New Roman" w:hAnsi="Times New Roman" w:cs="Times New Roman"/>
          <w:sz w:val="26"/>
          <w:szCs w:val="26"/>
        </w:rPr>
        <w:t xml:space="preserve"> Alan Katz filed a</w:t>
      </w:r>
      <w:r w:rsidR="002D3DA8">
        <w:rPr>
          <w:rFonts w:ascii="Times New Roman" w:hAnsi="Times New Roman" w:cs="Times New Roman"/>
          <w:sz w:val="26"/>
          <w:szCs w:val="26"/>
        </w:rPr>
        <w:t xml:space="preserve"> Reply</w:t>
      </w:r>
      <w:r w:rsidRPr="00E41E44">
        <w:rPr>
          <w:rFonts w:ascii="Times New Roman" w:hAnsi="Times New Roman" w:cs="Times New Roman"/>
          <w:sz w:val="26"/>
          <w:szCs w:val="26"/>
        </w:rPr>
        <w:t xml:space="preserve"> to the Respondent’s </w:t>
      </w:r>
      <w:r w:rsidR="00E0107E">
        <w:rPr>
          <w:rFonts w:ascii="Times New Roman" w:hAnsi="Times New Roman" w:cs="Times New Roman"/>
          <w:sz w:val="26"/>
          <w:szCs w:val="26"/>
        </w:rPr>
        <w:t>Motion</w:t>
      </w:r>
      <w:r w:rsidRPr="00E41E44">
        <w:rPr>
          <w:rFonts w:ascii="Times New Roman" w:hAnsi="Times New Roman" w:cs="Times New Roman"/>
          <w:sz w:val="26"/>
          <w:szCs w:val="26"/>
        </w:rPr>
        <w:t xml:space="preserve">.  The </w:t>
      </w:r>
      <w:r w:rsidR="002D3DA8">
        <w:rPr>
          <w:rFonts w:ascii="Times New Roman" w:hAnsi="Times New Roman" w:cs="Times New Roman"/>
          <w:sz w:val="26"/>
          <w:szCs w:val="26"/>
        </w:rPr>
        <w:t xml:space="preserve">Reply </w:t>
      </w:r>
      <w:r w:rsidRPr="00E41E44">
        <w:rPr>
          <w:rFonts w:ascii="Times New Roman" w:hAnsi="Times New Roman" w:cs="Times New Roman"/>
          <w:sz w:val="26"/>
          <w:szCs w:val="26"/>
        </w:rPr>
        <w:t xml:space="preserve">to the </w:t>
      </w:r>
      <w:r w:rsidR="00944BF1">
        <w:rPr>
          <w:rFonts w:ascii="Times New Roman" w:hAnsi="Times New Roman" w:cs="Times New Roman"/>
          <w:sz w:val="26"/>
          <w:szCs w:val="26"/>
        </w:rPr>
        <w:t xml:space="preserve">Motion </w:t>
      </w:r>
      <w:r w:rsidRPr="00E41E44">
        <w:rPr>
          <w:rFonts w:ascii="Times New Roman" w:hAnsi="Times New Roman" w:cs="Times New Roman"/>
          <w:sz w:val="26"/>
          <w:szCs w:val="26"/>
        </w:rPr>
        <w:t xml:space="preserve">contends that Stanley Katz, the Customer’s father, paid the Customer’s electric bills and therefore was the actual customer until Stanley Katz passed away in 2007.  According to the </w:t>
      </w:r>
      <w:r w:rsidR="002D3DA8">
        <w:rPr>
          <w:rFonts w:ascii="Times New Roman" w:hAnsi="Times New Roman" w:cs="Times New Roman"/>
          <w:sz w:val="26"/>
          <w:szCs w:val="26"/>
        </w:rPr>
        <w:t>Reply</w:t>
      </w:r>
      <w:r w:rsidRPr="00E41E44">
        <w:rPr>
          <w:rFonts w:ascii="Times New Roman" w:hAnsi="Times New Roman" w:cs="Times New Roman"/>
          <w:sz w:val="26"/>
          <w:szCs w:val="26"/>
        </w:rPr>
        <w:t xml:space="preserve">, after Stanley Katz passed away, Margaret Katz began paying Michael Katz’s electric bills.  Margaret Katz requested that </w:t>
      </w:r>
      <w:r>
        <w:rPr>
          <w:rFonts w:ascii="Times New Roman" w:hAnsi="Times New Roman" w:cs="Times New Roman"/>
          <w:sz w:val="26"/>
          <w:szCs w:val="26"/>
        </w:rPr>
        <w:t>PPL</w:t>
      </w:r>
      <w:r w:rsidRPr="00E41E44">
        <w:rPr>
          <w:rFonts w:ascii="Times New Roman" w:hAnsi="Times New Roman" w:cs="Times New Roman"/>
          <w:sz w:val="26"/>
          <w:szCs w:val="26"/>
        </w:rPr>
        <w:t xml:space="preserve"> send the Customer’s bills to her but </w:t>
      </w:r>
      <w:r>
        <w:rPr>
          <w:rFonts w:ascii="Times New Roman" w:hAnsi="Times New Roman" w:cs="Times New Roman"/>
          <w:sz w:val="26"/>
          <w:szCs w:val="26"/>
        </w:rPr>
        <w:t>PPL</w:t>
      </w:r>
      <w:r w:rsidRPr="00E41E44">
        <w:rPr>
          <w:rFonts w:ascii="Times New Roman" w:hAnsi="Times New Roman" w:cs="Times New Roman"/>
          <w:sz w:val="26"/>
          <w:szCs w:val="26"/>
        </w:rPr>
        <w:t xml:space="preserve"> failed to do so.  The </w:t>
      </w:r>
      <w:r w:rsidR="002D3DA8">
        <w:rPr>
          <w:rFonts w:ascii="Times New Roman" w:hAnsi="Times New Roman" w:cs="Times New Roman"/>
          <w:sz w:val="26"/>
          <w:szCs w:val="26"/>
        </w:rPr>
        <w:t xml:space="preserve">Reply </w:t>
      </w:r>
      <w:r w:rsidRPr="00E41E44">
        <w:rPr>
          <w:rFonts w:ascii="Times New Roman" w:hAnsi="Times New Roman" w:cs="Times New Roman"/>
          <w:sz w:val="26"/>
          <w:szCs w:val="26"/>
        </w:rPr>
        <w:t>contend</w:t>
      </w:r>
      <w:r>
        <w:rPr>
          <w:rFonts w:ascii="Times New Roman" w:hAnsi="Times New Roman" w:cs="Times New Roman"/>
          <w:sz w:val="26"/>
          <w:szCs w:val="26"/>
        </w:rPr>
        <w:t>ed</w:t>
      </w:r>
      <w:r w:rsidRPr="00E41E44">
        <w:rPr>
          <w:rFonts w:ascii="Times New Roman" w:hAnsi="Times New Roman" w:cs="Times New Roman"/>
          <w:sz w:val="26"/>
          <w:szCs w:val="26"/>
        </w:rPr>
        <w:t xml:space="preserve"> that had </w:t>
      </w:r>
      <w:r>
        <w:rPr>
          <w:rFonts w:ascii="Times New Roman" w:hAnsi="Times New Roman" w:cs="Times New Roman"/>
          <w:sz w:val="26"/>
          <w:szCs w:val="26"/>
        </w:rPr>
        <w:t>PPL</w:t>
      </w:r>
      <w:r w:rsidRPr="00E41E44">
        <w:rPr>
          <w:rFonts w:ascii="Times New Roman" w:hAnsi="Times New Roman" w:cs="Times New Roman"/>
          <w:sz w:val="26"/>
          <w:szCs w:val="26"/>
        </w:rPr>
        <w:t xml:space="preserve"> honored Margaret Katz’s request, the Customer’s bill would never have accumulated to over $3,000.  The </w:t>
      </w:r>
      <w:r w:rsidR="002D3DA8">
        <w:rPr>
          <w:rFonts w:ascii="Times New Roman" w:hAnsi="Times New Roman" w:cs="Times New Roman"/>
          <w:sz w:val="26"/>
          <w:szCs w:val="26"/>
        </w:rPr>
        <w:t xml:space="preserve">Reply </w:t>
      </w:r>
      <w:r w:rsidRPr="00E41E44">
        <w:rPr>
          <w:rFonts w:ascii="Times New Roman" w:hAnsi="Times New Roman" w:cs="Times New Roman"/>
          <w:sz w:val="26"/>
          <w:szCs w:val="26"/>
        </w:rPr>
        <w:t xml:space="preserve">requests that the Commission direct </w:t>
      </w:r>
      <w:r>
        <w:rPr>
          <w:rFonts w:ascii="Times New Roman" w:hAnsi="Times New Roman" w:cs="Times New Roman"/>
          <w:sz w:val="26"/>
          <w:szCs w:val="26"/>
        </w:rPr>
        <w:t>PPL</w:t>
      </w:r>
      <w:r w:rsidRPr="00E41E44">
        <w:rPr>
          <w:rFonts w:ascii="Times New Roman" w:hAnsi="Times New Roman" w:cs="Times New Roman"/>
          <w:sz w:val="26"/>
          <w:szCs w:val="26"/>
        </w:rPr>
        <w:t xml:space="preserve"> to eliminate the balance on the Customer’s account </w:t>
      </w:r>
      <w:r>
        <w:rPr>
          <w:rFonts w:ascii="Times New Roman" w:hAnsi="Times New Roman" w:cs="Times New Roman"/>
          <w:sz w:val="26"/>
          <w:szCs w:val="26"/>
        </w:rPr>
        <w:t xml:space="preserve">that PPL </w:t>
      </w:r>
      <w:r w:rsidRPr="00E41E44">
        <w:rPr>
          <w:rFonts w:ascii="Times New Roman" w:hAnsi="Times New Roman" w:cs="Times New Roman"/>
          <w:sz w:val="26"/>
          <w:szCs w:val="26"/>
        </w:rPr>
        <w:t xml:space="preserve">allowed to accumulate.  </w:t>
      </w:r>
    </w:p>
    <w:p w:rsidR="00E41E44" w:rsidRPr="00E41E44" w:rsidRDefault="00E41E44" w:rsidP="002A5A92">
      <w:pPr>
        <w:pStyle w:val="ParaTab1"/>
        <w:spacing w:line="360" w:lineRule="auto"/>
        <w:ind w:firstLine="0"/>
        <w:rPr>
          <w:rFonts w:ascii="Times New Roman" w:hAnsi="Times New Roman" w:cs="Times New Roman"/>
          <w:sz w:val="26"/>
          <w:szCs w:val="26"/>
        </w:rPr>
      </w:pPr>
    </w:p>
    <w:p w:rsidR="00706691" w:rsidRDefault="00771A9F" w:rsidP="002A5A92">
      <w:pPr>
        <w:pStyle w:val="ParaTab1"/>
        <w:spacing w:line="360" w:lineRule="auto"/>
        <w:ind w:firstLine="1350"/>
        <w:rPr>
          <w:rFonts w:ascii="Times New Roman" w:hAnsi="Times New Roman" w:cs="Times New Roman"/>
          <w:sz w:val="26"/>
          <w:szCs w:val="26"/>
        </w:rPr>
      </w:pPr>
      <w:r>
        <w:rPr>
          <w:rFonts w:ascii="Times New Roman" w:hAnsi="Times New Roman" w:cs="Times New Roman"/>
          <w:sz w:val="26"/>
          <w:szCs w:val="26"/>
        </w:rPr>
        <w:t xml:space="preserve">On March 16, 2011, the ALJ’s Initial Decision was issued.  The ALJ </w:t>
      </w:r>
      <w:r w:rsidR="002D3DA8">
        <w:rPr>
          <w:rFonts w:ascii="Times New Roman" w:hAnsi="Times New Roman" w:cs="Times New Roman"/>
          <w:sz w:val="26"/>
          <w:szCs w:val="26"/>
        </w:rPr>
        <w:t xml:space="preserve">treated </w:t>
      </w:r>
      <w:r>
        <w:rPr>
          <w:rFonts w:ascii="Times New Roman" w:hAnsi="Times New Roman" w:cs="Times New Roman"/>
          <w:sz w:val="26"/>
          <w:szCs w:val="26"/>
        </w:rPr>
        <w:t xml:space="preserve">PPL’s </w:t>
      </w:r>
      <w:r w:rsidR="002D3DA8">
        <w:rPr>
          <w:rFonts w:ascii="Times New Roman" w:hAnsi="Times New Roman" w:cs="Times New Roman"/>
          <w:sz w:val="26"/>
          <w:szCs w:val="26"/>
        </w:rPr>
        <w:t xml:space="preserve">Motion to Dismiss as a Motion for Summary Judgment, pursuant to </w:t>
      </w:r>
    </w:p>
    <w:p w:rsidR="00E41E44" w:rsidRDefault="002D3DA8" w:rsidP="00706691">
      <w:pPr>
        <w:pStyle w:val="ParaTab1"/>
        <w:spacing w:line="360" w:lineRule="auto"/>
        <w:ind w:firstLine="0"/>
        <w:rPr>
          <w:rFonts w:ascii="Times New Roman" w:hAnsi="Times New Roman" w:cs="Times New Roman"/>
          <w:sz w:val="26"/>
          <w:szCs w:val="26"/>
        </w:rPr>
      </w:pPr>
      <w:r>
        <w:rPr>
          <w:rFonts w:ascii="Times New Roman" w:hAnsi="Times New Roman" w:cs="Times New Roman"/>
          <w:sz w:val="26"/>
          <w:szCs w:val="26"/>
        </w:rPr>
        <w:t>52 Pa. Code § 5.102.  I.D. at 7.  The ALJ granted that Motion</w:t>
      </w:r>
      <w:r w:rsidR="00771A9F">
        <w:rPr>
          <w:rFonts w:ascii="Times New Roman" w:hAnsi="Times New Roman" w:cs="Times New Roman"/>
          <w:sz w:val="26"/>
          <w:szCs w:val="26"/>
        </w:rPr>
        <w:t xml:space="preserve">, finding that the Complainants lacked standing to file the Complaint.  The ALJ determined that the </w:t>
      </w:r>
      <w:r w:rsidR="00771A9F">
        <w:rPr>
          <w:rFonts w:ascii="Times New Roman" w:hAnsi="Times New Roman" w:cs="Times New Roman"/>
          <w:sz w:val="26"/>
          <w:szCs w:val="26"/>
        </w:rPr>
        <w:lastRenderedPageBreak/>
        <w:t xml:space="preserve">Complainants did not allege that they had the Customer’s power of attorney.  However, in the event the Complainants did obtain a power of attorney to act for the Customer in the future, the ALJ dismissed the Complaint without prejudice.  </w:t>
      </w:r>
      <w:r w:rsidR="00771A9F" w:rsidRPr="00505D5E">
        <w:rPr>
          <w:rFonts w:ascii="Times New Roman" w:hAnsi="Times New Roman" w:cs="Times New Roman"/>
          <w:i/>
          <w:sz w:val="26"/>
          <w:szCs w:val="26"/>
        </w:rPr>
        <w:t>I</w:t>
      </w:r>
      <w:r w:rsidR="008B38B1" w:rsidRPr="00505D5E">
        <w:rPr>
          <w:rFonts w:ascii="Times New Roman" w:hAnsi="Times New Roman" w:cs="Times New Roman"/>
          <w:i/>
          <w:sz w:val="26"/>
          <w:szCs w:val="26"/>
        </w:rPr>
        <w:t>d</w:t>
      </w:r>
      <w:r w:rsidR="00771A9F">
        <w:rPr>
          <w:rFonts w:ascii="Times New Roman" w:hAnsi="Times New Roman" w:cs="Times New Roman"/>
          <w:sz w:val="26"/>
          <w:szCs w:val="26"/>
        </w:rPr>
        <w:t>. at 12.</w:t>
      </w:r>
    </w:p>
    <w:p w:rsidR="00771A9F" w:rsidRDefault="00771A9F" w:rsidP="002A5A92">
      <w:pPr>
        <w:pStyle w:val="ParaTab1"/>
        <w:spacing w:line="360" w:lineRule="auto"/>
        <w:ind w:firstLine="1350"/>
        <w:rPr>
          <w:rFonts w:ascii="Times New Roman" w:hAnsi="Times New Roman" w:cs="Times New Roman"/>
          <w:sz w:val="26"/>
          <w:szCs w:val="26"/>
        </w:rPr>
      </w:pPr>
    </w:p>
    <w:p w:rsidR="00771A9F" w:rsidRDefault="00771A9F" w:rsidP="002A5A92">
      <w:pPr>
        <w:pStyle w:val="ParaTab1"/>
        <w:spacing w:line="360" w:lineRule="auto"/>
        <w:ind w:firstLine="1350"/>
        <w:rPr>
          <w:rFonts w:ascii="Times New Roman" w:hAnsi="Times New Roman" w:cs="Times New Roman"/>
          <w:sz w:val="26"/>
          <w:szCs w:val="26"/>
        </w:rPr>
      </w:pPr>
      <w:r>
        <w:rPr>
          <w:rFonts w:ascii="Times New Roman" w:hAnsi="Times New Roman" w:cs="Times New Roman"/>
          <w:sz w:val="26"/>
          <w:szCs w:val="26"/>
        </w:rPr>
        <w:t>On March 3</w:t>
      </w:r>
      <w:r w:rsidR="00FA13C6">
        <w:rPr>
          <w:rFonts w:ascii="Times New Roman" w:hAnsi="Times New Roman" w:cs="Times New Roman"/>
          <w:sz w:val="26"/>
          <w:szCs w:val="26"/>
        </w:rPr>
        <w:t>0</w:t>
      </w:r>
      <w:r>
        <w:rPr>
          <w:rFonts w:ascii="Times New Roman" w:hAnsi="Times New Roman" w:cs="Times New Roman"/>
          <w:sz w:val="26"/>
          <w:szCs w:val="26"/>
        </w:rPr>
        <w:t>, 2011, the Complainants filed Exceptions to the Initial Decision, contending that the ALJ erred by failing to find that the Complainants were customers of PPL, along with the Customer.  The Complainants also argued that it was PPL’s error in the first instance to record the Customer as the Customer of record rather than the Customer’s parents.  On April 8, 2011, PPL filed a Reply to Exceptions which argues that the ALJ’s Initial Decision correctly ruled that the Complainants lacked standing in this matter.</w:t>
      </w:r>
    </w:p>
    <w:p w:rsidR="006059BE" w:rsidRPr="00771A9F" w:rsidRDefault="006059BE" w:rsidP="002A5A92">
      <w:pPr>
        <w:pStyle w:val="ParaTab1"/>
        <w:spacing w:line="360" w:lineRule="auto"/>
        <w:ind w:firstLine="1350"/>
        <w:rPr>
          <w:rFonts w:ascii="Times New Roman" w:hAnsi="Times New Roman" w:cs="Times New Roman"/>
          <w:sz w:val="26"/>
          <w:szCs w:val="26"/>
        </w:rPr>
      </w:pPr>
    </w:p>
    <w:p w:rsidR="0095737A" w:rsidRDefault="0095737A" w:rsidP="002A5A92">
      <w:pPr>
        <w:spacing w:line="360" w:lineRule="auto"/>
        <w:jc w:val="center"/>
        <w:rPr>
          <w:b/>
          <w:sz w:val="26"/>
          <w:szCs w:val="26"/>
        </w:rPr>
      </w:pPr>
      <w:r w:rsidRPr="0095737A">
        <w:rPr>
          <w:b/>
          <w:sz w:val="26"/>
          <w:szCs w:val="26"/>
        </w:rPr>
        <w:t>Discussion</w:t>
      </w:r>
    </w:p>
    <w:p w:rsidR="00771A9F" w:rsidRDefault="00771A9F" w:rsidP="002A5A92">
      <w:pPr>
        <w:spacing w:line="360" w:lineRule="auto"/>
        <w:rPr>
          <w:b/>
          <w:sz w:val="26"/>
          <w:szCs w:val="26"/>
        </w:rPr>
      </w:pPr>
    </w:p>
    <w:p w:rsidR="00397937" w:rsidRDefault="00397937" w:rsidP="002A5A92">
      <w:pPr>
        <w:spacing w:line="360" w:lineRule="auto"/>
        <w:ind w:firstLine="1440"/>
        <w:rPr>
          <w:sz w:val="26"/>
          <w:szCs w:val="26"/>
        </w:rPr>
      </w:pPr>
      <w:r>
        <w:rPr>
          <w:sz w:val="26"/>
          <w:szCs w:val="20"/>
        </w:rPr>
        <w:t>W</w:t>
      </w:r>
      <w:r w:rsidRPr="00397937">
        <w:rPr>
          <w:sz w:val="26"/>
          <w:szCs w:val="20"/>
        </w:rPr>
        <w:t xml:space="preserve">e note that any issue or Exception that we do not specifically delineate shall be deemed to have been duly considered and denied without further discussion.  The Commission is not required to consider expressly or at length each contention or argument raised by the parties.  </w:t>
      </w:r>
      <w:hyperlink r:id="rId9" w:history="1">
        <w:r w:rsidRPr="00397937">
          <w:rPr>
            <w:i/>
            <w:iCs/>
            <w:color w:val="000000"/>
            <w:sz w:val="26"/>
            <w:szCs w:val="26"/>
          </w:rPr>
          <w:t xml:space="preserve">Consolidated Rail Corporation v. Pa. PUC, </w:t>
        </w:r>
        <w:r w:rsidR="00706691">
          <w:rPr>
            <w:i/>
            <w:iCs/>
            <w:color w:val="000000"/>
            <w:sz w:val="26"/>
            <w:szCs w:val="26"/>
          </w:rPr>
          <w:t xml:space="preserve">                 </w:t>
        </w:r>
        <w:r w:rsidRPr="00397937">
          <w:rPr>
            <w:color w:val="000000"/>
            <w:sz w:val="26"/>
            <w:szCs w:val="26"/>
          </w:rPr>
          <w:t>625 A.2d 741 (Pa. Cmwlth. 1993);</w:t>
        </w:r>
      </w:hyperlink>
      <w:r w:rsidRPr="00397937">
        <w:rPr>
          <w:color w:val="000000"/>
          <w:sz w:val="26"/>
          <w:szCs w:val="26"/>
        </w:rPr>
        <w:t xml:space="preserve"> </w:t>
      </w:r>
      <w:r w:rsidRPr="00397937">
        <w:rPr>
          <w:i/>
          <w:color w:val="000000"/>
          <w:sz w:val="26"/>
          <w:szCs w:val="26"/>
        </w:rPr>
        <w:t xml:space="preserve">also </w:t>
      </w:r>
      <w:r w:rsidRPr="00397937">
        <w:rPr>
          <w:i/>
          <w:iCs/>
          <w:color w:val="000000"/>
          <w:sz w:val="26"/>
          <w:szCs w:val="26"/>
        </w:rPr>
        <w:t xml:space="preserve">see, generally, </w:t>
      </w:r>
      <w:hyperlink r:id="rId10" w:history="1">
        <w:r w:rsidRPr="00397937">
          <w:rPr>
            <w:i/>
            <w:iCs/>
            <w:color w:val="000000"/>
            <w:sz w:val="26"/>
            <w:szCs w:val="26"/>
          </w:rPr>
          <w:t>University of Pennsyl</w:t>
        </w:r>
        <w:r w:rsidRPr="00397937">
          <w:rPr>
            <w:i/>
            <w:iCs/>
            <w:color w:val="000000"/>
            <w:sz w:val="26"/>
            <w:szCs w:val="26"/>
          </w:rPr>
          <w:softHyphen/>
          <w:t>vania v. Pa. PUC</w:t>
        </w:r>
        <w:r w:rsidRPr="00397937">
          <w:rPr>
            <w:color w:val="000000"/>
            <w:sz w:val="26"/>
            <w:szCs w:val="26"/>
          </w:rPr>
          <w:t>, 485 A.2d 1217 (Pa. Cmwlth. 1984).</w:t>
        </w:r>
      </w:hyperlink>
      <w:r w:rsidRPr="00397937">
        <w:rPr>
          <w:sz w:val="26"/>
          <w:szCs w:val="26"/>
        </w:rPr>
        <w:t xml:space="preserve">  </w:t>
      </w:r>
    </w:p>
    <w:p w:rsidR="00397937" w:rsidRDefault="00397937" w:rsidP="002A5A92">
      <w:pPr>
        <w:spacing w:line="360" w:lineRule="auto"/>
        <w:ind w:firstLine="1440"/>
        <w:rPr>
          <w:sz w:val="26"/>
          <w:szCs w:val="26"/>
        </w:rPr>
      </w:pPr>
    </w:p>
    <w:p w:rsidR="009C596F" w:rsidRDefault="009C596F" w:rsidP="002A5A92">
      <w:pPr>
        <w:spacing w:line="360" w:lineRule="auto"/>
        <w:jc w:val="both"/>
        <w:rPr>
          <w:b/>
          <w:sz w:val="26"/>
          <w:szCs w:val="26"/>
        </w:rPr>
      </w:pPr>
      <w:r>
        <w:rPr>
          <w:b/>
          <w:sz w:val="26"/>
          <w:szCs w:val="26"/>
        </w:rPr>
        <w:t>Legal Standard</w:t>
      </w:r>
    </w:p>
    <w:p w:rsidR="009C596F" w:rsidRPr="00505D5E" w:rsidRDefault="009C596F" w:rsidP="002A5A92">
      <w:pPr>
        <w:spacing w:line="360" w:lineRule="auto"/>
        <w:jc w:val="both"/>
        <w:rPr>
          <w:sz w:val="26"/>
          <w:szCs w:val="26"/>
        </w:rPr>
      </w:pPr>
    </w:p>
    <w:p w:rsidR="0074764A" w:rsidRDefault="0074764A" w:rsidP="002A5A92">
      <w:pPr>
        <w:spacing w:line="360" w:lineRule="auto"/>
        <w:ind w:firstLine="1440"/>
        <w:jc w:val="both"/>
        <w:rPr>
          <w:sz w:val="26"/>
          <w:szCs w:val="26"/>
        </w:rPr>
      </w:pPr>
      <w:r>
        <w:rPr>
          <w:sz w:val="26"/>
          <w:szCs w:val="26"/>
        </w:rPr>
        <w:t>Our Regulation at 52 Pa. Code § 5.102 states, in pertinent part:</w:t>
      </w:r>
    </w:p>
    <w:p w:rsidR="00F15951" w:rsidRPr="00505D5E" w:rsidRDefault="00F15951" w:rsidP="002A5A92">
      <w:pPr>
        <w:pStyle w:val="NormalWeb"/>
        <w:ind w:left="1440" w:right="1440" w:firstLine="720"/>
        <w:rPr>
          <w:sz w:val="26"/>
          <w:szCs w:val="26"/>
        </w:rPr>
      </w:pPr>
      <w:bookmarkStart w:id="0" w:name="5.102."/>
      <w:r w:rsidRPr="00505D5E">
        <w:rPr>
          <w:sz w:val="26"/>
          <w:szCs w:val="26"/>
        </w:rPr>
        <w:t>(a)  </w:t>
      </w:r>
      <w:r w:rsidRPr="00505D5E">
        <w:rPr>
          <w:i/>
          <w:iCs/>
          <w:sz w:val="26"/>
          <w:szCs w:val="26"/>
        </w:rPr>
        <w:t>Generally</w:t>
      </w:r>
      <w:r w:rsidRPr="00505D5E">
        <w:rPr>
          <w:sz w:val="26"/>
          <w:szCs w:val="26"/>
        </w:rPr>
        <w:t xml:space="preserve">. After the pleadings are closed, but within a time so that the hearing is not delayed, a party may move for </w:t>
      </w:r>
      <w:r>
        <w:rPr>
          <w:sz w:val="26"/>
          <w:szCs w:val="26"/>
        </w:rPr>
        <w:t>. . .</w:t>
      </w:r>
      <w:r w:rsidRPr="00505D5E">
        <w:rPr>
          <w:sz w:val="26"/>
          <w:szCs w:val="26"/>
        </w:rPr>
        <w:t xml:space="preserve"> summary judgment. A motion must contain a notice which states that an answer or other responsive pleading shall be filed within 20 days of service of the motion. </w:t>
      </w:r>
    </w:p>
    <w:p w:rsidR="00F15951" w:rsidRDefault="00F15951" w:rsidP="002A5A92">
      <w:pPr>
        <w:pStyle w:val="NormalWeb"/>
        <w:ind w:left="1440" w:right="1440"/>
        <w:jc w:val="center"/>
        <w:rPr>
          <w:sz w:val="26"/>
          <w:szCs w:val="26"/>
        </w:rPr>
      </w:pPr>
      <w:r>
        <w:rPr>
          <w:sz w:val="26"/>
          <w:szCs w:val="26"/>
        </w:rPr>
        <w:lastRenderedPageBreak/>
        <w:t>*</w:t>
      </w:r>
      <w:r>
        <w:rPr>
          <w:sz w:val="26"/>
          <w:szCs w:val="26"/>
        </w:rPr>
        <w:tab/>
        <w:t>*</w:t>
      </w:r>
      <w:r>
        <w:rPr>
          <w:sz w:val="26"/>
          <w:szCs w:val="26"/>
        </w:rPr>
        <w:tab/>
        <w:t>*</w:t>
      </w:r>
    </w:p>
    <w:p w:rsidR="00DD0FE1" w:rsidRPr="00505D5E" w:rsidRDefault="00DD0FE1" w:rsidP="002A5A92">
      <w:pPr>
        <w:pStyle w:val="NormalWeb"/>
        <w:ind w:left="1440" w:right="1440" w:firstLine="720"/>
        <w:rPr>
          <w:sz w:val="26"/>
          <w:szCs w:val="26"/>
        </w:rPr>
      </w:pPr>
      <w:r w:rsidRPr="00505D5E">
        <w:rPr>
          <w:sz w:val="26"/>
          <w:szCs w:val="26"/>
        </w:rPr>
        <w:t>(c)  </w:t>
      </w:r>
      <w:r w:rsidRPr="00505D5E">
        <w:rPr>
          <w:i/>
          <w:iCs/>
          <w:sz w:val="26"/>
          <w:szCs w:val="26"/>
        </w:rPr>
        <w:t>Motion for summary judgment</w:t>
      </w:r>
      <w:r w:rsidRPr="00505D5E">
        <w:rPr>
          <w:sz w:val="26"/>
          <w:szCs w:val="26"/>
        </w:rPr>
        <w:t xml:space="preserve">. A motion for summary judgment must be based on the pleadings and depositions, answers to interrogatories, admissions and supporting affidavits. Documents not already filed with the Commission shall be filed with the motion. </w:t>
      </w:r>
    </w:p>
    <w:p w:rsidR="00DD0FE1" w:rsidRPr="00505D5E" w:rsidRDefault="00DD0FE1" w:rsidP="002A5A92">
      <w:pPr>
        <w:pStyle w:val="NormalWeb"/>
        <w:ind w:left="1440" w:right="1440" w:firstLine="720"/>
        <w:rPr>
          <w:sz w:val="26"/>
          <w:szCs w:val="26"/>
        </w:rPr>
      </w:pPr>
      <w:r w:rsidRPr="00505D5E">
        <w:rPr>
          <w:sz w:val="26"/>
          <w:szCs w:val="26"/>
        </w:rPr>
        <w:t>(d)  </w:t>
      </w:r>
      <w:r w:rsidRPr="00505D5E">
        <w:rPr>
          <w:i/>
          <w:iCs/>
          <w:sz w:val="26"/>
          <w:szCs w:val="26"/>
        </w:rPr>
        <w:t>Decisions on motions</w:t>
      </w:r>
      <w:r w:rsidRPr="00505D5E">
        <w:rPr>
          <w:sz w:val="26"/>
          <w:szCs w:val="26"/>
        </w:rPr>
        <w:t xml:space="preserve">. </w:t>
      </w:r>
    </w:p>
    <w:p w:rsidR="00DD0FE1" w:rsidRPr="00505D5E" w:rsidRDefault="00DD0FE1" w:rsidP="002A5A92">
      <w:pPr>
        <w:pStyle w:val="NormalWeb"/>
        <w:spacing w:after="0" w:afterAutospacing="0"/>
        <w:ind w:left="1440" w:right="1440" w:firstLine="1440"/>
        <w:rPr>
          <w:sz w:val="26"/>
          <w:szCs w:val="26"/>
        </w:rPr>
      </w:pPr>
      <w:r w:rsidRPr="00505D5E">
        <w:rPr>
          <w:sz w:val="26"/>
          <w:szCs w:val="26"/>
        </w:rPr>
        <w:t>(1)  </w:t>
      </w:r>
      <w:r w:rsidRPr="00505D5E">
        <w:rPr>
          <w:i/>
          <w:iCs/>
          <w:sz w:val="26"/>
          <w:szCs w:val="26"/>
        </w:rPr>
        <w:t>Standard for grant or denial on all counts</w:t>
      </w:r>
      <w:r w:rsidRPr="00505D5E">
        <w:rPr>
          <w:sz w:val="26"/>
          <w:szCs w:val="26"/>
        </w:rPr>
        <w:t xml:space="preserve">. The presiding officer will grant or deny a </w:t>
      </w:r>
      <w:r>
        <w:rPr>
          <w:sz w:val="26"/>
          <w:szCs w:val="26"/>
        </w:rPr>
        <w:t xml:space="preserve">. . . </w:t>
      </w:r>
      <w:r w:rsidRPr="00505D5E">
        <w:rPr>
          <w:sz w:val="26"/>
          <w:szCs w:val="26"/>
        </w:rPr>
        <w:t xml:space="preserve">motion for summary judgment, as appropriate. The judgment sought will be rendered if the applicable pleadings, depositions, answers to interrogatories and admissions, together with affidavits, if any, show that there is no genuine issue as to a material fact and that the moving party is entitled to a judgment as a matter of law. </w:t>
      </w:r>
    </w:p>
    <w:bookmarkEnd w:id="0"/>
    <w:p w:rsidR="009C596F" w:rsidRPr="00505D5E" w:rsidRDefault="009C596F" w:rsidP="002A5A92">
      <w:pPr>
        <w:spacing w:line="360" w:lineRule="auto"/>
        <w:jc w:val="both"/>
        <w:rPr>
          <w:sz w:val="26"/>
          <w:szCs w:val="26"/>
        </w:rPr>
      </w:pPr>
    </w:p>
    <w:p w:rsidR="00397937" w:rsidRPr="00397937" w:rsidRDefault="00397937" w:rsidP="002A5A92">
      <w:pPr>
        <w:spacing w:line="360" w:lineRule="auto"/>
        <w:jc w:val="both"/>
        <w:rPr>
          <w:b/>
          <w:sz w:val="26"/>
          <w:szCs w:val="26"/>
        </w:rPr>
      </w:pPr>
      <w:r>
        <w:rPr>
          <w:b/>
          <w:sz w:val="26"/>
          <w:szCs w:val="26"/>
        </w:rPr>
        <w:t>The Initial Decision</w:t>
      </w:r>
    </w:p>
    <w:p w:rsidR="00397937" w:rsidRDefault="00397937" w:rsidP="002A5A92">
      <w:pPr>
        <w:spacing w:line="360" w:lineRule="auto"/>
        <w:ind w:firstLine="1440"/>
        <w:rPr>
          <w:sz w:val="26"/>
          <w:szCs w:val="26"/>
        </w:rPr>
      </w:pPr>
    </w:p>
    <w:p w:rsidR="00397937" w:rsidRDefault="00397937" w:rsidP="002A5A92">
      <w:pPr>
        <w:spacing w:line="360" w:lineRule="auto"/>
        <w:rPr>
          <w:sz w:val="26"/>
          <w:szCs w:val="26"/>
        </w:rPr>
      </w:pPr>
      <w:r w:rsidRPr="00397937">
        <w:rPr>
          <w:sz w:val="26"/>
          <w:szCs w:val="26"/>
        </w:rPr>
        <w:tab/>
      </w:r>
      <w:r w:rsidRPr="00397937">
        <w:rPr>
          <w:sz w:val="26"/>
          <w:szCs w:val="26"/>
        </w:rPr>
        <w:tab/>
      </w:r>
      <w:r>
        <w:rPr>
          <w:sz w:val="26"/>
          <w:szCs w:val="26"/>
        </w:rPr>
        <w:t>In his Initial Decision, the ALJ made eight Findings of Fact</w:t>
      </w:r>
      <w:r w:rsidR="001C3929">
        <w:rPr>
          <w:sz w:val="26"/>
          <w:szCs w:val="26"/>
        </w:rPr>
        <w:t>,</w:t>
      </w:r>
      <w:r>
        <w:rPr>
          <w:sz w:val="26"/>
          <w:szCs w:val="26"/>
        </w:rPr>
        <w:t xml:space="preserve"> I.D. at 4</w:t>
      </w:r>
      <w:r w:rsidR="001C3929">
        <w:rPr>
          <w:sz w:val="26"/>
          <w:szCs w:val="26"/>
        </w:rPr>
        <w:t>,</w:t>
      </w:r>
      <w:r>
        <w:rPr>
          <w:sz w:val="26"/>
          <w:szCs w:val="26"/>
        </w:rPr>
        <w:t xml:space="preserve"> and issued three Conclusions of Law</w:t>
      </w:r>
      <w:r w:rsidR="001C3929">
        <w:rPr>
          <w:sz w:val="26"/>
          <w:szCs w:val="26"/>
        </w:rPr>
        <w:t>,</w:t>
      </w:r>
      <w:r>
        <w:rPr>
          <w:sz w:val="26"/>
          <w:szCs w:val="26"/>
        </w:rPr>
        <w:t xml:space="preserve"> I.D. at 12.  </w:t>
      </w:r>
      <w:r w:rsidRPr="00397937">
        <w:rPr>
          <w:sz w:val="26"/>
          <w:szCs w:val="26"/>
        </w:rPr>
        <w:t xml:space="preserve">ALJ </w:t>
      </w:r>
      <w:r>
        <w:rPr>
          <w:sz w:val="26"/>
          <w:szCs w:val="26"/>
        </w:rPr>
        <w:t>Salapa</w:t>
      </w:r>
      <w:r w:rsidRPr="00397937">
        <w:rPr>
          <w:sz w:val="26"/>
          <w:szCs w:val="26"/>
        </w:rPr>
        <w:t>’s Findings of Fact and Conclusions of Law are incorporated herein by reference and are adopted without comment unless they are either expressly or by necessary implication rejected or modified by this Opinion and Order.</w:t>
      </w:r>
    </w:p>
    <w:p w:rsidR="00397937" w:rsidRDefault="00397937" w:rsidP="002A5A92">
      <w:pPr>
        <w:spacing w:line="360" w:lineRule="auto"/>
        <w:rPr>
          <w:sz w:val="26"/>
          <w:szCs w:val="26"/>
        </w:rPr>
      </w:pPr>
    </w:p>
    <w:p w:rsidR="00383CF0" w:rsidRDefault="00397937" w:rsidP="002A5A92">
      <w:pPr>
        <w:spacing w:line="360" w:lineRule="auto"/>
        <w:rPr>
          <w:sz w:val="26"/>
          <w:szCs w:val="26"/>
        </w:rPr>
      </w:pPr>
      <w:r>
        <w:rPr>
          <w:sz w:val="26"/>
          <w:szCs w:val="26"/>
        </w:rPr>
        <w:tab/>
      </w:r>
      <w:r>
        <w:rPr>
          <w:sz w:val="26"/>
          <w:szCs w:val="26"/>
        </w:rPr>
        <w:tab/>
        <w:t xml:space="preserve">The ALJ provided a lengthy discussion regarding the issue of standing and the manner in which PPL raised the issue.  The ALJ observed that the Complainants had long been aware that PPL did not consider the Complainants to be customers of record by the simple fact that PPL had refused to provide the Customer’s confidential account information to the Complainants.  Accordingly, the ALJ found that PPL had raised the issue of standing in a timely fashion and that Complainants were not prejudiced by the </w:t>
      </w:r>
      <w:r>
        <w:rPr>
          <w:sz w:val="26"/>
          <w:szCs w:val="26"/>
        </w:rPr>
        <w:lastRenderedPageBreak/>
        <w:t xml:space="preserve">fact that PPL raised the issue in a </w:t>
      </w:r>
      <w:r w:rsidR="001C3929">
        <w:rPr>
          <w:sz w:val="26"/>
          <w:szCs w:val="26"/>
        </w:rPr>
        <w:t xml:space="preserve">Motion </w:t>
      </w:r>
      <w:r w:rsidR="00F15951">
        <w:rPr>
          <w:sz w:val="26"/>
          <w:szCs w:val="26"/>
        </w:rPr>
        <w:t xml:space="preserve">to Dismiss </w:t>
      </w:r>
      <w:r w:rsidR="00711A13">
        <w:rPr>
          <w:sz w:val="26"/>
          <w:szCs w:val="26"/>
        </w:rPr>
        <w:t>rather</w:t>
      </w:r>
      <w:r>
        <w:rPr>
          <w:sz w:val="26"/>
          <w:szCs w:val="26"/>
        </w:rPr>
        <w:t xml:space="preserve"> than as an affirmative defense.</w:t>
      </w:r>
      <w:r>
        <w:rPr>
          <w:rStyle w:val="FootnoteReference"/>
        </w:rPr>
        <w:footnoteReference w:id="6"/>
      </w:r>
      <w:r>
        <w:rPr>
          <w:sz w:val="26"/>
          <w:szCs w:val="26"/>
        </w:rPr>
        <w:t xml:space="preserve">  I.D. at 4-7.</w:t>
      </w:r>
    </w:p>
    <w:p w:rsidR="00A45E9D" w:rsidRDefault="00A45E9D" w:rsidP="002A5A92">
      <w:pPr>
        <w:spacing w:line="360" w:lineRule="auto"/>
        <w:rPr>
          <w:sz w:val="26"/>
          <w:szCs w:val="26"/>
        </w:rPr>
      </w:pPr>
    </w:p>
    <w:p w:rsidR="00706691" w:rsidRDefault="00383CF0" w:rsidP="002A5A92">
      <w:pPr>
        <w:spacing w:line="360" w:lineRule="auto"/>
        <w:rPr>
          <w:sz w:val="26"/>
          <w:szCs w:val="26"/>
        </w:rPr>
      </w:pPr>
      <w:r>
        <w:rPr>
          <w:sz w:val="26"/>
          <w:szCs w:val="26"/>
        </w:rPr>
        <w:tab/>
      </w:r>
      <w:r>
        <w:rPr>
          <w:sz w:val="26"/>
          <w:szCs w:val="26"/>
        </w:rPr>
        <w:tab/>
        <w:t xml:space="preserve">Given the posture of the case, the ALJ determined to treat PPL’s </w:t>
      </w:r>
      <w:r w:rsidR="008754DA">
        <w:rPr>
          <w:sz w:val="26"/>
          <w:szCs w:val="26"/>
        </w:rPr>
        <w:t>Motion</w:t>
      </w:r>
      <w:r>
        <w:rPr>
          <w:sz w:val="26"/>
          <w:szCs w:val="26"/>
        </w:rPr>
        <w:t xml:space="preserve"> as a Motion for Summary Judgment pursuant to 52 Pa. Code </w:t>
      </w:r>
      <w:r w:rsidR="004765BE">
        <w:rPr>
          <w:sz w:val="26"/>
          <w:szCs w:val="26"/>
        </w:rPr>
        <w:t>§</w:t>
      </w:r>
      <w:r w:rsidR="004765BE">
        <w:t> </w:t>
      </w:r>
      <w:r>
        <w:rPr>
          <w:sz w:val="26"/>
          <w:szCs w:val="26"/>
        </w:rPr>
        <w:t>5.102.  The ALJ properly noted that</w:t>
      </w:r>
      <w:r w:rsidR="00FA13C6">
        <w:rPr>
          <w:sz w:val="26"/>
          <w:szCs w:val="26"/>
        </w:rPr>
        <w:t>,</w:t>
      </w:r>
      <w:r>
        <w:rPr>
          <w:sz w:val="26"/>
          <w:szCs w:val="26"/>
        </w:rPr>
        <w:t xml:space="preserve"> as the proponent of such a motion, PPL had the burden of showing that there was no </w:t>
      </w:r>
      <w:r w:rsidR="00231579">
        <w:rPr>
          <w:sz w:val="26"/>
          <w:szCs w:val="26"/>
        </w:rPr>
        <w:t xml:space="preserve">genuine issue of material fact and that PPL was entitled to a judgment as a matter of law.  The ALJ correctly stated that the record must be viewed in the light most favorable to the non-moving party; here, the Complainants.  </w:t>
      </w:r>
      <w:r w:rsidR="00231579" w:rsidRPr="00231579">
        <w:rPr>
          <w:i/>
          <w:sz w:val="26"/>
          <w:szCs w:val="26"/>
        </w:rPr>
        <w:t>First Mortgage Co. of Pennsylvania v. McCall</w:t>
      </w:r>
      <w:r w:rsidR="00231579">
        <w:rPr>
          <w:sz w:val="26"/>
          <w:szCs w:val="26"/>
        </w:rPr>
        <w:t>, 459 A.2d 406 (Pa. Super. 1983</w:t>
      </w:r>
      <w:r w:rsidR="00231579" w:rsidRPr="00231579">
        <w:rPr>
          <w:i/>
          <w:sz w:val="26"/>
          <w:szCs w:val="26"/>
        </w:rPr>
        <w:t>); Mertz v. Lakatos</w:t>
      </w:r>
      <w:r w:rsidR="00231579">
        <w:rPr>
          <w:sz w:val="26"/>
          <w:szCs w:val="26"/>
        </w:rPr>
        <w:t xml:space="preserve">, </w:t>
      </w:r>
    </w:p>
    <w:p w:rsidR="00397937" w:rsidRDefault="00706691" w:rsidP="002A5A92">
      <w:pPr>
        <w:spacing w:line="360" w:lineRule="auto"/>
        <w:rPr>
          <w:sz w:val="26"/>
          <w:szCs w:val="26"/>
        </w:rPr>
      </w:pPr>
      <w:r>
        <w:rPr>
          <w:sz w:val="26"/>
          <w:szCs w:val="26"/>
        </w:rPr>
        <w:t xml:space="preserve">381 A.2d 497 (Pa. Cmwlth. </w:t>
      </w:r>
      <w:r w:rsidR="00231579">
        <w:rPr>
          <w:sz w:val="26"/>
          <w:szCs w:val="26"/>
        </w:rPr>
        <w:t>197</w:t>
      </w:r>
      <w:r w:rsidR="008754DA">
        <w:rPr>
          <w:sz w:val="26"/>
          <w:szCs w:val="26"/>
        </w:rPr>
        <w:t>8</w:t>
      </w:r>
      <w:r w:rsidR="00231579">
        <w:rPr>
          <w:sz w:val="26"/>
          <w:szCs w:val="26"/>
        </w:rPr>
        <w:t>).</w:t>
      </w:r>
      <w:r w:rsidR="00397937">
        <w:rPr>
          <w:sz w:val="26"/>
          <w:szCs w:val="26"/>
        </w:rPr>
        <w:t xml:space="preserve">  </w:t>
      </w:r>
      <w:r w:rsidR="00231579">
        <w:rPr>
          <w:sz w:val="26"/>
          <w:szCs w:val="26"/>
        </w:rPr>
        <w:t xml:space="preserve">The ALJ also correctly stated that any doubt as to whether a material fact exists must be resolved against the moving party.  </w:t>
      </w:r>
      <w:r w:rsidR="00231579" w:rsidRPr="004765BE">
        <w:rPr>
          <w:i/>
          <w:sz w:val="26"/>
          <w:szCs w:val="26"/>
        </w:rPr>
        <w:t>Thom</w:t>
      </w:r>
      <w:r w:rsidR="008754DA">
        <w:rPr>
          <w:i/>
          <w:sz w:val="26"/>
          <w:szCs w:val="26"/>
        </w:rPr>
        <w:t>p</w:t>
      </w:r>
      <w:r w:rsidR="00231579" w:rsidRPr="004765BE">
        <w:rPr>
          <w:i/>
          <w:sz w:val="26"/>
          <w:szCs w:val="26"/>
        </w:rPr>
        <w:t>son Coal Company v. Pike Coal Company</w:t>
      </w:r>
      <w:r w:rsidR="00231579">
        <w:rPr>
          <w:sz w:val="26"/>
          <w:szCs w:val="26"/>
        </w:rPr>
        <w:t>, 412 A.2d 466 (Pa. 1979).  I.D. at 8.</w:t>
      </w:r>
    </w:p>
    <w:p w:rsidR="00231579" w:rsidRDefault="00231579" w:rsidP="002A5A92">
      <w:pPr>
        <w:spacing w:line="360" w:lineRule="auto"/>
        <w:rPr>
          <w:sz w:val="26"/>
          <w:szCs w:val="26"/>
        </w:rPr>
      </w:pPr>
    </w:p>
    <w:p w:rsidR="00706691" w:rsidRDefault="00231579" w:rsidP="002A5A92">
      <w:pPr>
        <w:spacing w:line="360" w:lineRule="auto"/>
        <w:rPr>
          <w:sz w:val="26"/>
          <w:szCs w:val="26"/>
        </w:rPr>
      </w:pPr>
      <w:r>
        <w:rPr>
          <w:sz w:val="26"/>
          <w:szCs w:val="26"/>
        </w:rPr>
        <w:tab/>
      </w:r>
      <w:r>
        <w:rPr>
          <w:sz w:val="26"/>
          <w:szCs w:val="26"/>
        </w:rPr>
        <w:tab/>
        <w:t>The ALJ found that there was no mater</w:t>
      </w:r>
      <w:r w:rsidR="004765BE">
        <w:rPr>
          <w:sz w:val="26"/>
          <w:szCs w:val="26"/>
        </w:rPr>
        <w:t>ial issue of fact and that PPL wa</w:t>
      </w:r>
      <w:r>
        <w:rPr>
          <w:sz w:val="26"/>
          <w:szCs w:val="26"/>
        </w:rPr>
        <w:t xml:space="preserve">s entitled to judgment as a matter of law.  </w:t>
      </w:r>
      <w:r w:rsidR="00BA26FE">
        <w:rPr>
          <w:sz w:val="26"/>
          <w:szCs w:val="26"/>
        </w:rPr>
        <w:t xml:space="preserve">The ALJ discussed the requirements of standing to participate in a Commission proceeding.  They include that a person or entity must have a direct, immediate and substantial interest in the subject matter of the proceeding.  </w:t>
      </w:r>
      <w:r w:rsidR="0055430E" w:rsidRPr="0055430E">
        <w:rPr>
          <w:i/>
          <w:sz w:val="26"/>
          <w:szCs w:val="26"/>
        </w:rPr>
        <w:t>Joint Application of Pennsylvania-American Water Co. and Evansburg Water Co. for Approval of the transfer, by sale, of the water works property and rights of Evansburg Water Co. to Pennsylvania-American Water Co.</w:t>
      </w:r>
      <w:r w:rsidR="0055430E" w:rsidRPr="0055430E">
        <w:rPr>
          <w:sz w:val="26"/>
          <w:szCs w:val="26"/>
        </w:rPr>
        <w:t xml:space="preserve">, </w:t>
      </w:r>
      <w:r w:rsidR="008754DA">
        <w:rPr>
          <w:sz w:val="26"/>
          <w:szCs w:val="26"/>
        </w:rPr>
        <w:t xml:space="preserve">Docket Nos. </w:t>
      </w:r>
      <w:r w:rsidR="0055430E" w:rsidRPr="0055430E">
        <w:rPr>
          <w:sz w:val="26"/>
          <w:szCs w:val="26"/>
        </w:rPr>
        <w:t>A</w:t>
      </w:r>
      <w:r w:rsidR="0055430E" w:rsidRPr="0055430E">
        <w:rPr>
          <w:sz w:val="26"/>
          <w:szCs w:val="26"/>
        </w:rPr>
        <w:noBreakHyphen/>
        <w:t>212285</w:t>
      </w:r>
      <w:r w:rsidR="00FC2513">
        <w:rPr>
          <w:sz w:val="26"/>
          <w:szCs w:val="26"/>
        </w:rPr>
        <w:t xml:space="preserve">, </w:t>
      </w:r>
      <w:r w:rsidR="0055430E" w:rsidRPr="0055430E">
        <w:rPr>
          <w:sz w:val="26"/>
          <w:szCs w:val="26"/>
        </w:rPr>
        <w:t xml:space="preserve">F0046/47 and A-210870F01 (Order entered July 9, 1998); </w:t>
      </w:r>
      <w:r w:rsidR="0055430E" w:rsidRPr="0055430E">
        <w:rPr>
          <w:i/>
          <w:sz w:val="26"/>
          <w:szCs w:val="26"/>
        </w:rPr>
        <w:t xml:space="preserve">William Penn Parking Garage, Inc. v. City of </w:t>
      </w:r>
      <w:r w:rsidR="0055430E" w:rsidRPr="0055430E">
        <w:rPr>
          <w:i/>
          <w:sz w:val="26"/>
          <w:szCs w:val="26"/>
        </w:rPr>
        <w:lastRenderedPageBreak/>
        <w:t>Pittsburgh</w:t>
      </w:r>
      <w:r w:rsidR="0055430E" w:rsidRPr="0055430E">
        <w:rPr>
          <w:sz w:val="26"/>
          <w:szCs w:val="26"/>
        </w:rPr>
        <w:t>, 464 Pa. 168, 346 A.2d 269 (1975</w:t>
      </w:r>
      <w:r w:rsidR="0055430E" w:rsidRPr="0055430E">
        <w:rPr>
          <w:i/>
          <w:sz w:val="26"/>
          <w:szCs w:val="26"/>
        </w:rPr>
        <w:t>); Landlord Service Bureau, Inc. v. Equitable Gas Co.</w:t>
      </w:r>
      <w:r w:rsidR="0055430E" w:rsidRPr="0055430E">
        <w:rPr>
          <w:sz w:val="26"/>
          <w:szCs w:val="26"/>
        </w:rPr>
        <w:t xml:space="preserve">, 79 Pa. P.U.C. 342 (1993); </w:t>
      </w:r>
      <w:r w:rsidR="0055430E" w:rsidRPr="0055430E">
        <w:rPr>
          <w:i/>
          <w:sz w:val="26"/>
          <w:szCs w:val="26"/>
        </w:rPr>
        <w:t>Re Equitable Gas Co.</w:t>
      </w:r>
      <w:r w:rsidR="0055430E" w:rsidRPr="0055430E">
        <w:rPr>
          <w:sz w:val="26"/>
          <w:szCs w:val="26"/>
        </w:rPr>
        <w:t xml:space="preserve">, 76 Pa. P.U.C. 23 (1992); </w:t>
      </w:r>
      <w:r w:rsidR="0055430E" w:rsidRPr="0055430E">
        <w:rPr>
          <w:i/>
          <w:sz w:val="26"/>
          <w:szCs w:val="26"/>
        </w:rPr>
        <w:t>Manufacturers’ Association of Erie v. City of Erie - Bureau of Water</w:t>
      </w:r>
      <w:r w:rsidR="0055430E" w:rsidRPr="0055430E">
        <w:rPr>
          <w:sz w:val="26"/>
          <w:szCs w:val="26"/>
        </w:rPr>
        <w:t xml:space="preserve">, </w:t>
      </w:r>
    </w:p>
    <w:p w:rsidR="00706691" w:rsidRDefault="0055430E" w:rsidP="002A5A92">
      <w:pPr>
        <w:spacing w:line="360" w:lineRule="auto"/>
        <w:rPr>
          <w:sz w:val="26"/>
          <w:szCs w:val="26"/>
        </w:rPr>
      </w:pPr>
      <w:r w:rsidRPr="0055430E">
        <w:rPr>
          <w:sz w:val="26"/>
          <w:szCs w:val="26"/>
        </w:rPr>
        <w:t xml:space="preserve">50 Pa. P.U.C. 43 (1976); </w:t>
      </w:r>
      <w:r w:rsidRPr="0055430E">
        <w:rPr>
          <w:i/>
          <w:sz w:val="26"/>
          <w:szCs w:val="26"/>
        </w:rPr>
        <w:t>Waddington v. Pennsylvania Public Utility Commission</w:t>
      </w:r>
      <w:r w:rsidRPr="0055430E">
        <w:rPr>
          <w:sz w:val="26"/>
          <w:szCs w:val="26"/>
        </w:rPr>
        <w:t xml:space="preserve">, </w:t>
      </w:r>
    </w:p>
    <w:p w:rsidR="00231579" w:rsidRDefault="0055430E" w:rsidP="002A5A92">
      <w:pPr>
        <w:spacing w:line="360" w:lineRule="auto"/>
        <w:rPr>
          <w:sz w:val="26"/>
          <w:szCs w:val="26"/>
        </w:rPr>
      </w:pPr>
      <w:r w:rsidRPr="0055430E">
        <w:rPr>
          <w:sz w:val="26"/>
          <w:szCs w:val="26"/>
        </w:rPr>
        <w:t xml:space="preserve">670 A.2d 199 (Pa. Cmwlth. 1995), </w:t>
      </w:r>
      <w:r w:rsidRPr="0055430E">
        <w:rPr>
          <w:i/>
          <w:sz w:val="26"/>
          <w:szCs w:val="26"/>
        </w:rPr>
        <w:t>alloc. denied</w:t>
      </w:r>
      <w:r w:rsidRPr="0055430E">
        <w:rPr>
          <w:sz w:val="26"/>
          <w:szCs w:val="26"/>
        </w:rPr>
        <w:t>, 678 A.2d 368 (Pa. 1996).</w:t>
      </w:r>
      <w:r>
        <w:rPr>
          <w:sz w:val="26"/>
          <w:szCs w:val="26"/>
        </w:rPr>
        <w:t xml:space="preserve">  The ALJ found that</w:t>
      </w:r>
      <w:r w:rsidR="008754DA">
        <w:rPr>
          <w:sz w:val="26"/>
          <w:szCs w:val="26"/>
        </w:rPr>
        <w:t>,</w:t>
      </w:r>
      <w:r>
        <w:rPr>
          <w:sz w:val="26"/>
          <w:szCs w:val="26"/>
        </w:rPr>
        <w:t xml:space="preserve"> in order to bring a complaint before the Commission, the Complainants must first demonstrate that they have standing to bring the action.  </w:t>
      </w:r>
      <w:r w:rsidRPr="0055430E">
        <w:rPr>
          <w:i/>
          <w:sz w:val="26"/>
          <w:szCs w:val="26"/>
        </w:rPr>
        <w:t>Nye v. Erie Insurance Exchange</w:t>
      </w:r>
      <w:r>
        <w:rPr>
          <w:sz w:val="26"/>
          <w:szCs w:val="26"/>
        </w:rPr>
        <w:t>, 470 A.2d 98 (Pa. 1983).  I.D. at 9-10.</w:t>
      </w:r>
    </w:p>
    <w:p w:rsidR="0055430E" w:rsidRDefault="0055430E" w:rsidP="002A5A92">
      <w:pPr>
        <w:spacing w:line="360" w:lineRule="auto"/>
        <w:rPr>
          <w:sz w:val="26"/>
          <w:szCs w:val="26"/>
        </w:rPr>
      </w:pPr>
    </w:p>
    <w:p w:rsidR="0055430E" w:rsidRDefault="0055430E" w:rsidP="002A5A92">
      <w:pPr>
        <w:spacing w:line="360" w:lineRule="auto"/>
        <w:rPr>
          <w:sz w:val="26"/>
          <w:szCs w:val="26"/>
        </w:rPr>
      </w:pPr>
      <w:r>
        <w:rPr>
          <w:sz w:val="26"/>
          <w:szCs w:val="26"/>
        </w:rPr>
        <w:tab/>
      </w:r>
      <w:r>
        <w:rPr>
          <w:sz w:val="26"/>
          <w:szCs w:val="26"/>
        </w:rPr>
        <w:tab/>
      </w:r>
      <w:r w:rsidR="009F7A56">
        <w:rPr>
          <w:sz w:val="26"/>
          <w:szCs w:val="26"/>
        </w:rPr>
        <w:t xml:space="preserve">The ALJ found that the Public Utility Code (Code) at 66 Pa. C.S. § 1403 defines a customer as a natural person in whose name a residential service account is listed or any adult resident at the service address.  The ALJ further found that PPL’s account lists the Customer, not the Complainants, as the customer of record.  After reviewing the Complaint and the attached exhibits, the ALJ concluded that these materials, submitted by the Complainants, also revealed that the Customer was the customer of record, not the Complainants.  </w:t>
      </w:r>
      <w:r w:rsidR="00452B3B">
        <w:rPr>
          <w:sz w:val="26"/>
          <w:szCs w:val="26"/>
        </w:rPr>
        <w:t>I.D. at 10.</w:t>
      </w:r>
    </w:p>
    <w:p w:rsidR="00452B3B" w:rsidRDefault="00452B3B" w:rsidP="002A5A92">
      <w:pPr>
        <w:spacing w:line="360" w:lineRule="auto"/>
        <w:rPr>
          <w:sz w:val="26"/>
          <w:szCs w:val="26"/>
        </w:rPr>
      </w:pPr>
    </w:p>
    <w:p w:rsidR="00452B3B" w:rsidRDefault="00452B3B" w:rsidP="002A5A92">
      <w:pPr>
        <w:spacing w:line="360" w:lineRule="auto"/>
        <w:rPr>
          <w:sz w:val="26"/>
          <w:szCs w:val="26"/>
        </w:rPr>
      </w:pPr>
      <w:r>
        <w:rPr>
          <w:sz w:val="26"/>
          <w:szCs w:val="26"/>
        </w:rPr>
        <w:tab/>
      </w:r>
      <w:r>
        <w:rPr>
          <w:sz w:val="26"/>
          <w:szCs w:val="26"/>
        </w:rPr>
        <w:tab/>
        <w:t xml:space="preserve">The ALJ discussed the facts as alleged by the Complainants.  The ALJ noted that the Complainants did not live at the service address.  The ALJ reiterated that the Complainants were not deemed customers of record.  The ALJ also noted that there were no allegations that the Complainants stood in the shoes of landlords of the Customer of Record.  </w:t>
      </w:r>
      <w:r w:rsidR="00FC2513">
        <w:rPr>
          <w:sz w:val="26"/>
          <w:szCs w:val="26"/>
        </w:rPr>
        <w:t xml:space="preserve">The ALJ also noted that the Complainants did not allege any ownership interest in the service location.  </w:t>
      </w:r>
      <w:r>
        <w:rPr>
          <w:sz w:val="26"/>
          <w:szCs w:val="26"/>
        </w:rPr>
        <w:t>The ALJ stated the following:</w:t>
      </w:r>
    </w:p>
    <w:p w:rsidR="00452B3B" w:rsidRDefault="00452B3B" w:rsidP="002A5A92">
      <w:pPr>
        <w:spacing w:line="360" w:lineRule="auto"/>
        <w:rPr>
          <w:sz w:val="26"/>
          <w:szCs w:val="26"/>
        </w:rPr>
      </w:pPr>
    </w:p>
    <w:p w:rsidR="00452B3B" w:rsidRDefault="00FC2513" w:rsidP="002A5A92">
      <w:pPr>
        <w:ind w:left="1440" w:right="1440"/>
        <w:rPr>
          <w:sz w:val="26"/>
          <w:szCs w:val="26"/>
        </w:rPr>
      </w:pPr>
      <w:r>
        <w:rPr>
          <w:sz w:val="26"/>
          <w:szCs w:val="26"/>
        </w:rPr>
        <w:t xml:space="preserve">Since the Complainants were not the customers of record, residents at the service address or owners of the property when the events set forth in the complaint occurred, the Complainants cannot maintain this action as either customers or landlords.  </w:t>
      </w:r>
      <w:r w:rsidR="00452B3B">
        <w:rPr>
          <w:sz w:val="26"/>
          <w:szCs w:val="26"/>
        </w:rPr>
        <w:t xml:space="preserve">Their [the Complainants] interests are not direct because they are not adversely affected by the action challenged in the complaint.  Their interests are not </w:t>
      </w:r>
      <w:r w:rsidR="00452B3B">
        <w:rPr>
          <w:sz w:val="26"/>
          <w:szCs w:val="26"/>
        </w:rPr>
        <w:lastRenderedPageBreak/>
        <w:t>immediate because they have suffered no injury as a result of the actions challenged in the complaint.  Their interests are not substantial because they have no discernible interest other than the general interest of all citizens in seeking compliance with the law.</w:t>
      </w:r>
      <w:r>
        <w:rPr>
          <w:sz w:val="26"/>
          <w:szCs w:val="26"/>
        </w:rPr>
        <w:t xml:space="preserve">  The Complainants lack standing to maintain the action as customers, residents or owners.</w:t>
      </w:r>
    </w:p>
    <w:p w:rsidR="00452B3B" w:rsidRDefault="00452B3B" w:rsidP="002A5A92">
      <w:pPr>
        <w:spacing w:line="360" w:lineRule="auto"/>
        <w:rPr>
          <w:sz w:val="26"/>
          <w:szCs w:val="26"/>
        </w:rPr>
      </w:pPr>
    </w:p>
    <w:p w:rsidR="00452B3B" w:rsidRDefault="00452B3B" w:rsidP="002A5A92">
      <w:pPr>
        <w:spacing w:line="360" w:lineRule="auto"/>
        <w:rPr>
          <w:sz w:val="26"/>
          <w:szCs w:val="26"/>
        </w:rPr>
      </w:pPr>
      <w:r>
        <w:rPr>
          <w:sz w:val="26"/>
          <w:szCs w:val="26"/>
        </w:rPr>
        <w:t>I.D. at 11.</w:t>
      </w:r>
    </w:p>
    <w:p w:rsidR="00452B3B" w:rsidRDefault="00452B3B" w:rsidP="002A5A92">
      <w:pPr>
        <w:spacing w:line="360" w:lineRule="auto"/>
        <w:rPr>
          <w:sz w:val="26"/>
          <w:szCs w:val="26"/>
        </w:rPr>
      </w:pPr>
    </w:p>
    <w:p w:rsidR="00452B3B" w:rsidRDefault="00452B3B" w:rsidP="002A5A92">
      <w:pPr>
        <w:spacing w:line="360" w:lineRule="auto"/>
        <w:rPr>
          <w:sz w:val="26"/>
          <w:szCs w:val="26"/>
        </w:rPr>
      </w:pPr>
      <w:r>
        <w:rPr>
          <w:sz w:val="26"/>
          <w:szCs w:val="26"/>
        </w:rPr>
        <w:tab/>
      </w:r>
      <w:r>
        <w:rPr>
          <w:sz w:val="26"/>
          <w:szCs w:val="26"/>
        </w:rPr>
        <w:tab/>
        <w:t xml:space="preserve">The ALJ also recognized that the Complainants were relatives of the Customer, but noted the Commission’s requirements that individuals be represented by themselves or by an attorney in adversarial proceedings.  52 Pa. Code § 1.21(b).  The ALJ found that the Complainants are not attorneys and may not represent the Customer in this proceeding.  I.D. at 11.  </w:t>
      </w:r>
    </w:p>
    <w:p w:rsidR="00452B3B" w:rsidRDefault="00452B3B" w:rsidP="002A5A92">
      <w:pPr>
        <w:spacing w:line="360" w:lineRule="auto"/>
        <w:rPr>
          <w:sz w:val="26"/>
          <w:szCs w:val="26"/>
        </w:rPr>
      </w:pPr>
    </w:p>
    <w:p w:rsidR="00452B3B" w:rsidRDefault="00452B3B" w:rsidP="002A5A92">
      <w:pPr>
        <w:spacing w:line="360" w:lineRule="auto"/>
        <w:rPr>
          <w:sz w:val="26"/>
          <w:szCs w:val="26"/>
        </w:rPr>
      </w:pPr>
      <w:r>
        <w:rPr>
          <w:sz w:val="26"/>
          <w:szCs w:val="26"/>
        </w:rPr>
        <w:tab/>
      </w:r>
      <w:r>
        <w:rPr>
          <w:sz w:val="26"/>
          <w:szCs w:val="26"/>
        </w:rPr>
        <w:tab/>
        <w:t xml:space="preserve">For the foregoing reasons, the ALJ granted PPL’s </w:t>
      </w:r>
      <w:r w:rsidR="004321EA">
        <w:rPr>
          <w:sz w:val="26"/>
          <w:szCs w:val="26"/>
        </w:rPr>
        <w:t xml:space="preserve">Motion </w:t>
      </w:r>
      <w:r>
        <w:rPr>
          <w:sz w:val="26"/>
          <w:szCs w:val="26"/>
        </w:rPr>
        <w:t>and dismissed the Complaint without prejudice for lack of standing.</w:t>
      </w:r>
    </w:p>
    <w:p w:rsidR="00452B3B" w:rsidRDefault="00452B3B" w:rsidP="002A5A92">
      <w:pPr>
        <w:spacing w:line="360" w:lineRule="auto"/>
        <w:rPr>
          <w:sz w:val="26"/>
          <w:szCs w:val="26"/>
        </w:rPr>
      </w:pPr>
    </w:p>
    <w:p w:rsidR="00452B3B" w:rsidRDefault="00452B3B" w:rsidP="002A5A92">
      <w:pPr>
        <w:spacing w:line="360" w:lineRule="auto"/>
        <w:rPr>
          <w:b/>
          <w:sz w:val="26"/>
          <w:szCs w:val="26"/>
        </w:rPr>
      </w:pPr>
      <w:r w:rsidRPr="00452B3B">
        <w:rPr>
          <w:b/>
          <w:sz w:val="26"/>
          <w:szCs w:val="26"/>
        </w:rPr>
        <w:t>The Exceptions</w:t>
      </w:r>
      <w:r w:rsidR="00D31C7D">
        <w:rPr>
          <w:b/>
          <w:sz w:val="26"/>
          <w:szCs w:val="26"/>
        </w:rPr>
        <w:t xml:space="preserve"> and Replies</w:t>
      </w:r>
    </w:p>
    <w:p w:rsidR="00452B3B" w:rsidRDefault="00452B3B" w:rsidP="002A5A92">
      <w:pPr>
        <w:spacing w:line="360" w:lineRule="auto"/>
        <w:rPr>
          <w:b/>
          <w:sz w:val="26"/>
          <w:szCs w:val="26"/>
        </w:rPr>
      </w:pPr>
    </w:p>
    <w:p w:rsidR="00452B3B" w:rsidRDefault="00452B3B" w:rsidP="002A5A92">
      <w:pPr>
        <w:spacing w:line="360" w:lineRule="auto"/>
        <w:rPr>
          <w:sz w:val="26"/>
          <w:szCs w:val="26"/>
        </w:rPr>
      </w:pPr>
      <w:r>
        <w:rPr>
          <w:sz w:val="26"/>
          <w:szCs w:val="26"/>
        </w:rPr>
        <w:tab/>
      </w:r>
      <w:r>
        <w:rPr>
          <w:sz w:val="26"/>
          <w:szCs w:val="26"/>
        </w:rPr>
        <w:tab/>
      </w:r>
      <w:r w:rsidR="00786E8E">
        <w:rPr>
          <w:sz w:val="26"/>
          <w:szCs w:val="26"/>
        </w:rPr>
        <w:t>The Complainants filed three Exceptions to the Initial Decision.  In their first Exception, the Complainants assert that they and the Customer of Record should be viewed as one and the same.  The Complainants assert that PPL erred by designating Michael Katz as the Customer of Record from the very beginning.  Exc. at 1.  In their second Exception, the Complainants allege that</w:t>
      </w:r>
      <w:r w:rsidR="003742D4">
        <w:rPr>
          <w:sz w:val="26"/>
          <w:szCs w:val="26"/>
        </w:rPr>
        <w:t>,</w:t>
      </w:r>
      <w:r w:rsidR="00786E8E">
        <w:rPr>
          <w:sz w:val="26"/>
          <w:szCs w:val="26"/>
        </w:rPr>
        <w:t xml:space="preserve"> when it was discovered that the account balance had accrued such a large sum, they inquired why the balance had been permitted to grow so large without PPL initiating termination proceedings.  Complainants assert that </w:t>
      </w:r>
      <w:r w:rsidR="003742D4">
        <w:rPr>
          <w:sz w:val="26"/>
          <w:szCs w:val="26"/>
        </w:rPr>
        <w:t xml:space="preserve">they were </w:t>
      </w:r>
      <w:r w:rsidR="00786E8E">
        <w:rPr>
          <w:sz w:val="26"/>
          <w:szCs w:val="26"/>
        </w:rPr>
        <w:t>advised</w:t>
      </w:r>
      <w:r w:rsidR="001A3F04">
        <w:rPr>
          <w:sz w:val="26"/>
          <w:szCs w:val="26"/>
        </w:rPr>
        <w:t xml:space="preserve"> that no contact was made</w:t>
      </w:r>
      <w:r w:rsidR="00786E8E">
        <w:rPr>
          <w:sz w:val="26"/>
          <w:szCs w:val="26"/>
        </w:rPr>
        <w:t xml:space="preserve"> because the husband of Margaret Katz had good credit.  In the view of the Complainants, that is a clear indication that PPL viewed the Complainants as customers of record.</w:t>
      </w:r>
      <w:r w:rsidR="008A067A">
        <w:rPr>
          <w:sz w:val="26"/>
          <w:szCs w:val="26"/>
        </w:rPr>
        <w:t xml:space="preserve">  </w:t>
      </w:r>
      <w:r w:rsidR="008A067A" w:rsidRPr="008A067A">
        <w:rPr>
          <w:i/>
          <w:sz w:val="26"/>
          <w:szCs w:val="26"/>
        </w:rPr>
        <w:t>Id.</w:t>
      </w:r>
      <w:r w:rsidR="008A067A">
        <w:rPr>
          <w:sz w:val="26"/>
          <w:szCs w:val="26"/>
        </w:rPr>
        <w:t xml:space="preserve"> at 1-2.</w:t>
      </w:r>
      <w:r w:rsidR="00786E8E">
        <w:rPr>
          <w:sz w:val="26"/>
          <w:szCs w:val="26"/>
        </w:rPr>
        <w:t xml:space="preserve">  In their third Exception, the Complainants assert that Margaret Katz d</w:t>
      </w:r>
      <w:r w:rsidR="001A3F04">
        <w:rPr>
          <w:sz w:val="26"/>
          <w:szCs w:val="26"/>
        </w:rPr>
        <w:t>id</w:t>
      </w:r>
      <w:r w:rsidR="00786E8E">
        <w:rPr>
          <w:sz w:val="26"/>
          <w:szCs w:val="26"/>
        </w:rPr>
        <w:t xml:space="preserve"> own the property where the Customer resided </w:t>
      </w:r>
      <w:r w:rsidR="00786E8E">
        <w:rPr>
          <w:sz w:val="26"/>
          <w:szCs w:val="26"/>
        </w:rPr>
        <w:lastRenderedPageBreak/>
        <w:t>until the Customer moved on February 28, 2011.</w:t>
      </w:r>
      <w:r w:rsidR="008B4229">
        <w:rPr>
          <w:sz w:val="26"/>
          <w:szCs w:val="26"/>
        </w:rPr>
        <w:t xml:space="preserve">  On that basis, the Complainants assert that Margaret Katz, one of the Complainants, had an ownership interest in the service property at the time of the events which gave rise to the Complaint.  Accordingly, the Complainants assert that they did have a direct</w:t>
      </w:r>
      <w:r w:rsidR="00307831">
        <w:rPr>
          <w:sz w:val="26"/>
          <w:szCs w:val="26"/>
        </w:rPr>
        <w:t>,</w:t>
      </w:r>
      <w:r w:rsidR="008B4229">
        <w:rPr>
          <w:sz w:val="26"/>
          <w:szCs w:val="26"/>
        </w:rPr>
        <w:t xml:space="preserve"> immediate </w:t>
      </w:r>
      <w:r w:rsidR="00307831">
        <w:rPr>
          <w:sz w:val="26"/>
          <w:szCs w:val="26"/>
        </w:rPr>
        <w:t xml:space="preserve">and substantial </w:t>
      </w:r>
      <w:r w:rsidR="008B4229">
        <w:rPr>
          <w:sz w:val="26"/>
          <w:szCs w:val="26"/>
        </w:rPr>
        <w:t>interest in the subject matter and, thus, have standing to maintain the action.</w:t>
      </w:r>
      <w:r w:rsidR="008A067A">
        <w:rPr>
          <w:sz w:val="26"/>
          <w:szCs w:val="26"/>
        </w:rPr>
        <w:t xml:space="preserve">  Exc. at 2.</w:t>
      </w:r>
    </w:p>
    <w:p w:rsidR="008B4229" w:rsidRDefault="008B4229" w:rsidP="002A5A92">
      <w:pPr>
        <w:spacing w:line="360" w:lineRule="auto"/>
        <w:rPr>
          <w:sz w:val="26"/>
          <w:szCs w:val="26"/>
        </w:rPr>
      </w:pPr>
    </w:p>
    <w:p w:rsidR="008B4229" w:rsidRDefault="008B4229" w:rsidP="002A5A92">
      <w:pPr>
        <w:spacing w:line="360" w:lineRule="auto"/>
        <w:rPr>
          <w:sz w:val="26"/>
          <w:szCs w:val="26"/>
        </w:rPr>
      </w:pPr>
      <w:r>
        <w:rPr>
          <w:sz w:val="26"/>
          <w:szCs w:val="26"/>
        </w:rPr>
        <w:tab/>
      </w:r>
      <w:r>
        <w:rPr>
          <w:sz w:val="26"/>
          <w:szCs w:val="26"/>
        </w:rPr>
        <w:tab/>
      </w:r>
      <w:r w:rsidR="008A067A">
        <w:rPr>
          <w:sz w:val="26"/>
          <w:szCs w:val="26"/>
        </w:rPr>
        <w:t>PPL replies that the ALJ correctly determined that the Complainants lacked standing to pursue this action.  PPL states that all Parties in this action agree that the name on the account as the Customer of Record is the Customer’s name.  PPL also asserts that the Complainants have offered no evidence of any ownership regarding the service location.  Accordingly, PPL maintains that the ALJ properly dismissed the Complaint for lack of standing.  R.Exc. at 1-2.</w:t>
      </w:r>
    </w:p>
    <w:p w:rsidR="008A067A" w:rsidRDefault="008A067A" w:rsidP="002A5A92">
      <w:pPr>
        <w:spacing w:line="360" w:lineRule="auto"/>
        <w:rPr>
          <w:sz w:val="26"/>
          <w:szCs w:val="26"/>
        </w:rPr>
      </w:pPr>
    </w:p>
    <w:p w:rsidR="008A067A" w:rsidRPr="008A067A" w:rsidRDefault="008A067A" w:rsidP="002A5A92">
      <w:pPr>
        <w:spacing w:line="360" w:lineRule="auto"/>
        <w:rPr>
          <w:b/>
          <w:sz w:val="26"/>
          <w:szCs w:val="26"/>
        </w:rPr>
      </w:pPr>
      <w:r w:rsidRPr="008A067A">
        <w:rPr>
          <w:b/>
          <w:sz w:val="26"/>
          <w:szCs w:val="26"/>
        </w:rPr>
        <w:t>Disposition</w:t>
      </w:r>
    </w:p>
    <w:p w:rsidR="0055430E" w:rsidRDefault="0055430E" w:rsidP="002A5A92">
      <w:pPr>
        <w:spacing w:line="360" w:lineRule="auto"/>
        <w:rPr>
          <w:sz w:val="26"/>
          <w:szCs w:val="26"/>
        </w:rPr>
      </w:pPr>
    </w:p>
    <w:p w:rsidR="008A067A" w:rsidRDefault="008A067A" w:rsidP="002A5A92">
      <w:pPr>
        <w:spacing w:line="360" w:lineRule="auto"/>
        <w:rPr>
          <w:sz w:val="26"/>
          <w:szCs w:val="26"/>
        </w:rPr>
      </w:pPr>
      <w:r>
        <w:rPr>
          <w:sz w:val="26"/>
          <w:szCs w:val="26"/>
        </w:rPr>
        <w:tab/>
      </w:r>
      <w:r>
        <w:rPr>
          <w:sz w:val="26"/>
          <w:szCs w:val="26"/>
        </w:rPr>
        <w:tab/>
        <w:t xml:space="preserve">We will grant the Complainants’ Exceptions and remand this proceeding to the Office of Administrative Law Judge.  </w:t>
      </w:r>
      <w:r w:rsidR="0058604C">
        <w:rPr>
          <w:sz w:val="26"/>
          <w:szCs w:val="26"/>
        </w:rPr>
        <w:t>Initially, we observe that the ALJ and PPL are both correct that the Complainants failed to allege any ownership interest in the service location</w:t>
      </w:r>
      <w:r w:rsidR="00CF56F3">
        <w:rPr>
          <w:sz w:val="26"/>
          <w:szCs w:val="26"/>
        </w:rPr>
        <w:t xml:space="preserve"> until this proceeding reached the exception stage</w:t>
      </w:r>
      <w:r w:rsidR="0058604C">
        <w:rPr>
          <w:sz w:val="26"/>
          <w:szCs w:val="26"/>
        </w:rPr>
        <w:t>.  Th</w:t>
      </w:r>
      <w:r w:rsidR="00CF56F3">
        <w:rPr>
          <w:sz w:val="26"/>
          <w:szCs w:val="26"/>
        </w:rPr>
        <w:t>e failure to allege an ownership interest</w:t>
      </w:r>
      <w:r w:rsidR="0058604C">
        <w:rPr>
          <w:sz w:val="26"/>
          <w:szCs w:val="26"/>
        </w:rPr>
        <w:t xml:space="preserve"> served as one of the factors in the ALJ’s det</w:t>
      </w:r>
      <w:r w:rsidR="00B05067">
        <w:rPr>
          <w:sz w:val="26"/>
          <w:szCs w:val="26"/>
        </w:rPr>
        <w:t>ermination that the Complainant</w:t>
      </w:r>
      <w:r w:rsidR="0058604C">
        <w:rPr>
          <w:sz w:val="26"/>
          <w:szCs w:val="26"/>
        </w:rPr>
        <w:t xml:space="preserve">s lack standing.  </w:t>
      </w:r>
      <w:r w:rsidR="0058604C" w:rsidRPr="0058604C">
        <w:rPr>
          <w:i/>
          <w:sz w:val="26"/>
          <w:szCs w:val="26"/>
        </w:rPr>
        <w:t>See</w:t>
      </w:r>
      <w:r w:rsidR="0058604C">
        <w:rPr>
          <w:sz w:val="26"/>
          <w:szCs w:val="26"/>
        </w:rPr>
        <w:t>, I.D. at 9, 11.  However, in their Exceptions, the Complainants do allege an ownership interest in the service location during the events which gave rise to the filing of the Complaint.  Exc. at 2.  The Complainants’ Exception No. 3 states:</w:t>
      </w:r>
    </w:p>
    <w:p w:rsidR="0058604C" w:rsidRDefault="0058604C" w:rsidP="002A5A92">
      <w:pPr>
        <w:spacing w:line="360" w:lineRule="auto"/>
        <w:rPr>
          <w:sz w:val="26"/>
          <w:szCs w:val="26"/>
        </w:rPr>
      </w:pPr>
    </w:p>
    <w:p w:rsidR="0058604C" w:rsidRDefault="0058604C" w:rsidP="002A5A92">
      <w:pPr>
        <w:ind w:left="1440" w:right="1440"/>
        <w:rPr>
          <w:sz w:val="26"/>
          <w:szCs w:val="26"/>
        </w:rPr>
      </w:pPr>
      <w:r>
        <w:rPr>
          <w:sz w:val="26"/>
          <w:szCs w:val="26"/>
        </w:rPr>
        <w:t xml:space="preserve">The decision states that Ms. Katz does not own the property – the fact is, Ms. Katz did own the property where Michael resided until he recently moved on February 28, 2011.  It’s important to understand that Ms. Katz owned the property and pays Michael’s bills because he is disabled – he has been </w:t>
      </w:r>
      <w:r>
        <w:rPr>
          <w:sz w:val="26"/>
          <w:szCs w:val="26"/>
        </w:rPr>
        <w:lastRenderedPageBreak/>
        <w:t>diagnosed as having Aspergers</w:t>
      </w:r>
      <w:r w:rsidR="00CF56F3">
        <w:rPr>
          <w:sz w:val="26"/>
          <w:szCs w:val="26"/>
        </w:rPr>
        <w:t xml:space="preserve"> [</w:t>
      </w:r>
      <w:r w:rsidR="00CF56F3" w:rsidRPr="00CF56F3">
        <w:rPr>
          <w:i/>
          <w:sz w:val="26"/>
          <w:szCs w:val="26"/>
        </w:rPr>
        <w:t>sic</w:t>
      </w:r>
      <w:r w:rsidR="00CF56F3">
        <w:rPr>
          <w:sz w:val="26"/>
          <w:szCs w:val="26"/>
        </w:rPr>
        <w:t xml:space="preserve">] </w:t>
      </w:r>
      <w:r>
        <w:rPr>
          <w:sz w:val="26"/>
          <w:szCs w:val="26"/>
        </w:rPr>
        <w:t>Syndrome and is unable to get or maintain a job.</w:t>
      </w:r>
    </w:p>
    <w:p w:rsidR="0058604C" w:rsidRDefault="0058604C" w:rsidP="002A5A92">
      <w:pPr>
        <w:spacing w:line="360" w:lineRule="auto"/>
        <w:rPr>
          <w:sz w:val="26"/>
          <w:szCs w:val="26"/>
        </w:rPr>
      </w:pPr>
    </w:p>
    <w:p w:rsidR="0058604C" w:rsidRDefault="0058604C" w:rsidP="002A5A92">
      <w:pPr>
        <w:spacing w:line="360" w:lineRule="auto"/>
        <w:rPr>
          <w:sz w:val="26"/>
          <w:szCs w:val="26"/>
        </w:rPr>
      </w:pPr>
      <w:r>
        <w:rPr>
          <w:sz w:val="26"/>
          <w:szCs w:val="26"/>
        </w:rPr>
        <w:t>Exc. at 2.</w:t>
      </w:r>
    </w:p>
    <w:p w:rsidR="0058604C" w:rsidRDefault="0058604C" w:rsidP="002A5A92">
      <w:pPr>
        <w:spacing w:line="360" w:lineRule="auto"/>
        <w:rPr>
          <w:sz w:val="26"/>
          <w:szCs w:val="26"/>
        </w:rPr>
      </w:pPr>
    </w:p>
    <w:p w:rsidR="005166AF" w:rsidRDefault="0058604C" w:rsidP="002A5A92">
      <w:pPr>
        <w:spacing w:line="360" w:lineRule="auto"/>
        <w:ind w:firstLine="1440"/>
        <w:rPr>
          <w:sz w:val="26"/>
          <w:szCs w:val="26"/>
        </w:rPr>
      </w:pPr>
      <w:r>
        <w:rPr>
          <w:sz w:val="26"/>
          <w:szCs w:val="26"/>
        </w:rPr>
        <w:t xml:space="preserve">While we agree with both the ALJ and PPL that the foregoing allegation of ownership interest was not apparent at the earlier stages of this proceeding, it has been raised at this point.  </w:t>
      </w:r>
      <w:r w:rsidR="005166AF">
        <w:rPr>
          <w:sz w:val="26"/>
          <w:szCs w:val="26"/>
        </w:rPr>
        <w:t xml:space="preserve">In addition, </w:t>
      </w:r>
      <w:r>
        <w:rPr>
          <w:sz w:val="26"/>
          <w:szCs w:val="26"/>
        </w:rPr>
        <w:t>the</w:t>
      </w:r>
      <w:r w:rsidR="005166AF">
        <w:rPr>
          <w:sz w:val="26"/>
          <w:szCs w:val="26"/>
        </w:rPr>
        <w:t xml:space="preserve"> allegation of the</w:t>
      </w:r>
      <w:r>
        <w:rPr>
          <w:sz w:val="26"/>
          <w:szCs w:val="26"/>
        </w:rPr>
        <w:t xml:space="preserve"> disability of the Customer has been on record since the beginning.  </w:t>
      </w:r>
      <w:r w:rsidR="005C7489">
        <w:rPr>
          <w:sz w:val="26"/>
          <w:szCs w:val="26"/>
        </w:rPr>
        <w:t xml:space="preserve">This case also involves such issues as whether at least </w:t>
      </w:r>
      <w:r w:rsidR="00074255">
        <w:rPr>
          <w:sz w:val="26"/>
          <w:szCs w:val="26"/>
        </w:rPr>
        <w:t xml:space="preserve">  </w:t>
      </w:r>
      <w:r w:rsidR="005C7489">
        <w:rPr>
          <w:sz w:val="26"/>
          <w:szCs w:val="26"/>
        </w:rPr>
        <w:t xml:space="preserve">Ms. Katz’s name should have been on the account.  </w:t>
      </w:r>
      <w:r>
        <w:rPr>
          <w:sz w:val="26"/>
          <w:szCs w:val="26"/>
        </w:rPr>
        <w:t xml:space="preserve">Under these circumstances, we will apply our policy set forth in </w:t>
      </w:r>
      <w:r w:rsidR="005166AF">
        <w:rPr>
          <w:i/>
          <w:iCs/>
          <w:sz w:val="26"/>
          <w:szCs w:val="26"/>
        </w:rPr>
        <w:t>Carlock v. The United Telephone Company of Pennsylvania</w:t>
      </w:r>
      <w:r w:rsidR="005166AF">
        <w:rPr>
          <w:sz w:val="26"/>
          <w:szCs w:val="26"/>
        </w:rPr>
        <w:t xml:space="preserve">, Docket No. F-00163617 (Order entered July 14, 1993).  In </w:t>
      </w:r>
      <w:r w:rsidR="005166AF" w:rsidRPr="005166AF">
        <w:rPr>
          <w:i/>
          <w:sz w:val="26"/>
          <w:szCs w:val="26"/>
        </w:rPr>
        <w:t>Carlock</w:t>
      </w:r>
      <w:r w:rsidR="005166AF">
        <w:rPr>
          <w:sz w:val="26"/>
          <w:szCs w:val="26"/>
        </w:rPr>
        <w:t xml:space="preserve">, we held that, in the normal course, we would not dismiss a </w:t>
      </w:r>
      <w:r w:rsidR="005166AF">
        <w:rPr>
          <w:i/>
          <w:iCs/>
          <w:sz w:val="26"/>
          <w:szCs w:val="26"/>
        </w:rPr>
        <w:t>pro se</w:t>
      </w:r>
      <w:r w:rsidR="005166AF">
        <w:rPr>
          <w:sz w:val="26"/>
          <w:szCs w:val="26"/>
        </w:rPr>
        <w:t xml:space="preserve"> complaint without first providing a hearing during which the </w:t>
      </w:r>
      <w:r w:rsidR="005166AF">
        <w:rPr>
          <w:i/>
          <w:iCs/>
          <w:sz w:val="26"/>
          <w:szCs w:val="26"/>
        </w:rPr>
        <w:t>pro se</w:t>
      </w:r>
      <w:r w:rsidR="005166AF">
        <w:rPr>
          <w:sz w:val="26"/>
          <w:szCs w:val="26"/>
        </w:rPr>
        <w:t xml:space="preserve"> complainant could further explain his or her position and the factual basis for the complaint.  The concern was expressed that, in general, </w:t>
      </w:r>
      <w:r w:rsidR="005166AF">
        <w:rPr>
          <w:i/>
          <w:iCs/>
          <w:sz w:val="26"/>
          <w:szCs w:val="26"/>
        </w:rPr>
        <w:t>pro se</w:t>
      </w:r>
      <w:r w:rsidR="005166AF">
        <w:rPr>
          <w:sz w:val="26"/>
          <w:szCs w:val="26"/>
        </w:rPr>
        <w:t xml:space="preserve"> complainants may find it difficult to navigate through pre-hearing motions and should be given the chance to orally describe their basic issue and supporting facts.  Here, given the allegation of an ownership interest in the service location together with the allegation of the disability of the Customer, we find that application of </w:t>
      </w:r>
      <w:r w:rsidR="005166AF" w:rsidRPr="005166AF">
        <w:rPr>
          <w:i/>
          <w:sz w:val="26"/>
          <w:szCs w:val="26"/>
        </w:rPr>
        <w:t>Carlock</w:t>
      </w:r>
      <w:r w:rsidR="005166AF">
        <w:rPr>
          <w:sz w:val="26"/>
          <w:szCs w:val="26"/>
        </w:rPr>
        <w:t xml:space="preserve"> is appropriate</w:t>
      </w:r>
      <w:r w:rsidR="004D1308">
        <w:rPr>
          <w:sz w:val="26"/>
          <w:szCs w:val="26"/>
        </w:rPr>
        <w:t xml:space="preserve"> </w:t>
      </w:r>
      <w:r w:rsidR="00CF56F3">
        <w:rPr>
          <w:sz w:val="26"/>
          <w:szCs w:val="26"/>
        </w:rPr>
        <w:t xml:space="preserve">in this case </w:t>
      </w:r>
      <w:r w:rsidR="005166AF">
        <w:rPr>
          <w:sz w:val="26"/>
          <w:szCs w:val="26"/>
        </w:rPr>
        <w:t xml:space="preserve">and will remand this proceeding to the Office of Administrative Law Judge.  </w:t>
      </w:r>
    </w:p>
    <w:p w:rsidR="005166AF" w:rsidRDefault="005166AF" w:rsidP="002A5A92">
      <w:pPr>
        <w:spacing w:line="360" w:lineRule="auto"/>
        <w:ind w:left="720" w:firstLine="1440"/>
        <w:rPr>
          <w:sz w:val="26"/>
          <w:szCs w:val="26"/>
        </w:rPr>
      </w:pPr>
    </w:p>
    <w:p w:rsidR="005166AF" w:rsidRDefault="005166AF" w:rsidP="002A5A92">
      <w:pPr>
        <w:spacing w:line="360" w:lineRule="auto"/>
        <w:ind w:firstLine="1440"/>
        <w:rPr>
          <w:sz w:val="26"/>
          <w:szCs w:val="26"/>
        </w:rPr>
      </w:pPr>
      <w:r>
        <w:rPr>
          <w:sz w:val="26"/>
          <w:szCs w:val="26"/>
        </w:rPr>
        <w:t>In the past, we have found that there are some instances whe</w:t>
      </w:r>
      <w:r w:rsidR="00CF56F3">
        <w:rPr>
          <w:sz w:val="26"/>
          <w:szCs w:val="26"/>
        </w:rPr>
        <w:t>n</w:t>
      </w:r>
      <w:r>
        <w:rPr>
          <w:sz w:val="26"/>
          <w:szCs w:val="26"/>
        </w:rPr>
        <w:t xml:space="preserve"> a hearing would not enable a complainant to better explain his or her position or provide additional facts that would alter the inevitable conclusion that the </w:t>
      </w:r>
      <w:r w:rsidR="00CF56F3">
        <w:rPr>
          <w:sz w:val="26"/>
          <w:szCs w:val="26"/>
        </w:rPr>
        <w:t>c</w:t>
      </w:r>
      <w:r>
        <w:rPr>
          <w:sz w:val="26"/>
          <w:szCs w:val="26"/>
        </w:rPr>
        <w:t xml:space="preserve">omplaint should be dismissed in the first instance.  </w:t>
      </w:r>
      <w:r>
        <w:rPr>
          <w:i/>
          <w:iCs/>
          <w:sz w:val="26"/>
          <w:szCs w:val="26"/>
        </w:rPr>
        <w:t>See, Vata v. Philadelphia Gas Works</w:t>
      </w:r>
      <w:r>
        <w:rPr>
          <w:sz w:val="26"/>
          <w:szCs w:val="26"/>
        </w:rPr>
        <w:t xml:space="preserve">, Docket No. C-2009-2149960 (Order entered August 24, 2010).  However, this proceeding appears to be precisely that type of action in which a </w:t>
      </w:r>
      <w:r w:rsidRPr="005166AF">
        <w:rPr>
          <w:i/>
          <w:sz w:val="26"/>
          <w:szCs w:val="26"/>
        </w:rPr>
        <w:t>pro se</w:t>
      </w:r>
      <w:r>
        <w:rPr>
          <w:sz w:val="26"/>
          <w:szCs w:val="26"/>
        </w:rPr>
        <w:t xml:space="preserve"> complainant should be given the opportunity of a hearing to further explain the Complaint as well as the Complainants’ standing to bring the </w:t>
      </w:r>
      <w:r>
        <w:rPr>
          <w:sz w:val="26"/>
          <w:szCs w:val="26"/>
        </w:rPr>
        <w:lastRenderedPageBreak/>
        <w:t xml:space="preserve">action.  While this action is pending, we strongly encourage PPL to meet with the Complainants to determine whether </w:t>
      </w:r>
      <w:r w:rsidR="004D1308">
        <w:rPr>
          <w:sz w:val="26"/>
          <w:szCs w:val="26"/>
        </w:rPr>
        <w:t>this matter may be settled.</w:t>
      </w:r>
    </w:p>
    <w:p w:rsidR="0058604C" w:rsidRDefault="0058604C" w:rsidP="002A5A92">
      <w:pPr>
        <w:spacing w:line="360" w:lineRule="auto"/>
        <w:rPr>
          <w:sz w:val="26"/>
          <w:szCs w:val="26"/>
        </w:rPr>
      </w:pPr>
    </w:p>
    <w:p w:rsidR="00FC776E" w:rsidRPr="00FC776E" w:rsidRDefault="00FC776E" w:rsidP="002A5A92">
      <w:pPr>
        <w:spacing w:line="360" w:lineRule="auto"/>
        <w:jc w:val="center"/>
        <w:rPr>
          <w:b/>
          <w:sz w:val="26"/>
          <w:szCs w:val="26"/>
        </w:rPr>
      </w:pPr>
      <w:r w:rsidRPr="00FC776E">
        <w:rPr>
          <w:b/>
          <w:sz w:val="26"/>
          <w:szCs w:val="26"/>
        </w:rPr>
        <w:t>Conclusion</w:t>
      </w:r>
    </w:p>
    <w:p w:rsidR="00FC776E" w:rsidRPr="00FC776E" w:rsidRDefault="00FC776E" w:rsidP="002A5A92">
      <w:pPr>
        <w:spacing w:line="360" w:lineRule="auto"/>
        <w:jc w:val="center"/>
        <w:rPr>
          <w:b/>
          <w:sz w:val="26"/>
          <w:szCs w:val="26"/>
        </w:rPr>
      </w:pPr>
    </w:p>
    <w:p w:rsidR="00FC776E" w:rsidRDefault="00FC776E" w:rsidP="002A5A92">
      <w:pPr>
        <w:spacing w:line="360" w:lineRule="auto"/>
        <w:ind w:firstLine="1440"/>
        <w:rPr>
          <w:b/>
          <w:sz w:val="26"/>
          <w:szCs w:val="26"/>
        </w:rPr>
      </w:pPr>
      <w:r w:rsidRPr="00FC776E">
        <w:rPr>
          <w:sz w:val="26"/>
          <w:szCs w:val="26"/>
        </w:rPr>
        <w:t xml:space="preserve">For the </w:t>
      </w:r>
      <w:r w:rsidR="00C648FC">
        <w:rPr>
          <w:sz w:val="26"/>
          <w:szCs w:val="26"/>
        </w:rPr>
        <w:t xml:space="preserve">foregoing reasons, </w:t>
      </w:r>
      <w:r w:rsidR="00D8200D">
        <w:rPr>
          <w:sz w:val="26"/>
          <w:szCs w:val="26"/>
        </w:rPr>
        <w:t xml:space="preserve">we will </w:t>
      </w:r>
      <w:r w:rsidR="004D1308">
        <w:rPr>
          <w:sz w:val="26"/>
          <w:szCs w:val="26"/>
        </w:rPr>
        <w:t xml:space="preserve">grant the Exceptions, reverse the Initial Decision which dismissed the Complaint and remand this proceeding to the Office of Administrative Law Judge for further proceedings consistent with this Opinion and Order;  </w:t>
      </w:r>
      <w:r w:rsidR="00590E23">
        <w:rPr>
          <w:b/>
          <w:sz w:val="26"/>
          <w:szCs w:val="26"/>
        </w:rPr>
        <w:t>THEREFORE,</w:t>
      </w:r>
    </w:p>
    <w:p w:rsidR="00FC776E" w:rsidRDefault="00FC776E" w:rsidP="002A5A92">
      <w:pPr>
        <w:spacing w:line="360" w:lineRule="auto"/>
        <w:ind w:firstLine="1440"/>
        <w:rPr>
          <w:b/>
          <w:sz w:val="26"/>
          <w:szCs w:val="26"/>
        </w:rPr>
      </w:pPr>
    </w:p>
    <w:p w:rsidR="00FC776E" w:rsidRDefault="00CB5982" w:rsidP="002A5A92">
      <w:pPr>
        <w:spacing w:line="360" w:lineRule="auto"/>
        <w:ind w:firstLine="1440"/>
        <w:rPr>
          <w:b/>
          <w:sz w:val="26"/>
          <w:szCs w:val="26"/>
        </w:rPr>
      </w:pPr>
      <w:r>
        <w:rPr>
          <w:b/>
          <w:sz w:val="26"/>
          <w:szCs w:val="26"/>
        </w:rPr>
        <w:t>IT IS ORDERED:</w:t>
      </w:r>
    </w:p>
    <w:p w:rsidR="00FC776E" w:rsidRDefault="00FC776E" w:rsidP="002A5A92">
      <w:pPr>
        <w:spacing w:line="360" w:lineRule="auto"/>
        <w:ind w:firstLine="1440"/>
        <w:rPr>
          <w:sz w:val="26"/>
          <w:szCs w:val="26"/>
        </w:rPr>
      </w:pPr>
    </w:p>
    <w:p w:rsidR="00FC776E" w:rsidRDefault="00590E23" w:rsidP="002A5A92">
      <w:pPr>
        <w:spacing w:line="360" w:lineRule="auto"/>
        <w:ind w:firstLine="1440"/>
        <w:rPr>
          <w:sz w:val="26"/>
          <w:szCs w:val="26"/>
        </w:rPr>
      </w:pPr>
      <w:r>
        <w:rPr>
          <w:sz w:val="26"/>
          <w:szCs w:val="26"/>
        </w:rPr>
        <w:t xml:space="preserve">1.  </w:t>
      </w:r>
      <w:r w:rsidR="0079143A">
        <w:rPr>
          <w:sz w:val="26"/>
          <w:szCs w:val="26"/>
        </w:rPr>
        <w:tab/>
      </w:r>
      <w:r>
        <w:rPr>
          <w:sz w:val="26"/>
          <w:szCs w:val="26"/>
        </w:rPr>
        <w:t xml:space="preserve">That </w:t>
      </w:r>
      <w:r w:rsidR="000B2A5C">
        <w:rPr>
          <w:sz w:val="26"/>
          <w:szCs w:val="26"/>
        </w:rPr>
        <w:t xml:space="preserve">the </w:t>
      </w:r>
      <w:r w:rsidR="004D1308">
        <w:rPr>
          <w:sz w:val="26"/>
          <w:szCs w:val="26"/>
        </w:rPr>
        <w:t xml:space="preserve">Exceptions filed at this Docket by Alan Katz and </w:t>
      </w:r>
      <w:r w:rsidR="00074255">
        <w:rPr>
          <w:sz w:val="26"/>
          <w:szCs w:val="26"/>
        </w:rPr>
        <w:t xml:space="preserve">   </w:t>
      </w:r>
      <w:r w:rsidR="004D1308">
        <w:rPr>
          <w:sz w:val="26"/>
          <w:szCs w:val="26"/>
        </w:rPr>
        <w:t>Margaret Katz</w:t>
      </w:r>
      <w:r w:rsidR="000B2A5C">
        <w:rPr>
          <w:sz w:val="26"/>
          <w:szCs w:val="26"/>
        </w:rPr>
        <w:t>,</w:t>
      </w:r>
      <w:r w:rsidR="004D1308">
        <w:rPr>
          <w:sz w:val="26"/>
          <w:szCs w:val="26"/>
        </w:rPr>
        <w:t xml:space="preserve"> </w:t>
      </w:r>
      <w:r w:rsidR="000B2A5C">
        <w:rPr>
          <w:sz w:val="26"/>
          <w:szCs w:val="26"/>
        </w:rPr>
        <w:t xml:space="preserve">on behalf of Michael Katz, </w:t>
      </w:r>
      <w:r w:rsidR="004D1308">
        <w:rPr>
          <w:sz w:val="26"/>
          <w:szCs w:val="26"/>
        </w:rPr>
        <w:t>on March 3</w:t>
      </w:r>
      <w:r w:rsidR="000B2A5C">
        <w:rPr>
          <w:sz w:val="26"/>
          <w:szCs w:val="26"/>
        </w:rPr>
        <w:t>0</w:t>
      </w:r>
      <w:r w:rsidR="004D1308">
        <w:rPr>
          <w:sz w:val="26"/>
          <w:szCs w:val="26"/>
        </w:rPr>
        <w:t xml:space="preserve">, 2011, are granted, consistent with this Opinion and Order.  </w:t>
      </w:r>
    </w:p>
    <w:p w:rsidR="002572E5" w:rsidRDefault="006072C6" w:rsidP="002A5A92">
      <w:pPr>
        <w:keepNext/>
        <w:keepLines/>
        <w:spacing w:line="360" w:lineRule="auto"/>
        <w:rPr>
          <w:sz w:val="26"/>
          <w:szCs w:val="26"/>
        </w:rPr>
      </w:pPr>
      <w:r>
        <w:rPr>
          <w:sz w:val="26"/>
          <w:szCs w:val="26"/>
        </w:rPr>
        <w:tab/>
      </w:r>
    </w:p>
    <w:p w:rsidR="004D1308" w:rsidRDefault="002572E5" w:rsidP="002A5A92">
      <w:pPr>
        <w:spacing w:line="360" w:lineRule="auto"/>
        <w:rPr>
          <w:sz w:val="26"/>
          <w:szCs w:val="26"/>
        </w:rPr>
      </w:pPr>
      <w:r>
        <w:rPr>
          <w:sz w:val="26"/>
          <w:szCs w:val="26"/>
        </w:rPr>
        <w:tab/>
      </w:r>
      <w:r>
        <w:rPr>
          <w:sz w:val="26"/>
          <w:szCs w:val="26"/>
        </w:rPr>
        <w:tab/>
      </w:r>
      <w:r w:rsidR="0011361B">
        <w:rPr>
          <w:sz w:val="26"/>
          <w:szCs w:val="26"/>
        </w:rPr>
        <w:t>2</w:t>
      </w:r>
      <w:r w:rsidR="00FA0A47">
        <w:rPr>
          <w:sz w:val="26"/>
          <w:szCs w:val="26"/>
        </w:rPr>
        <w:t xml:space="preserve">.  </w:t>
      </w:r>
      <w:r w:rsidR="0079143A">
        <w:rPr>
          <w:sz w:val="26"/>
          <w:szCs w:val="26"/>
        </w:rPr>
        <w:tab/>
      </w:r>
      <w:r w:rsidR="00FA0A47">
        <w:rPr>
          <w:sz w:val="26"/>
          <w:szCs w:val="26"/>
        </w:rPr>
        <w:t xml:space="preserve">That the </w:t>
      </w:r>
      <w:r w:rsidR="004D1308">
        <w:rPr>
          <w:sz w:val="26"/>
          <w:szCs w:val="26"/>
        </w:rPr>
        <w:t>Initial Decision</w:t>
      </w:r>
      <w:r w:rsidR="00A573A6" w:rsidRPr="00A573A6">
        <w:rPr>
          <w:sz w:val="26"/>
          <w:szCs w:val="26"/>
        </w:rPr>
        <w:t xml:space="preserve"> </w:t>
      </w:r>
      <w:r w:rsidR="00A573A6">
        <w:rPr>
          <w:sz w:val="26"/>
          <w:szCs w:val="26"/>
        </w:rPr>
        <w:t>Sustaining Preliminary Objection and Dismissing Complaint</w:t>
      </w:r>
      <w:r w:rsidR="004D1308">
        <w:rPr>
          <w:sz w:val="26"/>
          <w:szCs w:val="26"/>
        </w:rPr>
        <w:t xml:space="preserve"> of Administrative Law Judge David A. Salapa issued at this Docket on March 16, 2011, is reversed.  </w:t>
      </w:r>
    </w:p>
    <w:p w:rsidR="004D1308" w:rsidRDefault="004D1308" w:rsidP="002A5A92">
      <w:pPr>
        <w:spacing w:line="360" w:lineRule="auto"/>
        <w:rPr>
          <w:sz w:val="26"/>
          <w:szCs w:val="26"/>
        </w:rPr>
      </w:pPr>
    </w:p>
    <w:p w:rsidR="000B2A5C" w:rsidRDefault="004D1308" w:rsidP="002A5A92">
      <w:pPr>
        <w:keepNext/>
        <w:keepLines/>
        <w:spacing w:line="360" w:lineRule="auto"/>
        <w:ind w:firstLine="1440"/>
        <w:rPr>
          <w:sz w:val="26"/>
          <w:szCs w:val="26"/>
        </w:rPr>
      </w:pPr>
      <w:r>
        <w:rPr>
          <w:sz w:val="26"/>
          <w:szCs w:val="26"/>
        </w:rPr>
        <w:lastRenderedPageBreak/>
        <w:t>3.</w:t>
      </w:r>
      <w:r>
        <w:rPr>
          <w:sz w:val="26"/>
          <w:szCs w:val="26"/>
        </w:rPr>
        <w:tab/>
      </w:r>
      <w:r w:rsidR="000B2A5C">
        <w:rPr>
          <w:sz w:val="26"/>
          <w:szCs w:val="26"/>
        </w:rPr>
        <w:t xml:space="preserve">That the Motion to Dismiss, filed by </w:t>
      </w:r>
      <w:r w:rsidR="00EB5F4B">
        <w:rPr>
          <w:sz w:val="26"/>
          <w:szCs w:val="26"/>
        </w:rPr>
        <w:t>PPL Electric Utilities Corporation on January 14, 2011, is denied.</w:t>
      </w:r>
    </w:p>
    <w:p w:rsidR="000B2A5C" w:rsidRDefault="000B2A5C" w:rsidP="002A5A92">
      <w:pPr>
        <w:keepNext/>
        <w:keepLines/>
        <w:spacing w:line="360" w:lineRule="auto"/>
        <w:ind w:firstLine="1440"/>
        <w:rPr>
          <w:sz w:val="26"/>
          <w:szCs w:val="26"/>
        </w:rPr>
      </w:pPr>
    </w:p>
    <w:p w:rsidR="003B03A6" w:rsidRPr="00F41372" w:rsidRDefault="00EB5F4B" w:rsidP="002A5A92">
      <w:pPr>
        <w:keepNext/>
        <w:keepLines/>
        <w:spacing w:line="360" w:lineRule="auto"/>
        <w:ind w:firstLine="1440"/>
        <w:rPr>
          <w:sz w:val="26"/>
          <w:szCs w:val="26"/>
        </w:rPr>
      </w:pPr>
      <w:r>
        <w:rPr>
          <w:sz w:val="26"/>
          <w:szCs w:val="26"/>
        </w:rPr>
        <w:t>4.</w:t>
      </w:r>
      <w:r>
        <w:rPr>
          <w:sz w:val="26"/>
          <w:szCs w:val="26"/>
        </w:rPr>
        <w:tab/>
      </w:r>
      <w:r w:rsidR="004D1308">
        <w:rPr>
          <w:sz w:val="26"/>
          <w:szCs w:val="26"/>
        </w:rPr>
        <w:t xml:space="preserve">That </w:t>
      </w:r>
      <w:r w:rsidR="00543C5A">
        <w:rPr>
          <w:sz w:val="26"/>
          <w:szCs w:val="26"/>
        </w:rPr>
        <w:t>this proceeding</w:t>
      </w:r>
      <w:r w:rsidR="00FA0A47">
        <w:rPr>
          <w:sz w:val="26"/>
          <w:szCs w:val="26"/>
        </w:rPr>
        <w:t xml:space="preserve"> </w:t>
      </w:r>
      <w:r>
        <w:rPr>
          <w:sz w:val="26"/>
          <w:szCs w:val="26"/>
        </w:rPr>
        <w:t>is</w:t>
      </w:r>
      <w:r w:rsidR="00FA0A47">
        <w:rPr>
          <w:sz w:val="26"/>
          <w:szCs w:val="26"/>
        </w:rPr>
        <w:t xml:space="preserve"> hereby referred to the Office of Administrative Law Judge for such additional proceedings as are appropriate.  </w:t>
      </w:r>
    </w:p>
    <w:p w:rsidR="001A0516" w:rsidRDefault="008F79AE" w:rsidP="002A5A92">
      <w:pPr>
        <w:keepNext/>
        <w:keepLines/>
        <w:spacing w:line="360" w:lineRule="auto"/>
        <w:rPr>
          <w:sz w:val="26"/>
          <w:szCs w:val="26"/>
        </w:rPr>
      </w:pPr>
      <w:r>
        <w:rPr>
          <w:noProof/>
        </w:rPr>
        <w:drawing>
          <wp:anchor distT="0" distB="0" distL="114300" distR="114300" simplePos="0" relativeHeight="251658240" behindDoc="1" locked="0" layoutInCell="1" allowOverlap="1" wp14:anchorId="3C458153" wp14:editId="517F2318">
            <wp:simplePos x="0" y="0"/>
            <wp:positionH relativeFrom="column">
              <wp:posOffset>3009900</wp:posOffset>
            </wp:positionH>
            <wp:positionV relativeFrom="paragraph">
              <wp:posOffset>259080</wp:posOffset>
            </wp:positionV>
            <wp:extent cx="2200275" cy="838200"/>
            <wp:effectExtent l="0" t="0" r="9525" b="0"/>
            <wp:wrapNone/>
            <wp:docPr id="13" name="Picture 16"/>
            <wp:cNvGraphicFramePr/>
            <a:graphic xmlns:a="http://schemas.openxmlformats.org/drawingml/2006/main">
              <a:graphicData uri="http://schemas.openxmlformats.org/drawingml/2006/picture">
                <pic:pic xmlns:pic="http://schemas.openxmlformats.org/drawingml/2006/picture">
                  <pic:nvPicPr>
                    <pic:cNvPr id="13" name="Picture 16"/>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A437BB" w:rsidRDefault="001A1AD3" w:rsidP="002A5A92">
      <w:pPr>
        <w:keepNext/>
        <w:keepLines/>
        <w:spacing w:line="360" w:lineRule="auto"/>
        <w:rPr>
          <w:b/>
          <w:sz w:val="26"/>
          <w:szCs w:val="26"/>
        </w:rPr>
      </w:pP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b/>
          <w:sz w:val="26"/>
          <w:szCs w:val="26"/>
        </w:rPr>
        <w:t>BY THE COMMISSION,</w:t>
      </w:r>
    </w:p>
    <w:p w:rsidR="004E61BF" w:rsidRPr="000D6043" w:rsidRDefault="004E61BF" w:rsidP="002A5A92">
      <w:pPr>
        <w:keepNext/>
        <w:keepLines/>
        <w:spacing w:line="360" w:lineRule="auto"/>
        <w:rPr>
          <w:sz w:val="26"/>
          <w:szCs w:val="26"/>
        </w:rPr>
      </w:pPr>
    </w:p>
    <w:p w:rsidR="008D6E6F" w:rsidRDefault="001A1AD3" w:rsidP="002A5A92">
      <w:pPr>
        <w:keepNext/>
        <w:keepLines/>
        <w:rPr>
          <w:sz w:val="26"/>
          <w:szCs w:val="26"/>
        </w:rPr>
      </w:pP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p>
    <w:p w:rsidR="001A1AD3" w:rsidRPr="000D6043" w:rsidRDefault="008D6E6F" w:rsidP="002A5A92">
      <w:pPr>
        <w:keepNext/>
        <w:keepLines/>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1A1AD3" w:rsidRPr="000D6043">
        <w:rPr>
          <w:sz w:val="26"/>
          <w:szCs w:val="26"/>
        </w:rPr>
        <w:tab/>
      </w:r>
      <w:r w:rsidR="00F40A17">
        <w:rPr>
          <w:sz w:val="26"/>
          <w:szCs w:val="26"/>
        </w:rPr>
        <w:t>Rosemary Chiavetta</w:t>
      </w:r>
    </w:p>
    <w:p w:rsidR="00F15AA1" w:rsidRDefault="001A1AD3" w:rsidP="002A5A92">
      <w:pPr>
        <w:keepNext/>
        <w:keepLines/>
        <w:rPr>
          <w:sz w:val="26"/>
          <w:szCs w:val="26"/>
        </w:rPr>
      </w:pP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t>Secretary</w:t>
      </w:r>
    </w:p>
    <w:p w:rsidR="000261D5" w:rsidRDefault="000261D5" w:rsidP="002A5A92">
      <w:pPr>
        <w:keepNext/>
        <w:keepLines/>
        <w:tabs>
          <w:tab w:val="left" w:pos="-720"/>
        </w:tabs>
        <w:suppressAutoHyphens/>
        <w:rPr>
          <w:sz w:val="26"/>
          <w:szCs w:val="26"/>
        </w:rPr>
      </w:pPr>
    </w:p>
    <w:p w:rsidR="001A1AD3" w:rsidRPr="00AD292A" w:rsidRDefault="001A1AD3" w:rsidP="002A5A92">
      <w:pPr>
        <w:keepNext/>
        <w:keepLines/>
        <w:tabs>
          <w:tab w:val="left" w:pos="-720"/>
        </w:tabs>
        <w:suppressAutoHyphens/>
        <w:rPr>
          <w:sz w:val="26"/>
          <w:szCs w:val="26"/>
        </w:rPr>
      </w:pPr>
      <w:r w:rsidRPr="00AD292A">
        <w:rPr>
          <w:sz w:val="26"/>
          <w:szCs w:val="26"/>
        </w:rPr>
        <w:t>(SEAL)</w:t>
      </w:r>
    </w:p>
    <w:p w:rsidR="001A1AD3" w:rsidRPr="001B2BFB" w:rsidRDefault="001A1AD3" w:rsidP="002A5A92">
      <w:pPr>
        <w:keepNext/>
        <w:keepLines/>
        <w:tabs>
          <w:tab w:val="left" w:pos="-720"/>
        </w:tabs>
        <w:suppressAutoHyphens/>
        <w:rPr>
          <w:sz w:val="26"/>
          <w:szCs w:val="26"/>
        </w:rPr>
      </w:pPr>
    </w:p>
    <w:p w:rsidR="001A1AD3" w:rsidRDefault="001A1AD3" w:rsidP="002A5A92">
      <w:pPr>
        <w:keepNext/>
        <w:keepLines/>
        <w:tabs>
          <w:tab w:val="left" w:pos="-720"/>
        </w:tabs>
        <w:suppressAutoHyphens/>
        <w:rPr>
          <w:sz w:val="26"/>
          <w:szCs w:val="26"/>
        </w:rPr>
      </w:pPr>
      <w:r w:rsidRPr="00AD292A">
        <w:rPr>
          <w:sz w:val="26"/>
          <w:szCs w:val="26"/>
        </w:rPr>
        <w:t>ORDER ADOPTED:</w:t>
      </w:r>
      <w:r w:rsidRPr="001B2BFB">
        <w:rPr>
          <w:sz w:val="26"/>
          <w:szCs w:val="26"/>
        </w:rPr>
        <w:t xml:space="preserve"> </w:t>
      </w:r>
      <w:r w:rsidR="004D1308">
        <w:rPr>
          <w:sz w:val="26"/>
          <w:szCs w:val="26"/>
        </w:rPr>
        <w:t>January 27, 2012</w:t>
      </w:r>
    </w:p>
    <w:p w:rsidR="004E61BF" w:rsidRPr="001B2BFB" w:rsidRDefault="004E61BF" w:rsidP="002A5A92">
      <w:pPr>
        <w:keepNext/>
        <w:keepLines/>
        <w:tabs>
          <w:tab w:val="left" w:pos="-720"/>
        </w:tabs>
        <w:suppressAutoHyphens/>
        <w:rPr>
          <w:sz w:val="26"/>
          <w:szCs w:val="26"/>
        </w:rPr>
      </w:pPr>
    </w:p>
    <w:p w:rsidR="009304FE" w:rsidRDefault="001A1AD3" w:rsidP="002A5A92">
      <w:pPr>
        <w:pStyle w:val="BodyText"/>
        <w:keepNext/>
        <w:keepLines/>
        <w:spacing w:line="240" w:lineRule="auto"/>
      </w:pPr>
      <w:r w:rsidRPr="00AD292A">
        <w:t>ORDER ENTERED</w:t>
      </w:r>
      <w:r>
        <w:t xml:space="preserve">: </w:t>
      </w:r>
      <w:r w:rsidR="008F79AE">
        <w:t>January 27, 2012</w:t>
      </w:r>
      <w:bookmarkStart w:id="1" w:name="_GoBack"/>
      <w:bookmarkEnd w:id="1"/>
    </w:p>
    <w:sectPr w:rsidR="009304FE" w:rsidSect="003742CF">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765" w:rsidRDefault="005A1765">
      <w:r>
        <w:separator/>
      </w:r>
    </w:p>
  </w:endnote>
  <w:endnote w:type="continuationSeparator" w:id="0">
    <w:p w:rsidR="005A1765" w:rsidRDefault="005A1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141" w:rsidRDefault="00FC776E" w:rsidP="00654A2F">
    <w:pPr>
      <w:pStyle w:val="Footer"/>
      <w:framePr w:wrap="around" w:vAnchor="text" w:hAnchor="margin" w:xAlign="center" w:y="1"/>
      <w:rPr>
        <w:rStyle w:val="PageNumber"/>
      </w:rPr>
    </w:pPr>
    <w:r>
      <w:rPr>
        <w:rStyle w:val="PageNumber"/>
      </w:rPr>
      <w:fldChar w:fldCharType="begin"/>
    </w:r>
    <w:r w:rsidR="00DF4141">
      <w:rPr>
        <w:rStyle w:val="PageNumber"/>
      </w:rPr>
      <w:instrText xml:space="preserve">PAGE  </w:instrText>
    </w:r>
    <w:r>
      <w:rPr>
        <w:rStyle w:val="PageNumber"/>
      </w:rPr>
      <w:fldChar w:fldCharType="end"/>
    </w:r>
  </w:p>
  <w:p w:rsidR="00DF4141" w:rsidRDefault="00DF41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141" w:rsidRDefault="00FC776E" w:rsidP="00654A2F">
    <w:pPr>
      <w:pStyle w:val="Footer"/>
      <w:framePr w:wrap="around" w:vAnchor="text" w:hAnchor="margin" w:xAlign="center" w:y="1"/>
      <w:rPr>
        <w:rStyle w:val="PageNumber"/>
      </w:rPr>
    </w:pPr>
    <w:r>
      <w:rPr>
        <w:rStyle w:val="PageNumber"/>
      </w:rPr>
      <w:fldChar w:fldCharType="begin"/>
    </w:r>
    <w:r w:rsidR="00DF4141">
      <w:rPr>
        <w:rStyle w:val="PageNumber"/>
      </w:rPr>
      <w:instrText xml:space="preserve">PAGE  </w:instrText>
    </w:r>
    <w:r>
      <w:rPr>
        <w:rStyle w:val="PageNumber"/>
      </w:rPr>
      <w:fldChar w:fldCharType="separate"/>
    </w:r>
    <w:r w:rsidR="008F79AE">
      <w:rPr>
        <w:rStyle w:val="PageNumber"/>
        <w:noProof/>
      </w:rPr>
      <w:t>13</w:t>
    </w:r>
    <w:r>
      <w:rPr>
        <w:rStyle w:val="PageNumber"/>
      </w:rPr>
      <w:fldChar w:fldCharType="end"/>
    </w:r>
  </w:p>
  <w:p w:rsidR="00DF4141" w:rsidRDefault="00DF41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765" w:rsidRDefault="005A1765">
      <w:r>
        <w:separator/>
      </w:r>
    </w:p>
  </w:footnote>
  <w:footnote w:type="continuationSeparator" w:id="0">
    <w:p w:rsidR="005A1765" w:rsidRDefault="005A1765">
      <w:r>
        <w:continuationSeparator/>
      </w:r>
    </w:p>
  </w:footnote>
  <w:footnote w:id="1">
    <w:p w:rsidR="002A5A92" w:rsidRDefault="00A82079" w:rsidP="00505D5E">
      <w:pPr>
        <w:pStyle w:val="FootnoteText"/>
        <w:spacing w:before="0" w:after="0"/>
        <w:ind w:firstLine="720"/>
        <w:rPr>
          <w:rFonts w:ascii="Times New Roman" w:hAnsi="Times New Roman"/>
          <w:sz w:val="26"/>
          <w:szCs w:val="26"/>
        </w:rPr>
      </w:pPr>
      <w:r w:rsidRPr="00505D5E">
        <w:rPr>
          <w:rStyle w:val="FootnoteReference"/>
          <w:rFonts w:ascii="Times New Roman" w:hAnsi="Times New Roman"/>
        </w:rPr>
        <w:footnoteRef/>
      </w:r>
      <w:r w:rsidRPr="00505D5E">
        <w:rPr>
          <w:rFonts w:ascii="Times New Roman" w:hAnsi="Times New Roman"/>
          <w:sz w:val="26"/>
          <w:szCs w:val="26"/>
        </w:rPr>
        <w:t xml:space="preserve"> </w:t>
      </w:r>
      <w:r w:rsidRPr="00505D5E">
        <w:rPr>
          <w:rFonts w:ascii="Times New Roman" w:hAnsi="Times New Roman"/>
          <w:sz w:val="26"/>
          <w:szCs w:val="26"/>
        </w:rPr>
        <w:tab/>
        <w:t xml:space="preserve">We note that Complainants attempted to file a reply to PPL’s Reply to Complainants’ Exceptions on April 29, 2011.  The Commission’s Regulations at </w:t>
      </w:r>
    </w:p>
    <w:p w:rsidR="00A82079" w:rsidRPr="00505D5E" w:rsidRDefault="00A82079" w:rsidP="002A5A92">
      <w:pPr>
        <w:pStyle w:val="FootnoteText"/>
        <w:spacing w:before="0" w:after="0"/>
        <w:rPr>
          <w:rFonts w:ascii="Times New Roman" w:hAnsi="Times New Roman"/>
          <w:sz w:val="26"/>
          <w:szCs w:val="26"/>
        </w:rPr>
      </w:pPr>
      <w:r w:rsidRPr="00505D5E">
        <w:rPr>
          <w:rFonts w:ascii="Times New Roman" w:hAnsi="Times New Roman"/>
          <w:sz w:val="26"/>
          <w:szCs w:val="26"/>
        </w:rPr>
        <w:t>52 Pa. Code § 5.533, relating to Exceptions to Initial Decisions, do not provide for a reply to a reply to exceptions.  Accordingly, the Complainants’ April 29</w:t>
      </w:r>
      <w:r w:rsidRPr="00505D5E">
        <w:rPr>
          <w:rFonts w:ascii="Times New Roman" w:hAnsi="Times New Roman"/>
          <w:sz w:val="26"/>
          <w:szCs w:val="26"/>
          <w:vertAlign w:val="superscript"/>
        </w:rPr>
        <w:t>th</w:t>
      </w:r>
      <w:r w:rsidRPr="00505D5E">
        <w:rPr>
          <w:rFonts w:ascii="Times New Roman" w:hAnsi="Times New Roman"/>
          <w:sz w:val="26"/>
          <w:szCs w:val="26"/>
        </w:rPr>
        <w:t xml:space="preserve"> filing has not been considered.</w:t>
      </w:r>
    </w:p>
  </w:footnote>
  <w:footnote w:id="2">
    <w:p w:rsidR="00A82079" w:rsidRPr="00505D5E" w:rsidRDefault="00A82079" w:rsidP="00505D5E">
      <w:pPr>
        <w:pStyle w:val="FootnoteText"/>
        <w:spacing w:before="0" w:after="0"/>
        <w:ind w:firstLine="720"/>
        <w:rPr>
          <w:rFonts w:ascii="Times New Roman" w:hAnsi="Times New Roman"/>
          <w:sz w:val="26"/>
          <w:szCs w:val="26"/>
        </w:rPr>
      </w:pPr>
      <w:r w:rsidRPr="00505D5E">
        <w:rPr>
          <w:rStyle w:val="FootnoteReference"/>
          <w:rFonts w:ascii="Times New Roman" w:hAnsi="Times New Roman"/>
        </w:rPr>
        <w:footnoteRef/>
      </w:r>
      <w:r w:rsidRPr="00505D5E">
        <w:rPr>
          <w:rFonts w:ascii="Times New Roman" w:hAnsi="Times New Roman"/>
          <w:sz w:val="26"/>
          <w:szCs w:val="26"/>
        </w:rPr>
        <w:t xml:space="preserve"> </w:t>
      </w:r>
      <w:r w:rsidRPr="00505D5E">
        <w:rPr>
          <w:rFonts w:ascii="Times New Roman" w:hAnsi="Times New Roman"/>
          <w:sz w:val="26"/>
          <w:szCs w:val="26"/>
        </w:rPr>
        <w:tab/>
        <w:t xml:space="preserve">This History is taken largely from the Initial Decision, </w:t>
      </w:r>
      <w:r w:rsidR="00A573A6">
        <w:rPr>
          <w:rFonts w:ascii="Times New Roman" w:hAnsi="Times New Roman"/>
          <w:sz w:val="26"/>
          <w:szCs w:val="26"/>
        </w:rPr>
        <w:t>p</w:t>
      </w:r>
      <w:r w:rsidRPr="00505D5E">
        <w:rPr>
          <w:rFonts w:ascii="Times New Roman" w:hAnsi="Times New Roman"/>
          <w:sz w:val="26"/>
          <w:szCs w:val="26"/>
        </w:rPr>
        <w:t>ages 1-3.</w:t>
      </w:r>
    </w:p>
  </w:footnote>
  <w:footnote w:id="3">
    <w:p w:rsidR="00477BFC" w:rsidRPr="00505D5E" w:rsidRDefault="00477BFC" w:rsidP="00505D5E">
      <w:pPr>
        <w:pStyle w:val="FootnoteText"/>
        <w:spacing w:before="0" w:after="0"/>
        <w:ind w:firstLine="720"/>
        <w:rPr>
          <w:rFonts w:ascii="Times New Roman" w:hAnsi="Times New Roman"/>
          <w:sz w:val="26"/>
          <w:szCs w:val="26"/>
        </w:rPr>
      </w:pPr>
      <w:r w:rsidRPr="00505D5E">
        <w:rPr>
          <w:rStyle w:val="FootnoteReference"/>
          <w:rFonts w:ascii="Times New Roman" w:hAnsi="Times New Roman"/>
        </w:rPr>
        <w:footnoteRef/>
      </w:r>
      <w:r w:rsidRPr="00505D5E">
        <w:rPr>
          <w:rFonts w:ascii="Times New Roman" w:hAnsi="Times New Roman"/>
          <w:sz w:val="26"/>
          <w:szCs w:val="26"/>
        </w:rPr>
        <w:t xml:space="preserve"> </w:t>
      </w:r>
      <w:r w:rsidRPr="00505D5E">
        <w:rPr>
          <w:rFonts w:ascii="Times New Roman" w:hAnsi="Times New Roman"/>
          <w:sz w:val="26"/>
          <w:szCs w:val="26"/>
        </w:rPr>
        <w:tab/>
        <w:t>The July 26, 2010 correspondence was part of an</w:t>
      </w:r>
      <w:r w:rsidR="004609B4">
        <w:rPr>
          <w:rFonts w:ascii="Times New Roman" w:hAnsi="Times New Roman"/>
          <w:sz w:val="26"/>
          <w:szCs w:val="26"/>
        </w:rPr>
        <w:t xml:space="preserve"> informal C</w:t>
      </w:r>
      <w:r w:rsidRPr="00505D5E">
        <w:rPr>
          <w:rFonts w:ascii="Times New Roman" w:hAnsi="Times New Roman"/>
          <w:sz w:val="26"/>
          <w:szCs w:val="26"/>
        </w:rPr>
        <w:t>omplaint filed with the Commission’s Bureau of Co</w:t>
      </w:r>
      <w:r w:rsidR="004609B4">
        <w:rPr>
          <w:rFonts w:ascii="Times New Roman" w:hAnsi="Times New Roman"/>
          <w:sz w:val="26"/>
          <w:szCs w:val="26"/>
        </w:rPr>
        <w:t>nsumer Services (BCS).  The instant formal C</w:t>
      </w:r>
      <w:r w:rsidRPr="00505D5E">
        <w:rPr>
          <w:rFonts w:ascii="Times New Roman" w:hAnsi="Times New Roman"/>
          <w:sz w:val="26"/>
          <w:szCs w:val="26"/>
        </w:rPr>
        <w:t>omplaint is an appeal of the BCS’</w:t>
      </w:r>
      <w:r w:rsidR="004609B4">
        <w:rPr>
          <w:rFonts w:ascii="Times New Roman" w:hAnsi="Times New Roman"/>
          <w:sz w:val="26"/>
          <w:szCs w:val="26"/>
        </w:rPr>
        <w:t xml:space="preserve"> decision on the informal C</w:t>
      </w:r>
      <w:r w:rsidRPr="00505D5E">
        <w:rPr>
          <w:rFonts w:ascii="Times New Roman" w:hAnsi="Times New Roman"/>
          <w:sz w:val="26"/>
          <w:szCs w:val="26"/>
        </w:rPr>
        <w:t xml:space="preserve">omplaint. </w:t>
      </w:r>
    </w:p>
  </w:footnote>
  <w:footnote w:id="4">
    <w:p w:rsidR="002A5A92" w:rsidRDefault="00477BFC" w:rsidP="00505D5E">
      <w:pPr>
        <w:pStyle w:val="FootnoteText"/>
        <w:spacing w:before="0" w:after="0"/>
        <w:rPr>
          <w:rFonts w:ascii="Times New Roman" w:hAnsi="Times New Roman"/>
          <w:sz w:val="26"/>
          <w:szCs w:val="26"/>
        </w:rPr>
      </w:pPr>
      <w:r w:rsidRPr="00505D5E">
        <w:rPr>
          <w:rFonts w:ascii="Times New Roman" w:hAnsi="Times New Roman"/>
          <w:sz w:val="26"/>
          <w:szCs w:val="26"/>
        </w:rPr>
        <w:tab/>
      </w:r>
      <w:r w:rsidR="006521DC" w:rsidRPr="00505D5E">
        <w:rPr>
          <w:rStyle w:val="FootnoteReference"/>
          <w:rFonts w:ascii="Times New Roman" w:hAnsi="Times New Roman"/>
        </w:rPr>
        <w:footnoteRef/>
      </w:r>
      <w:r w:rsidR="006521DC" w:rsidRPr="00505D5E">
        <w:rPr>
          <w:rFonts w:ascii="Times New Roman" w:hAnsi="Times New Roman"/>
          <w:sz w:val="26"/>
          <w:szCs w:val="26"/>
        </w:rPr>
        <w:t xml:space="preserve"> </w:t>
      </w:r>
      <w:r w:rsidR="006521DC" w:rsidRPr="00505D5E">
        <w:rPr>
          <w:rFonts w:ascii="Times New Roman" w:hAnsi="Times New Roman"/>
          <w:sz w:val="26"/>
          <w:szCs w:val="26"/>
        </w:rPr>
        <w:tab/>
        <w:t xml:space="preserve">The Complaint was served on PPL by Secretarial Letter dated </w:t>
      </w:r>
    </w:p>
    <w:p w:rsidR="006521DC" w:rsidRPr="00505D5E" w:rsidRDefault="006521DC" w:rsidP="00505D5E">
      <w:pPr>
        <w:pStyle w:val="FootnoteText"/>
        <w:spacing w:before="0" w:after="0"/>
        <w:rPr>
          <w:rFonts w:ascii="Times New Roman" w:hAnsi="Times New Roman"/>
          <w:sz w:val="26"/>
          <w:szCs w:val="26"/>
        </w:rPr>
      </w:pPr>
      <w:r w:rsidRPr="00505D5E">
        <w:rPr>
          <w:rFonts w:ascii="Times New Roman" w:hAnsi="Times New Roman"/>
          <w:sz w:val="26"/>
          <w:szCs w:val="26"/>
        </w:rPr>
        <w:t>November 22, 2011.  Accordingly, PPL’s Answer was timely.</w:t>
      </w:r>
    </w:p>
  </w:footnote>
  <w:footnote w:id="5">
    <w:p w:rsidR="00AF15D1" w:rsidRPr="00505D5E" w:rsidRDefault="00AF15D1" w:rsidP="00505D5E">
      <w:pPr>
        <w:pStyle w:val="FootnoteText"/>
        <w:spacing w:before="0" w:after="0"/>
        <w:ind w:firstLine="720"/>
        <w:rPr>
          <w:rFonts w:ascii="Times New Roman" w:hAnsi="Times New Roman"/>
          <w:sz w:val="26"/>
          <w:szCs w:val="26"/>
        </w:rPr>
      </w:pPr>
      <w:r w:rsidRPr="00505D5E">
        <w:rPr>
          <w:rStyle w:val="FootnoteReference"/>
          <w:rFonts w:ascii="Times New Roman" w:hAnsi="Times New Roman"/>
        </w:rPr>
        <w:footnoteRef/>
      </w:r>
      <w:r w:rsidRPr="00505D5E">
        <w:rPr>
          <w:rFonts w:ascii="Times New Roman" w:hAnsi="Times New Roman"/>
          <w:sz w:val="26"/>
          <w:szCs w:val="26"/>
        </w:rPr>
        <w:t xml:space="preserve"> </w:t>
      </w:r>
      <w:r w:rsidRPr="00505D5E">
        <w:rPr>
          <w:rFonts w:ascii="Times New Roman" w:hAnsi="Times New Roman"/>
          <w:sz w:val="26"/>
          <w:szCs w:val="26"/>
        </w:rPr>
        <w:tab/>
      </w:r>
      <w:r>
        <w:rPr>
          <w:rFonts w:ascii="Times New Roman" w:hAnsi="Times New Roman"/>
          <w:sz w:val="26"/>
          <w:szCs w:val="26"/>
        </w:rPr>
        <w:t>The Motion is r</w:t>
      </w:r>
      <w:r w:rsidRPr="00505D5E">
        <w:rPr>
          <w:rFonts w:ascii="Times New Roman" w:hAnsi="Times New Roman"/>
          <w:sz w:val="26"/>
          <w:szCs w:val="26"/>
        </w:rPr>
        <w:t>eferred</w:t>
      </w:r>
      <w:r w:rsidRPr="003742D4">
        <w:rPr>
          <w:rFonts w:ascii="Times New Roman" w:hAnsi="Times New Roman"/>
          <w:sz w:val="26"/>
          <w:szCs w:val="26"/>
        </w:rPr>
        <w:t xml:space="preserve"> to in the Initial Decision as </w:t>
      </w:r>
      <w:r>
        <w:rPr>
          <w:rFonts w:ascii="Times New Roman" w:hAnsi="Times New Roman"/>
          <w:sz w:val="26"/>
          <w:szCs w:val="26"/>
        </w:rPr>
        <w:t>the Respondent’s</w:t>
      </w:r>
      <w:r w:rsidRPr="00505D5E">
        <w:rPr>
          <w:rFonts w:ascii="Times New Roman" w:hAnsi="Times New Roman"/>
          <w:sz w:val="26"/>
          <w:szCs w:val="26"/>
        </w:rPr>
        <w:t xml:space="preserve"> Preliminary Objection.</w:t>
      </w:r>
    </w:p>
  </w:footnote>
  <w:footnote w:id="6">
    <w:p w:rsidR="00397937" w:rsidRPr="00505D5E" w:rsidRDefault="008C4752">
      <w:pPr>
        <w:pStyle w:val="FootnoteText"/>
        <w:rPr>
          <w:rFonts w:ascii="Times New Roman" w:hAnsi="Times New Roman"/>
          <w:sz w:val="26"/>
          <w:szCs w:val="26"/>
        </w:rPr>
      </w:pPr>
      <w:r>
        <w:rPr>
          <w:rFonts w:ascii="Times New Roman" w:hAnsi="Times New Roman"/>
          <w:sz w:val="26"/>
          <w:szCs w:val="26"/>
        </w:rPr>
        <w:tab/>
      </w:r>
      <w:r w:rsidR="00397937" w:rsidRPr="00505D5E">
        <w:rPr>
          <w:rStyle w:val="FootnoteReference"/>
          <w:rFonts w:ascii="Times New Roman" w:hAnsi="Times New Roman"/>
        </w:rPr>
        <w:footnoteRef/>
      </w:r>
      <w:r w:rsidR="00397937" w:rsidRPr="00505D5E">
        <w:rPr>
          <w:rFonts w:ascii="Times New Roman" w:hAnsi="Times New Roman"/>
          <w:sz w:val="26"/>
          <w:szCs w:val="26"/>
        </w:rPr>
        <w:t xml:space="preserve"> </w:t>
      </w:r>
      <w:r w:rsidR="00397937" w:rsidRPr="00505D5E">
        <w:rPr>
          <w:rFonts w:ascii="Times New Roman" w:hAnsi="Times New Roman"/>
          <w:sz w:val="26"/>
          <w:szCs w:val="26"/>
        </w:rPr>
        <w:tab/>
        <w:t xml:space="preserve">The Commission’s Regulations at 52 Pa. Code § 5.101(a), relating to Preliminary Objections, does not provide that lack of standing is an issue to be raised in Preliminary Objections.  </w:t>
      </w:r>
      <w:r w:rsidR="00383CF0" w:rsidRPr="00505D5E">
        <w:rPr>
          <w:rFonts w:ascii="Times New Roman" w:hAnsi="Times New Roman"/>
          <w:sz w:val="26"/>
          <w:szCs w:val="26"/>
        </w:rPr>
        <w:t xml:space="preserve">Rather, lack of standing is to be raised in an Answer to a Complaint as New Matter.  Here, the ALJ determined that the Complainants had received timely notice that standing was an issue, PPL raised the issue before any hearings were held and Complainants had a full and fair opportunity to respond, as they would have had </w:t>
      </w:r>
      <w:r w:rsidR="008754DA">
        <w:rPr>
          <w:rFonts w:ascii="Times New Roman" w:hAnsi="Times New Roman"/>
          <w:sz w:val="26"/>
          <w:szCs w:val="26"/>
        </w:rPr>
        <w:t xml:space="preserve">if </w:t>
      </w:r>
      <w:r w:rsidR="00383CF0" w:rsidRPr="00505D5E">
        <w:rPr>
          <w:rFonts w:ascii="Times New Roman" w:hAnsi="Times New Roman"/>
          <w:sz w:val="26"/>
          <w:szCs w:val="26"/>
        </w:rPr>
        <w:t xml:space="preserve">PPL raised the issue in its Answer to the Complaint.  On those grounds, the ALJ determined that Complainants were not harmed or prejudiced by the fact that PPL raised the issue in </w:t>
      </w:r>
      <w:r w:rsidR="00F15951">
        <w:rPr>
          <w:rFonts w:ascii="Times New Roman" w:hAnsi="Times New Roman"/>
          <w:sz w:val="26"/>
          <w:szCs w:val="26"/>
        </w:rPr>
        <w:t xml:space="preserve">its Motion to Dismiss </w:t>
      </w:r>
      <w:r w:rsidR="00383CF0" w:rsidRPr="00505D5E">
        <w:rPr>
          <w:rFonts w:ascii="Times New Roman" w:hAnsi="Times New Roman"/>
          <w:sz w:val="26"/>
          <w:szCs w:val="26"/>
        </w:rPr>
        <w:t>and proceeded to rule on the issue.  I.D. at 4-7.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72075"/>
    <w:multiLevelType w:val="hybridMultilevel"/>
    <w:tmpl w:val="83D4F22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4FE"/>
    <w:rsid w:val="000004FF"/>
    <w:rsid w:val="00001139"/>
    <w:rsid w:val="00001267"/>
    <w:rsid w:val="00002F2A"/>
    <w:rsid w:val="000063E9"/>
    <w:rsid w:val="000074DC"/>
    <w:rsid w:val="00010322"/>
    <w:rsid w:val="0001099D"/>
    <w:rsid w:val="0001306C"/>
    <w:rsid w:val="0001411C"/>
    <w:rsid w:val="000148F5"/>
    <w:rsid w:val="00015969"/>
    <w:rsid w:val="00015A01"/>
    <w:rsid w:val="00016CE0"/>
    <w:rsid w:val="00017033"/>
    <w:rsid w:val="00020E43"/>
    <w:rsid w:val="00020F8F"/>
    <w:rsid w:val="00024987"/>
    <w:rsid w:val="00024DD1"/>
    <w:rsid w:val="00025686"/>
    <w:rsid w:val="0002585B"/>
    <w:rsid w:val="00025B28"/>
    <w:rsid w:val="000261D5"/>
    <w:rsid w:val="00026E4B"/>
    <w:rsid w:val="0002723A"/>
    <w:rsid w:val="0002744F"/>
    <w:rsid w:val="00027F6F"/>
    <w:rsid w:val="000310BE"/>
    <w:rsid w:val="00031E93"/>
    <w:rsid w:val="0003479F"/>
    <w:rsid w:val="000378DC"/>
    <w:rsid w:val="0004043C"/>
    <w:rsid w:val="000405AC"/>
    <w:rsid w:val="0004437C"/>
    <w:rsid w:val="000510D0"/>
    <w:rsid w:val="000510FD"/>
    <w:rsid w:val="00052478"/>
    <w:rsid w:val="00052A0E"/>
    <w:rsid w:val="00053715"/>
    <w:rsid w:val="00053CED"/>
    <w:rsid w:val="0005544D"/>
    <w:rsid w:val="00057057"/>
    <w:rsid w:val="000610F9"/>
    <w:rsid w:val="00061850"/>
    <w:rsid w:val="000629CD"/>
    <w:rsid w:val="000634BD"/>
    <w:rsid w:val="00065DB6"/>
    <w:rsid w:val="00067181"/>
    <w:rsid w:val="000673D1"/>
    <w:rsid w:val="00070FF8"/>
    <w:rsid w:val="00070FFD"/>
    <w:rsid w:val="00072883"/>
    <w:rsid w:val="00073515"/>
    <w:rsid w:val="000735A0"/>
    <w:rsid w:val="00073C25"/>
    <w:rsid w:val="00074255"/>
    <w:rsid w:val="00075161"/>
    <w:rsid w:val="000757B0"/>
    <w:rsid w:val="00076E28"/>
    <w:rsid w:val="00080BE7"/>
    <w:rsid w:val="000830C7"/>
    <w:rsid w:val="0008328F"/>
    <w:rsid w:val="0008445E"/>
    <w:rsid w:val="00085FFB"/>
    <w:rsid w:val="00086411"/>
    <w:rsid w:val="00086D0B"/>
    <w:rsid w:val="0008768F"/>
    <w:rsid w:val="00087D18"/>
    <w:rsid w:val="00091A97"/>
    <w:rsid w:val="00092ABD"/>
    <w:rsid w:val="0009319F"/>
    <w:rsid w:val="00096187"/>
    <w:rsid w:val="000966DC"/>
    <w:rsid w:val="0009781B"/>
    <w:rsid w:val="000A2F11"/>
    <w:rsid w:val="000A35F4"/>
    <w:rsid w:val="000A39CF"/>
    <w:rsid w:val="000A770A"/>
    <w:rsid w:val="000A7F96"/>
    <w:rsid w:val="000B03F9"/>
    <w:rsid w:val="000B2A5C"/>
    <w:rsid w:val="000B2B80"/>
    <w:rsid w:val="000B3146"/>
    <w:rsid w:val="000B3FB4"/>
    <w:rsid w:val="000B432E"/>
    <w:rsid w:val="000B4744"/>
    <w:rsid w:val="000B4F29"/>
    <w:rsid w:val="000B5487"/>
    <w:rsid w:val="000B5DF8"/>
    <w:rsid w:val="000B63A8"/>
    <w:rsid w:val="000C2A2F"/>
    <w:rsid w:val="000C51BF"/>
    <w:rsid w:val="000C742F"/>
    <w:rsid w:val="000D0D75"/>
    <w:rsid w:val="000D1A34"/>
    <w:rsid w:val="000D74C4"/>
    <w:rsid w:val="000E0050"/>
    <w:rsid w:val="000E3FDA"/>
    <w:rsid w:val="000E4BED"/>
    <w:rsid w:val="000F2540"/>
    <w:rsid w:val="000F292B"/>
    <w:rsid w:val="000F34FC"/>
    <w:rsid w:val="000F3505"/>
    <w:rsid w:val="000F3750"/>
    <w:rsid w:val="000F4144"/>
    <w:rsid w:val="000F6D5A"/>
    <w:rsid w:val="000F748E"/>
    <w:rsid w:val="0010013C"/>
    <w:rsid w:val="001006F0"/>
    <w:rsid w:val="00100BF3"/>
    <w:rsid w:val="00101745"/>
    <w:rsid w:val="00103A52"/>
    <w:rsid w:val="00105084"/>
    <w:rsid w:val="00105104"/>
    <w:rsid w:val="00105193"/>
    <w:rsid w:val="00106537"/>
    <w:rsid w:val="0011244B"/>
    <w:rsid w:val="00112861"/>
    <w:rsid w:val="0011361B"/>
    <w:rsid w:val="001146C7"/>
    <w:rsid w:val="00114D80"/>
    <w:rsid w:val="00115FD9"/>
    <w:rsid w:val="00116D79"/>
    <w:rsid w:val="00120A27"/>
    <w:rsid w:val="00124A50"/>
    <w:rsid w:val="0012697D"/>
    <w:rsid w:val="00127C7C"/>
    <w:rsid w:val="00131B43"/>
    <w:rsid w:val="00132429"/>
    <w:rsid w:val="00133878"/>
    <w:rsid w:val="00137A60"/>
    <w:rsid w:val="00140CD4"/>
    <w:rsid w:val="00141882"/>
    <w:rsid w:val="00141DF0"/>
    <w:rsid w:val="0014205C"/>
    <w:rsid w:val="00143689"/>
    <w:rsid w:val="00143F43"/>
    <w:rsid w:val="00144166"/>
    <w:rsid w:val="00147415"/>
    <w:rsid w:val="00150989"/>
    <w:rsid w:val="0015662E"/>
    <w:rsid w:val="001572C5"/>
    <w:rsid w:val="0016005F"/>
    <w:rsid w:val="0016020F"/>
    <w:rsid w:val="001606BC"/>
    <w:rsid w:val="00161FCC"/>
    <w:rsid w:val="00163AA3"/>
    <w:rsid w:val="00164715"/>
    <w:rsid w:val="00164C98"/>
    <w:rsid w:val="001679F1"/>
    <w:rsid w:val="001701B3"/>
    <w:rsid w:val="001718CA"/>
    <w:rsid w:val="00175EA0"/>
    <w:rsid w:val="00177A43"/>
    <w:rsid w:val="001811B8"/>
    <w:rsid w:val="001827DB"/>
    <w:rsid w:val="00183D96"/>
    <w:rsid w:val="00185B5E"/>
    <w:rsid w:val="00186887"/>
    <w:rsid w:val="00187782"/>
    <w:rsid w:val="0019214E"/>
    <w:rsid w:val="0019318F"/>
    <w:rsid w:val="00193EF0"/>
    <w:rsid w:val="001967CA"/>
    <w:rsid w:val="00197920"/>
    <w:rsid w:val="00197C2F"/>
    <w:rsid w:val="00197F3D"/>
    <w:rsid w:val="001A0516"/>
    <w:rsid w:val="001A1AD3"/>
    <w:rsid w:val="001A3F04"/>
    <w:rsid w:val="001A4A0C"/>
    <w:rsid w:val="001A4D90"/>
    <w:rsid w:val="001A5756"/>
    <w:rsid w:val="001A75AA"/>
    <w:rsid w:val="001B2295"/>
    <w:rsid w:val="001B2E4F"/>
    <w:rsid w:val="001B423C"/>
    <w:rsid w:val="001B7A05"/>
    <w:rsid w:val="001C3929"/>
    <w:rsid w:val="001C53B1"/>
    <w:rsid w:val="001C7E91"/>
    <w:rsid w:val="001C7F88"/>
    <w:rsid w:val="001D01F1"/>
    <w:rsid w:val="001D02A2"/>
    <w:rsid w:val="001D2979"/>
    <w:rsid w:val="001D2BAD"/>
    <w:rsid w:val="001D491F"/>
    <w:rsid w:val="001D6F93"/>
    <w:rsid w:val="001D70A6"/>
    <w:rsid w:val="001D7137"/>
    <w:rsid w:val="001E05C6"/>
    <w:rsid w:val="001E0B29"/>
    <w:rsid w:val="001E0D4B"/>
    <w:rsid w:val="001E19BC"/>
    <w:rsid w:val="001E2C3E"/>
    <w:rsid w:val="001E2CFB"/>
    <w:rsid w:val="001E2E27"/>
    <w:rsid w:val="001E2FEE"/>
    <w:rsid w:val="001E3574"/>
    <w:rsid w:val="001E4181"/>
    <w:rsid w:val="001E4225"/>
    <w:rsid w:val="001E4A7C"/>
    <w:rsid w:val="001E6158"/>
    <w:rsid w:val="001F0488"/>
    <w:rsid w:val="001F3675"/>
    <w:rsid w:val="001F470A"/>
    <w:rsid w:val="001F55D5"/>
    <w:rsid w:val="001F5B0F"/>
    <w:rsid w:val="001F75D6"/>
    <w:rsid w:val="001F79C6"/>
    <w:rsid w:val="001F7B55"/>
    <w:rsid w:val="00203F27"/>
    <w:rsid w:val="00205242"/>
    <w:rsid w:val="00205983"/>
    <w:rsid w:val="00206877"/>
    <w:rsid w:val="00206D03"/>
    <w:rsid w:val="00207453"/>
    <w:rsid w:val="00210868"/>
    <w:rsid w:val="002133B2"/>
    <w:rsid w:val="00213B95"/>
    <w:rsid w:val="002161A1"/>
    <w:rsid w:val="00217165"/>
    <w:rsid w:val="00217C4E"/>
    <w:rsid w:val="002242F7"/>
    <w:rsid w:val="00225A51"/>
    <w:rsid w:val="00225BD2"/>
    <w:rsid w:val="00226A3E"/>
    <w:rsid w:val="00230396"/>
    <w:rsid w:val="0023097E"/>
    <w:rsid w:val="00230BAB"/>
    <w:rsid w:val="00231579"/>
    <w:rsid w:val="002326E8"/>
    <w:rsid w:val="002329E9"/>
    <w:rsid w:val="00232A03"/>
    <w:rsid w:val="0023535F"/>
    <w:rsid w:val="00237A2B"/>
    <w:rsid w:val="00237CE3"/>
    <w:rsid w:val="002431F5"/>
    <w:rsid w:val="00243CC9"/>
    <w:rsid w:val="002450F3"/>
    <w:rsid w:val="00246294"/>
    <w:rsid w:val="002469C9"/>
    <w:rsid w:val="00247332"/>
    <w:rsid w:val="00252313"/>
    <w:rsid w:val="00252D00"/>
    <w:rsid w:val="00253CC7"/>
    <w:rsid w:val="0025590A"/>
    <w:rsid w:val="0025592A"/>
    <w:rsid w:val="002564D7"/>
    <w:rsid w:val="00256A4C"/>
    <w:rsid w:val="0025718D"/>
    <w:rsid w:val="002572E5"/>
    <w:rsid w:val="00260374"/>
    <w:rsid w:val="002624F3"/>
    <w:rsid w:val="002631AF"/>
    <w:rsid w:val="00264ABB"/>
    <w:rsid w:val="002652DF"/>
    <w:rsid w:val="00265BD8"/>
    <w:rsid w:val="00271DBF"/>
    <w:rsid w:val="00271E53"/>
    <w:rsid w:val="002723CB"/>
    <w:rsid w:val="002724ED"/>
    <w:rsid w:val="00272DB6"/>
    <w:rsid w:val="00273450"/>
    <w:rsid w:val="00274EC0"/>
    <w:rsid w:val="002770D8"/>
    <w:rsid w:val="0028157C"/>
    <w:rsid w:val="00282019"/>
    <w:rsid w:val="002838E3"/>
    <w:rsid w:val="00284573"/>
    <w:rsid w:val="002854BF"/>
    <w:rsid w:val="0028580D"/>
    <w:rsid w:val="00285856"/>
    <w:rsid w:val="00287528"/>
    <w:rsid w:val="00287BE6"/>
    <w:rsid w:val="002919FB"/>
    <w:rsid w:val="00296477"/>
    <w:rsid w:val="00296493"/>
    <w:rsid w:val="002A0E82"/>
    <w:rsid w:val="002A3A6E"/>
    <w:rsid w:val="002A3AC8"/>
    <w:rsid w:val="002A5399"/>
    <w:rsid w:val="002A5A92"/>
    <w:rsid w:val="002A740E"/>
    <w:rsid w:val="002B0089"/>
    <w:rsid w:val="002B2D9D"/>
    <w:rsid w:val="002B31AD"/>
    <w:rsid w:val="002B3382"/>
    <w:rsid w:val="002B3767"/>
    <w:rsid w:val="002B4B0D"/>
    <w:rsid w:val="002B61D4"/>
    <w:rsid w:val="002C011D"/>
    <w:rsid w:val="002C2703"/>
    <w:rsid w:val="002C2F02"/>
    <w:rsid w:val="002C4311"/>
    <w:rsid w:val="002D08E2"/>
    <w:rsid w:val="002D0BD9"/>
    <w:rsid w:val="002D0C4F"/>
    <w:rsid w:val="002D33E8"/>
    <w:rsid w:val="002D3DA8"/>
    <w:rsid w:val="002D4BD0"/>
    <w:rsid w:val="002D5216"/>
    <w:rsid w:val="002D547E"/>
    <w:rsid w:val="002D5C5B"/>
    <w:rsid w:val="002D650D"/>
    <w:rsid w:val="002D677B"/>
    <w:rsid w:val="002E00A3"/>
    <w:rsid w:val="002E00E6"/>
    <w:rsid w:val="002E0503"/>
    <w:rsid w:val="002E06ED"/>
    <w:rsid w:val="002E3A55"/>
    <w:rsid w:val="002E4908"/>
    <w:rsid w:val="002E6F2D"/>
    <w:rsid w:val="002F0238"/>
    <w:rsid w:val="002F1385"/>
    <w:rsid w:val="002F3B92"/>
    <w:rsid w:val="002F4D5E"/>
    <w:rsid w:val="002F52AC"/>
    <w:rsid w:val="002F5552"/>
    <w:rsid w:val="002F6563"/>
    <w:rsid w:val="00301857"/>
    <w:rsid w:val="00303915"/>
    <w:rsid w:val="00304ABF"/>
    <w:rsid w:val="00304E5F"/>
    <w:rsid w:val="00305383"/>
    <w:rsid w:val="0030541E"/>
    <w:rsid w:val="003054A6"/>
    <w:rsid w:val="00305684"/>
    <w:rsid w:val="00306216"/>
    <w:rsid w:val="00306411"/>
    <w:rsid w:val="0030678F"/>
    <w:rsid w:val="003074B0"/>
    <w:rsid w:val="003077A3"/>
    <w:rsid w:val="00307831"/>
    <w:rsid w:val="00307B01"/>
    <w:rsid w:val="00310CE1"/>
    <w:rsid w:val="0031278E"/>
    <w:rsid w:val="00316BFA"/>
    <w:rsid w:val="003172C8"/>
    <w:rsid w:val="003214EA"/>
    <w:rsid w:val="00321B87"/>
    <w:rsid w:val="00322A65"/>
    <w:rsid w:val="0032388C"/>
    <w:rsid w:val="00324791"/>
    <w:rsid w:val="00324B2C"/>
    <w:rsid w:val="00324E5B"/>
    <w:rsid w:val="00325440"/>
    <w:rsid w:val="0032579A"/>
    <w:rsid w:val="0032615A"/>
    <w:rsid w:val="00326A17"/>
    <w:rsid w:val="00327473"/>
    <w:rsid w:val="00330392"/>
    <w:rsid w:val="00331CAA"/>
    <w:rsid w:val="00335BFC"/>
    <w:rsid w:val="00337DFD"/>
    <w:rsid w:val="003408BA"/>
    <w:rsid w:val="003419DB"/>
    <w:rsid w:val="00343419"/>
    <w:rsid w:val="00344581"/>
    <w:rsid w:val="0034532C"/>
    <w:rsid w:val="0034562E"/>
    <w:rsid w:val="003458AF"/>
    <w:rsid w:val="003459E2"/>
    <w:rsid w:val="00350131"/>
    <w:rsid w:val="00350442"/>
    <w:rsid w:val="003506D7"/>
    <w:rsid w:val="00352BC7"/>
    <w:rsid w:val="00353BBC"/>
    <w:rsid w:val="0035474E"/>
    <w:rsid w:val="00354EEE"/>
    <w:rsid w:val="00357B6E"/>
    <w:rsid w:val="00357E74"/>
    <w:rsid w:val="00360ED1"/>
    <w:rsid w:val="00362AC9"/>
    <w:rsid w:val="003669C8"/>
    <w:rsid w:val="00366C32"/>
    <w:rsid w:val="0037005D"/>
    <w:rsid w:val="00370193"/>
    <w:rsid w:val="00370414"/>
    <w:rsid w:val="003704B1"/>
    <w:rsid w:val="003708CD"/>
    <w:rsid w:val="00371228"/>
    <w:rsid w:val="003742CF"/>
    <w:rsid w:val="003742D4"/>
    <w:rsid w:val="0037692B"/>
    <w:rsid w:val="00381C7A"/>
    <w:rsid w:val="00383CF0"/>
    <w:rsid w:val="00385570"/>
    <w:rsid w:val="003871D3"/>
    <w:rsid w:val="00387A01"/>
    <w:rsid w:val="0039007A"/>
    <w:rsid w:val="00390FB3"/>
    <w:rsid w:val="00391B6F"/>
    <w:rsid w:val="00392B85"/>
    <w:rsid w:val="003943C4"/>
    <w:rsid w:val="00394491"/>
    <w:rsid w:val="00394901"/>
    <w:rsid w:val="00395DD7"/>
    <w:rsid w:val="00397937"/>
    <w:rsid w:val="003A243B"/>
    <w:rsid w:val="003A2FF8"/>
    <w:rsid w:val="003A50AE"/>
    <w:rsid w:val="003A52F0"/>
    <w:rsid w:val="003A5385"/>
    <w:rsid w:val="003A54C7"/>
    <w:rsid w:val="003A76DB"/>
    <w:rsid w:val="003B03A6"/>
    <w:rsid w:val="003B2F87"/>
    <w:rsid w:val="003B3893"/>
    <w:rsid w:val="003B3ABE"/>
    <w:rsid w:val="003B3CEA"/>
    <w:rsid w:val="003B3E5F"/>
    <w:rsid w:val="003B3F15"/>
    <w:rsid w:val="003B561F"/>
    <w:rsid w:val="003B6D2E"/>
    <w:rsid w:val="003B7738"/>
    <w:rsid w:val="003B7B99"/>
    <w:rsid w:val="003C042A"/>
    <w:rsid w:val="003C0F72"/>
    <w:rsid w:val="003C1B86"/>
    <w:rsid w:val="003C31AF"/>
    <w:rsid w:val="003C384E"/>
    <w:rsid w:val="003C4355"/>
    <w:rsid w:val="003C729B"/>
    <w:rsid w:val="003D4638"/>
    <w:rsid w:val="003D539E"/>
    <w:rsid w:val="003D6E02"/>
    <w:rsid w:val="003D70DF"/>
    <w:rsid w:val="003D7416"/>
    <w:rsid w:val="003D7B3D"/>
    <w:rsid w:val="003D7B97"/>
    <w:rsid w:val="003E07E5"/>
    <w:rsid w:val="003E0C89"/>
    <w:rsid w:val="003E10E3"/>
    <w:rsid w:val="003E22D4"/>
    <w:rsid w:val="003E2B94"/>
    <w:rsid w:val="003E3836"/>
    <w:rsid w:val="003E4CD9"/>
    <w:rsid w:val="003E73BC"/>
    <w:rsid w:val="003F07AF"/>
    <w:rsid w:val="003F0F6C"/>
    <w:rsid w:val="003F1C7C"/>
    <w:rsid w:val="003F21E1"/>
    <w:rsid w:val="003F27D1"/>
    <w:rsid w:val="003F287E"/>
    <w:rsid w:val="003F3939"/>
    <w:rsid w:val="003F70EA"/>
    <w:rsid w:val="003F7E44"/>
    <w:rsid w:val="004023F4"/>
    <w:rsid w:val="00402479"/>
    <w:rsid w:val="00402A7D"/>
    <w:rsid w:val="00402DEF"/>
    <w:rsid w:val="00406C01"/>
    <w:rsid w:val="00406EED"/>
    <w:rsid w:val="00410766"/>
    <w:rsid w:val="00411FED"/>
    <w:rsid w:val="004120D1"/>
    <w:rsid w:val="004140BA"/>
    <w:rsid w:val="004144EB"/>
    <w:rsid w:val="004144EE"/>
    <w:rsid w:val="004146BE"/>
    <w:rsid w:val="00414855"/>
    <w:rsid w:val="00415460"/>
    <w:rsid w:val="00415483"/>
    <w:rsid w:val="00415A5E"/>
    <w:rsid w:val="004169D5"/>
    <w:rsid w:val="00420902"/>
    <w:rsid w:val="00421E3B"/>
    <w:rsid w:val="004246D3"/>
    <w:rsid w:val="00427697"/>
    <w:rsid w:val="00430570"/>
    <w:rsid w:val="00431621"/>
    <w:rsid w:val="00431F78"/>
    <w:rsid w:val="004321EA"/>
    <w:rsid w:val="0043392B"/>
    <w:rsid w:val="00435582"/>
    <w:rsid w:val="00436553"/>
    <w:rsid w:val="00436D82"/>
    <w:rsid w:val="0044114D"/>
    <w:rsid w:val="004415D8"/>
    <w:rsid w:val="00441920"/>
    <w:rsid w:val="00442945"/>
    <w:rsid w:val="00445117"/>
    <w:rsid w:val="0044707B"/>
    <w:rsid w:val="004470A5"/>
    <w:rsid w:val="00447374"/>
    <w:rsid w:val="00447A41"/>
    <w:rsid w:val="0045114C"/>
    <w:rsid w:val="00452B3B"/>
    <w:rsid w:val="00455C99"/>
    <w:rsid w:val="004572B4"/>
    <w:rsid w:val="00457386"/>
    <w:rsid w:val="004609B4"/>
    <w:rsid w:val="00461E0C"/>
    <w:rsid w:val="004622AF"/>
    <w:rsid w:val="004715B6"/>
    <w:rsid w:val="0047307A"/>
    <w:rsid w:val="004731C2"/>
    <w:rsid w:val="00473CA5"/>
    <w:rsid w:val="00474F36"/>
    <w:rsid w:val="00474FC8"/>
    <w:rsid w:val="00475B65"/>
    <w:rsid w:val="00475BF0"/>
    <w:rsid w:val="004761B9"/>
    <w:rsid w:val="004765BE"/>
    <w:rsid w:val="00477363"/>
    <w:rsid w:val="00477BFC"/>
    <w:rsid w:val="0048747D"/>
    <w:rsid w:val="00487688"/>
    <w:rsid w:val="00492432"/>
    <w:rsid w:val="004938FA"/>
    <w:rsid w:val="004949D0"/>
    <w:rsid w:val="00496914"/>
    <w:rsid w:val="0049771B"/>
    <w:rsid w:val="0049798B"/>
    <w:rsid w:val="00497BCA"/>
    <w:rsid w:val="004A0CC8"/>
    <w:rsid w:val="004A2A28"/>
    <w:rsid w:val="004A3500"/>
    <w:rsid w:val="004A41B7"/>
    <w:rsid w:val="004A5066"/>
    <w:rsid w:val="004A555B"/>
    <w:rsid w:val="004A572B"/>
    <w:rsid w:val="004A6496"/>
    <w:rsid w:val="004A75A3"/>
    <w:rsid w:val="004A7831"/>
    <w:rsid w:val="004B14C4"/>
    <w:rsid w:val="004B30C3"/>
    <w:rsid w:val="004B533D"/>
    <w:rsid w:val="004C40E8"/>
    <w:rsid w:val="004C4F45"/>
    <w:rsid w:val="004C54A0"/>
    <w:rsid w:val="004C5F6F"/>
    <w:rsid w:val="004C749A"/>
    <w:rsid w:val="004D08F5"/>
    <w:rsid w:val="004D10E7"/>
    <w:rsid w:val="004D1308"/>
    <w:rsid w:val="004D1BE6"/>
    <w:rsid w:val="004D362A"/>
    <w:rsid w:val="004D5A16"/>
    <w:rsid w:val="004D5B29"/>
    <w:rsid w:val="004D5E02"/>
    <w:rsid w:val="004D75D8"/>
    <w:rsid w:val="004D7F3B"/>
    <w:rsid w:val="004E05E7"/>
    <w:rsid w:val="004E2F35"/>
    <w:rsid w:val="004E3204"/>
    <w:rsid w:val="004E3FFF"/>
    <w:rsid w:val="004E58C3"/>
    <w:rsid w:val="004E61BF"/>
    <w:rsid w:val="004E62D6"/>
    <w:rsid w:val="004E75A8"/>
    <w:rsid w:val="004E79BD"/>
    <w:rsid w:val="004F2383"/>
    <w:rsid w:val="004F5854"/>
    <w:rsid w:val="004F77DA"/>
    <w:rsid w:val="004F7DAF"/>
    <w:rsid w:val="00500EDA"/>
    <w:rsid w:val="00502D50"/>
    <w:rsid w:val="005035AC"/>
    <w:rsid w:val="00503A81"/>
    <w:rsid w:val="00503E65"/>
    <w:rsid w:val="00504444"/>
    <w:rsid w:val="00504D5D"/>
    <w:rsid w:val="005055F8"/>
    <w:rsid w:val="00505BA0"/>
    <w:rsid w:val="00505D5E"/>
    <w:rsid w:val="00505E50"/>
    <w:rsid w:val="00510147"/>
    <w:rsid w:val="00511418"/>
    <w:rsid w:val="00511BF3"/>
    <w:rsid w:val="00514988"/>
    <w:rsid w:val="00515110"/>
    <w:rsid w:val="005154BC"/>
    <w:rsid w:val="005166AF"/>
    <w:rsid w:val="00517839"/>
    <w:rsid w:val="00523193"/>
    <w:rsid w:val="00523347"/>
    <w:rsid w:val="00523D34"/>
    <w:rsid w:val="00524898"/>
    <w:rsid w:val="00525DBB"/>
    <w:rsid w:val="005262C2"/>
    <w:rsid w:val="00526AD5"/>
    <w:rsid w:val="00527A20"/>
    <w:rsid w:val="00530F5B"/>
    <w:rsid w:val="005310AE"/>
    <w:rsid w:val="005311B2"/>
    <w:rsid w:val="005318B9"/>
    <w:rsid w:val="00531E07"/>
    <w:rsid w:val="0053205B"/>
    <w:rsid w:val="005321F4"/>
    <w:rsid w:val="005332F5"/>
    <w:rsid w:val="00533CE6"/>
    <w:rsid w:val="00534A1D"/>
    <w:rsid w:val="00535439"/>
    <w:rsid w:val="00540F72"/>
    <w:rsid w:val="0054255F"/>
    <w:rsid w:val="00543C5A"/>
    <w:rsid w:val="00545FB5"/>
    <w:rsid w:val="00551BEE"/>
    <w:rsid w:val="00552D6D"/>
    <w:rsid w:val="0055430E"/>
    <w:rsid w:val="00554CD4"/>
    <w:rsid w:val="00555069"/>
    <w:rsid w:val="00555CA0"/>
    <w:rsid w:val="00560E96"/>
    <w:rsid w:val="005644F4"/>
    <w:rsid w:val="0056564F"/>
    <w:rsid w:val="005673FC"/>
    <w:rsid w:val="00575664"/>
    <w:rsid w:val="005774D8"/>
    <w:rsid w:val="0058604C"/>
    <w:rsid w:val="00586D9C"/>
    <w:rsid w:val="00586DBE"/>
    <w:rsid w:val="00587811"/>
    <w:rsid w:val="00590A8E"/>
    <w:rsid w:val="00590E23"/>
    <w:rsid w:val="005921ED"/>
    <w:rsid w:val="00592CAB"/>
    <w:rsid w:val="00593628"/>
    <w:rsid w:val="0059500A"/>
    <w:rsid w:val="005A08BE"/>
    <w:rsid w:val="005A1765"/>
    <w:rsid w:val="005A199F"/>
    <w:rsid w:val="005A1D87"/>
    <w:rsid w:val="005A4358"/>
    <w:rsid w:val="005A4947"/>
    <w:rsid w:val="005A5F10"/>
    <w:rsid w:val="005A6378"/>
    <w:rsid w:val="005A69E2"/>
    <w:rsid w:val="005A7032"/>
    <w:rsid w:val="005B01F2"/>
    <w:rsid w:val="005B5378"/>
    <w:rsid w:val="005B5F54"/>
    <w:rsid w:val="005B71B8"/>
    <w:rsid w:val="005C14B5"/>
    <w:rsid w:val="005C7489"/>
    <w:rsid w:val="005D090E"/>
    <w:rsid w:val="005D1916"/>
    <w:rsid w:val="005D40C7"/>
    <w:rsid w:val="005D4382"/>
    <w:rsid w:val="005D44F8"/>
    <w:rsid w:val="005D5B48"/>
    <w:rsid w:val="005D60FF"/>
    <w:rsid w:val="005D6922"/>
    <w:rsid w:val="005D75C3"/>
    <w:rsid w:val="005D765E"/>
    <w:rsid w:val="005E0C51"/>
    <w:rsid w:val="005E56CB"/>
    <w:rsid w:val="005E67ED"/>
    <w:rsid w:val="005F10BC"/>
    <w:rsid w:val="005F178B"/>
    <w:rsid w:val="005F2E90"/>
    <w:rsid w:val="005F3BCB"/>
    <w:rsid w:val="005F4A9E"/>
    <w:rsid w:val="005F4C5B"/>
    <w:rsid w:val="005F4E8C"/>
    <w:rsid w:val="005F5031"/>
    <w:rsid w:val="005F5398"/>
    <w:rsid w:val="005F6740"/>
    <w:rsid w:val="005F7940"/>
    <w:rsid w:val="006000EA"/>
    <w:rsid w:val="00600271"/>
    <w:rsid w:val="006015C3"/>
    <w:rsid w:val="0060192A"/>
    <w:rsid w:val="00604B46"/>
    <w:rsid w:val="006059BE"/>
    <w:rsid w:val="006072C6"/>
    <w:rsid w:val="00607554"/>
    <w:rsid w:val="00607CD1"/>
    <w:rsid w:val="00612CD5"/>
    <w:rsid w:val="006130F6"/>
    <w:rsid w:val="00613C23"/>
    <w:rsid w:val="006152B9"/>
    <w:rsid w:val="006158BA"/>
    <w:rsid w:val="00617175"/>
    <w:rsid w:val="006171FD"/>
    <w:rsid w:val="006172CD"/>
    <w:rsid w:val="006216D9"/>
    <w:rsid w:val="00621E1D"/>
    <w:rsid w:val="00621F3C"/>
    <w:rsid w:val="00622BA1"/>
    <w:rsid w:val="00623C44"/>
    <w:rsid w:val="00625C7F"/>
    <w:rsid w:val="006301EB"/>
    <w:rsid w:val="00630C3B"/>
    <w:rsid w:val="00631505"/>
    <w:rsid w:val="006327F5"/>
    <w:rsid w:val="0063491D"/>
    <w:rsid w:val="006368C7"/>
    <w:rsid w:val="00640D08"/>
    <w:rsid w:val="00642706"/>
    <w:rsid w:val="00642A13"/>
    <w:rsid w:val="00642A8F"/>
    <w:rsid w:val="006437DA"/>
    <w:rsid w:val="00643ECB"/>
    <w:rsid w:val="0064401B"/>
    <w:rsid w:val="0064422C"/>
    <w:rsid w:val="00645170"/>
    <w:rsid w:val="00645391"/>
    <w:rsid w:val="0064584C"/>
    <w:rsid w:val="006521DC"/>
    <w:rsid w:val="0065242B"/>
    <w:rsid w:val="00652638"/>
    <w:rsid w:val="0065458B"/>
    <w:rsid w:val="00654A2F"/>
    <w:rsid w:val="00655A5B"/>
    <w:rsid w:val="00655AC4"/>
    <w:rsid w:val="00655DDC"/>
    <w:rsid w:val="0065707C"/>
    <w:rsid w:val="00660C81"/>
    <w:rsid w:val="00662E16"/>
    <w:rsid w:val="00662E83"/>
    <w:rsid w:val="00663E95"/>
    <w:rsid w:val="00664263"/>
    <w:rsid w:val="00664F45"/>
    <w:rsid w:val="00666BF3"/>
    <w:rsid w:val="006706A5"/>
    <w:rsid w:val="006709E7"/>
    <w:rsid w:val="0067116A"/>
    <w:rsid w:val="00671D61"/>
    <w:rsid w:val="00672851"/>
    <w:rsid w:val="00673B03"/>
    <w:rsid w:val="00677076"/>
    <w:rsid w:val="00680324"/>
    <w:rsid w:val="006811E0"/>
    <w:rsid w:val="0068197D"/>
    <w:rsid w:val="0068375B"/>
    <w:rsid w:val="00685438"/>
    <w:rsid w:val="00685C47"/>
    <w:rsid w:val="00686195"/>
    <w:rsid w:val="00686FE9"/>
    <w:rsid w:val="0068734F"/>
    <w:rsid w:val="006873CB"/>
    <w:rsid w:val="006878D9"/>
    <w:rsid w:val="00690B33"/>
    <w:rsid w:val="00690F25"/>
    <w:rsid w:val="00693910"/>
    <w:rsid w:val="00694B21"/>
    <w:rsid w:val="00695654"/>
    <w:rsid w:val="006963AB"/>
    <w:rsid w:val="006A0550"/>
    <w:rsid w:val="006A0B82"/>
    <w:rsid w:val="006A29BE"/>
    <w:rsid w:val="006A695D"/>
    <w:rsid w:val="006A757F"/>
    <w:rsid w:val="006A780B"/>
    <w:rsid w:val="006B075F"/>
    <w:rsid w:val="006B0A91"/>
    <w:rsid w:val="006B1632"/>
    <w:rsid w:val="006B247F"/>
    <w:rsid w:val="006B460D"/>
    <w:rsid w:val="006C11F4"/>
    <w:rsid w:val="006C56A5"/>
    <w:rsid w:val="006C5BFF"/>
    <w:rsid w:val="006C5D46"/>
    <w:rsid w:val="006C5DAF"/>
    <w:rsid w:val="006D0207"/>
    <w:rsid w:val="006D04EE"/>
    <w:rsid w:val="006D3169"/>
    <w:rsid w:val="006D6913"/>
    <w:rsid w:val="006D6E56"/>
    <w:rsid w:val="006E0ACD"/>
    <w:rsid w:val="006E0E1A"/>
    <w:rsid w:val="006E14B3"/>
    <w:rsid w:val="006E270D"/>
    <w:rsid w:val="006E3777"/>
    <w:rsid w:val="006E431C"/>
    <w:rsid w:val="006E50F1"/>
    <w:rsid w:val="006F133A"/>
    <w:rsid w:val="006F32C7"/>
    <w:rsid w:val="006F381F"/>
    <w:rsid w:val="006F4482"/>
    <w:rsid w:val="006F54FA"/>
    <w:rsid w:val="00700664"/>
    <w:rsid w:val="00701FAC"/>
    <w:rsid w:val="00702EF7"/>
    <w:rsid w:val="00703DA2"/>
    <w:rsid w:val="00704A66"/>
    <w:rsid w:val="00706691"/>
    <w:rsid w:val="007078B7"/>
    <w:rsid w:val="00710EAE"/>
    <w:rsid w:val="00711A13"/>
    <w:rsid w:val="007132B5"/>
    <w:rsid w:val="00715D19"/>
    <w:rsid w:val="0071619B"/>
    <w:rsid w:val="00716DBB"/>
    <w:rsid w:val="00717887"/>
    <w:rsid w:val="00717AA6"/>
    <w:rsid w:val="0072235F"/>
    <w:rsid w:val="0072487D"/>
    <w:rsid w:val="00727163"/>
    <w:rsid w:val="00730AC7"/>
    <w:rsid w:val="0073142B"/>
    <w:rsid w:val="00733D05"/>
    <w:rsid w:val="00735260"/>
    <w:rsid w:val="00737F05"/>
    <w:rsid w:val="007431F5"/>
    <w:rsid w:val="00745908"/>
    <w:rsid w:val="0074764A"/>
    <w:rsid w:val="007477F4"/>
    <w:rsid w:val="0075282E"/>
    <w:rsid w:val="00752F02"/>
    <w:rsid w:val="00754AB5"/>
    <w:rsid w:val="00755CA9"/>
    <w:rsid w:val="0075617D"/>
    <w:rsid w:val="00756930"/>
    <w:rsid w:val="00757C4B"/>
    <w:rsid w:val="00761B0B"/>
    <w:rsid w:val="007631E0"/>
    <w:rsid w:val="00764153"/>
    <w:rsid w:val="00765781"/>
    <w:rsid w:val="00766353"/>
    <w:rsid w:val="0076653C"/>
    <w:rsid w:val="00771A9F"/>
    <w:rsid w:val="00774681"/>
    <w:rsid w:val="00774DE4"/>
    <w:rsid w:val="00780296"/>
    <w:rsid w:val="00780972"/>
    <w:rsid w:val="00781D9D"/>
    <w:rsid w:val="00786E8E"/>
    <w:rsid w:val="007873C3"/>
    <w:rsid w:val="00787B2C"/>
    <w:rsid w:val="00787D24"/>
    <w:rsid w:val="007903C1"/>
    <w:rsid w:val="0079143A"/>
    <w:rsid w:val="007915C2"/>
    <w:rsid w:val="00791813"/>
    <w:rsid w:val="00794DE7"/>
    <w:rsid w:val="007A1DC5"/>
    <w:rsid w:val="007A20AD"/>
    <w:rsid w:val="007A5D05"/>
    <w:rsid w:val="007A7331"/>
    <w:rsid w:val="007A7415"/>
    <w:rsid w:val="007B0CB0"/>
    <w:rsid w:val="007B3A86"/>
    <w:rsid w:val="007B3DF4"/>
    <w:rsid w:val="007B4823"/>
    <w:rsid w:val="007B54ED"/>
    <w:rsid w:val="007C0279"/>
    <w:rsid w:val="007C2A81"/>
    <w:rsid w:val="007C2B78"/>
    <w:rsid w:val="007C31CC"/>
    <w:rsid w:val="007C37F1"/>
    <w:rsid w:val="007C3E46"/>
    <w:rsid w:val="007C5B2A"/>
    <w:rsid w:val="007D0E00"/>
    <w:rsid w:val="007D1913"/>
    <w:rsid w:val="007D298C"/>
    <w:rsid w:val="007D3420"/>
    <w:rsid w:val="007D5362"/>
    <w:rsid w:val="007D6C48"/>
    <w:rsid w:val="007D71F7"/>
    <w:rsid w:val="007D71FA"/>
    <w:rsid w:val="007E000F"/>
    <w:rsid w:val="007E156E"/>
    <w:rsid w:val="007E2C46"/>
    <w:rsid w:val="007E2E70"/>
    <w:rsid w:val="007E3501"/>
    <w:rsid w:val="007E3BBC"/>
    <w:rsid w:val="007E5E28"/>
    <w:rsid w:val="007E7953"/>
    <w:rsid w:val="007E7D04"/>
    <w:rsid w:val="007F1ABF"/>
    <w:rsid w:val="007F2956"/>
    <w:rsid w:val="007F2CB5"/>
    <w:rsid w:val="007F2E32"/>
    <w:rsid w:val="007F682E"/>
    <w:rsid w:val="007F6A11"/>
    <w:rsid w:val="007F74EC"/>
    <w:rsid w:val="008002AA"/>
    <w:rsid w:val="008014C3"/>
    <w:rsid w:val="00802783"/>
    <w:rsid w:val="00803F05"/>
    <w:rsid w:val="00805434"/>
    <w:rsid w:val="00814E45"/>
    <w:rsid w:val="00820001"/>
    <w:rsid w:val="00823AF1"/>
    <w:rsid w:val="00824CEF"/>
    <w:rsid w:val="00824E89"/>
    <w:rsid w:val="00826480"/>
    <w:rsid w:val="00830148"/>
    <w:rsid w:val="008316AD"/>
    <w:rsid w:val="00831855"/>
    <w:rsid w:val="00835315"/>
    <w:rsid w:val="00835AEB"/>
    <w:rsid w:val="00840D0F"/>
    <w:rsid w:val="00842A84"/>
    <w:rsid w:val="00842FDE"/>
    <w:rsid w:val="00843A89"/>
    <w:rsid w:val="00844049"/>
    <w:rsid w:val="008445D4"/>
    <w:rsid w:val="008446F1"/>
    <w:rsid w:val="00846FF0"/>
    <w:rsid w:val="00852CA4"/>
    <w:rsid w:val="00854B56"/>
    <w:rsid w:val="0085728C"/>
    <w:rsid w:val="008611A4"/>
    <w:rsid w:val="00861FD7"/>
    <w:rsid w:val="0086363F"/>
    <w:rsid w:val="00865E17"/>
    <w:rsid w:val="00866766"/>
    <w:rsid w:val="00866D13"/>
    <w:rsid w:val="008678A4"/>
    <w:rsid w:val="008678C2"/>
    <w:rsid w:val="00874350"/>
    <w:rsid w:val="008754DA"/>
    <w:rsid w:val="0088013C"/>
    <w:rsid w:val="008801A2"/>
    <w:rsid w:val="00880F2C"/>
    <w:rsid w:val="00881882"/>
    <w:rsid w:val="00882AC7"/>
    <w:rsid w:val="00884452"/>
    <w:rsid w:val="008905D7"/>
    <w:rsid w:val="008921DC"/>
    <w:rsid w:val="00894F4D"/>
    <w:rsid w:val="00895B87"/>
    <w:rsid w:val="00895F57"/>
    <w:rsid w:val="008960B7"/>
    <w:rsid w:val="008962F2"/>
    <w:rsid w:val="00896511"/>
    <w:rsid w:val="008975E7"/>
    <w:rsid w:val="008A067A"/>
    <w:rsid w:val="008A08D2"/>
    <w:rsid w:val="008A0DE1"/>
    <w:rsid w:val="008A2E7B"/>
    <w:rsid w:val="008B13E7"/>
    <w:rsid w:val="008B1D85"/>
    <w:rsid w:val="008B38B1"/>
    <w:rsid w:val="008B3920"/>
    <w:rsid w:val="008B4229"/>
    <w:rsid w:val="008B478A"/>
    <w:rsid w:val="008B5B9D"/>
    <w:rsid w:val="008B6F16"/>
    <w:rsid w:val="008C01FE"/>
    <w:rsid w:val="008C0618"/>
    <w:rsid w:val="008C2B6F"/>
    <w:rsid w:val="008C465E"/>
    <w:rsid w:val="008C4752"/>
    <w:rsid w:val="008C4CE4"/>
    <w:rsid w:val="008C73D6"/>
    <w:rsid w:val="008D0C62"/>
    <w:rsid w:val="008D2CD6"/>
    <w:rsid w:val="008D3565"/>
    <w:rsid w:val="008D4939"/>
    <w:rsid w:val="008D6E6F"/>
    <w:rsid w:val="008E3D60"/>
    <w:rsid w:val="008E5F6C"/>
    <w:rsid w:val="008E7390"/>
    <w:rsid w:val="008F05C2"/>
    <w:rsid w:val="008F1F00"/>
    <w:rsid w:val="008F2382"/>
    <w:rsid w:val="008F2BA7"/>
    <w:rsid w:val="008F42BB"/>
    <w:rsid w:val="008F4320"/>
    <w:rsid w:val="008F47D1"/>
    <w:rsid w:val="008F79AE"/>
    <w:rsid w:val="009000CA"/>
    <w:rsid w:val="0090192D"/>
    <w:rsid w:val="00905434"/>
    <w:rsid w:val="00905C39"/>
    <w:rsid w:val="00905C9B"/>
    <w:rsid w:val="00905FD8"/>
    <w:rsid w:val="009072F6"/>
    <w:rsid w:val="00907620"/>
    <w:rsid w:val="00907697"/>
    <w:rsid w:val="00910052"/>
    <w:rsid w:val="009113AE"/>
    <w:rsid w:val="00912262"/>
    <w:rsid w:val="009152F2"/>
    <w:rsid w:val="00920BD4"/>
    <w:rsid w:val="00921F3C"/>
    <w:rsid w:val="00924F4A"/>
    <w:rsid w:val="009259EF"/>
    <w:rsid w:val="009273A0"/>
    <w:rsid w:val="00927725"/>
    <w:rsid w:val="00927DC4"/>
    <w:rsid w:val="009304FE"/>
    <w:rsid w:val="00930782"/>
    <w:rsid w:val="009310F0"/>
    <w:rsid w:val="0093237C"/>
    <w:rsid w:val="0093422B"/>
    <w:rsid w:val="00934BDE"/>
    <w:rsid w:val="00934D92"/>
    <w:rsid w:val="0093570A"/>
    <w:rsid w:val="009363C8"/>
    <w:rsid w:val="00936EC8"/>
    <w:rsid w:val="00943F6E"/>
    <w:rsid w:val="00944BF1"/>
    <w:rsid w:val="00945828"/>
    <w:rsid w:val="00945D59"/>
    <w:rsid w:val="00946E1E"/>
    <w:rsid w:val="00947F9D"/>
    <w:rsid w:val="00951D24"/>
    <w:rsid w:val="00952049"/>
    <w:rsid w:val="00953BC2"/>
    <w:rsid w:val="009565E3"/>
    <w:rsid w:val="00956972"/>
    <w:rsid w:val="009572B3"/>
    <w:rsid w:val="0095737A"/>
    <w:rsid w:val="00961E91"/>
    <w:rsid w:val="0096670F"/>
    <w:rsid w:val="00966A01"/>
    <w:rsid w:val="009720AE"/>
    <w:rsid w:val="00974568"/>
    <w:rsid w:val="00977973"/>
    <w:rsid w:val="00980D3F"/>
    <w:rsid w:val="00981F79"/>
    <w:rsid w:val="009834E9"/>
    <w:rsid w:val="009850EF"/>
    <w:rsid w:val="009868FC"/>
    <w:rsid w:val="00987295"/>
    <w:rsid w:val="0099107A"/>
    <w:rsid w:val="00991A16"/>
    <w:rsid w:val="009920D5"/>
    <w:rsid w:val="00992AC8"/>
    <w:rsid w:val="00993BEE"/>
    <w:rsid w:val="009957BC"/>
    <w:rsid w:val="009961EE"/>
    <w:rsid w:val="009A0BF1"/>
    <w:rsid w:val="009A3F78"/>
    <w:rsid w:val="009A43AF"/>
    <w:rsid w:val="009B0086"/>
    <w:rsid w:val="009B4E8F"/>
    <w:rsid w:val="009B5F8C"/>
    <w:rsid w:val="009B7B80"/>
    <w:rsid w:val="009B7FCB"/>
    <w:rsid w:val="009C07DF"/>
    <w:rsid w:val="009C0E2E"/>
    <w:rsid w:val="009C190C"/>
    <w:rsid w:val="009C2436"/>
    <w:rsid w:val="009C3A87"/>
    <w:rsid w:val="009C596F"/>
    <w:rsid w:val="009C79CB"/>
    <w:rsid w:val="009D21D0"/>
    <w:rsid w:val="009D2FBA"/>
    <w:rsid w:val="009D351E"/>
    <w:rsid w:val="009D7787"/>
    <w:rsid w:val="009E02C9"/>
    <w:rsid w:val="009E2A96"/>
    <w:rsid w:val="009E3597"/>
    <w:rsid w:val="009E39DC"/>
    <w:rsid w:val="009E5645"/>
    <w:rsid w:val="009E56B4"/>
    <w:rsid w:val="009F11F6"/>
    <w:rsid w:val="009F21C1"/>
    <w:rsid w:val="009F2690"/>
    <w:rsid w:val="009F43C3"/>
    <w:rsid w:val="009F465A"/>
    <w:rsid w:val="009F7A56"/>
    <w:rsid w:val="00A00BD3"/>
    <w:rsid w:val="00A013C6"/>
    <w:rsid w:val="00A020B4"/>
    <w:rsid w:val="00A043FE"/>
    <w:rsid w:val="00A04DF0"/>
    <w:rsid w:val="00A05916"/>
    <w:rsid w:val="00A05AA6"/>
    <w:rsid w:val="00A06192"/>
    <w:rsid w:val="00A06639"/>
    <w:rsid w:val="00A07065"/>
    <w:rsid w:val="00A073EF"/>
    <w:rsid w:val="00A07FC9"/>
    <w:rsid w:val="00A11861"/>
    <w:rsid w:val="00A11C29"/>
    <w:rsid w:val="00A1266A"/>
    <w:rsid w:val="00A1389B"/>
    <w:rsid w:val="00A1622A"/>
    <w:rsid w:val="00A16EEB"/>
    <w:rsid w:val="00A20D7E"/>
    <w:rsid w:val="00A2114F"/>
    <w:rsid w:val="00A2216E"/>
    <w:rsid w:val="00A22F5A"/>
    <w:rsid w:val="00A2370B"/>
    <w:rsid w:val="00A23F13"/>
    <w:rsid w:val="00A27A18"/>
    <w:rsid w:val="00A27ACC"/>
    <w:rsid w:val="00A27C20"/>
    <w:rsid w:val="00A30EA6"/>
    <w:rsid w:val="00A31406"/>
    <w:rsid w:val="00A31523"/>
    <w:rsid w:val="00A31536"/>
    <w:rsid w:val="00A33D86"/>
    <w:rsid w:val="00A346FE"/>
    <w:rsid w:val="00A34920"/>
    <w:rsid w:val="00A36E14"/>
    <w:rsid w:val="00A40446"/>
    <w:rsid w:val="00A41988"/>
    <w:rsid w:val="00A437BB"/>
    <w:rsid w:val="00A45E9D"/>
    <w:rsid w:val="00A46C9F"/>
    <w:rsid w:val="00A4716C"/>
    <w:rsid w:val="00A47535"/>
    <w:rsid w:val="00A5127C"/>
    <w:rsid w:val="00A5273A"/>
    <w:rsid w:val="00A52978"/>
    <w:rsid w:val="00A53130"/>
    <w:rsid w:val="00A5412B"/>
    <w:rsid w:val="00A546C5"/>
    <w:rsid w:val="00A573A6"/>
    <w:rsid w:val="00A57C4A"/>
    <w:rsid w:val="00A6042C"/>
    <w:rsid w:val="00A64735"/>
    <w:rsid w:val="00A664A2"/>
    <w:rsid w:val="00A66B50"/>
    <w:rsid w:val="00A66D18"/>
    <w:rsid w:val="00A71393"/>
    <w:rsid w:val="00A71720"/>
    <w:rsid w:val="00A7322E"/>
    <w:rsid w:val="00A747F4"/>
    <w:rsid w:val="00A77072"/>
    <w:rsid w:val="00A81BA0"/>
    <w:rsid w:val="00A82079"/>
    <w:rsid w:val="00A82732"/>
    <w:rsid w:val="00A8510A"/>
    <w:rsid w:val="00A85226"/>
    <w:rsid w:val="00A860D4"/>
    <w:rsid w:val="00A87BC8"/>
    <w:rsid w:val="00A92240"/>
    <w:rsid w:val="00A94058"/>
    <w:rsid w:val="00A944A8"/>
    <w:rsid w:val="00A973D1"/>
    <w:rsid w:val="00AA0388"/>
    <w:rsid w:val="00AA4898"/>
    <w:rsid w:val="00AA5C5A"/>
    <w:rsid w:val="00AB1C24"/>
    <w:rsid w:val="00AB2C4F"/>
    <w:rsid w:val="00AB437E"/>
    <w:rsid w:val="00AB4F4F"/>
    <w:rsid w:val="00AB5F73"/>
    <w:rsid w:val="00AB6968"/>
    <w:rsid w:val="00AB699B"/>
    <w:rsid w:val="00AC113A"/>
    <w:rsid w:val="00AC2919"/>
    <w:rsid w:val="00AC3473"/>
    <w:rsid w:val="00AC44BA"/>
    <w:rsid w:val="00AC4746"/>
    <w:rsid w:val="00AC5FB9"/>
    <w:rsid w:val="00AC7204"/>
    <w:rsid w:val="00AD07F3"/>
    <w:rsid w:val="00AD43A3"/>
    <w:rsid w:val="00AD4485"/>
    <w:rsid w:val="00AD5C38"/>
    <w:rsid w:val="00AD6E90"/>
    <w:rsid w:val="00AE2D37"/>
    <w:rsid w:val="00AE2D7B"/>
    <w:rsid w:val="00AE3667"/>
    <w:rsid w:val="00AE3EE8"/>
    <w:rsid w:val="00AE655A"/>
    <w:rsid w:val="00AE7F8B"/>
    <w:rsid w:val="00AF0AC1"/>
    <w:rsid w:val="00AF15D1"/>
    <w:rsid w:val="00AF16AA"/>
    <w:rsid w:val="00AF1F4E"/>
    <w:rsid w:val="00AF4E66"/>
    <w:rsid w:val="00AF56AF"/>
    <w:rsid w:val="00AF6DD9"/>
    <w:rsid w:val="00AF781E"/>
    <w:rsid w:val="00B011C9"/>
    <w:rsid w:val="00B03703"/>
    <w:rsid w:val="00B05067"/>
    <w:rsid w:val="00B05C76"/>
    <w:rsid w:val="00B07E37"/>
    <w:rsid w:val="00B10CEB"/>
    <w:rsid w:val="00B10F4E"/>
    <w:rsid w:val="00B11E5B"/>
    <w:rsid w:val="00B146AF"/>
    <w:rsid w:val="00B148A4"/>
    <w:rsid w:val="00B14F38"/>
    <w:rsid w:val="00B1511A"/>
    <w:rsid w:val="00B15D08"/>
    <w:rsid w:val="00B20655"/>
    <w:rsid w:val="00B20AC4"/>
    <w:rsid w:val="00B21832"/>
    <w:rsid w:val="00B22809"/>
    <w:rsid w:val="00B2631A"/>
    <w:rsid w:val="00B265B1"/>
    <w:rsid w:val="00B303F0"/>
    <w:rsid w:val="00B312A4"/>
    <w:rsid w:val="00B32D74"/>
    <w:rsid w:val="00B34952"/>
    <w:rsid w:val="00B3533C"/>
    <w:rsid w:val="00B35695"/>
    <w:rsid w:val="00B35D17"/>
    <w:rsid w:val="00B40231"/>
    <w:rsid w:val="00B40C7A"/>
    <w:rsid w:val="00B419E0"/>
    <w:rsid w:val="00B4266C"/>
    <w:rsid w:val="00B42F5F"/>
    <w:rsid w:val="00B44516"/>
    <w:rsid w:val="00B506EB"/>
    <w:rsid w:val="00B508E9"/>
    <w:rsid w:val="00B51B80"/>
    <w:rsid w:val="00B52B1B"/>
    <w:rsid w:val="00B531F1"/>
    <w:rsid w:val="00B555ED"/>
    <w:rsid w:val="00B56E5D"/>
    <w:rsid w:val="00B6173F"/>
    <w:rsid w:val="00B64C58"/>
    <w:rsid w:val="00B676DC"/>
    <w:rsid w:val="00B70517"/>
    <w:rsid w:val="00B7181E"/>
    <w:rsid w:val="00B72809"/>
    <w:rsid w:val="00B751FF"/>
    <w:rsid w:val="00B75BB3"/>
    <w:rsid w:val="00B8045B"/>
    <w:rsid w:val="00B80D03"/>
    <w:rsid w:val="00B81952"/>
    <w:rsid w:val="00B910D7"/>
    <w:rsid w:val="00B9185F"/>
    <w:rsid w:val="00B918B1"/>
    <w:rsid w:val="00B92D56"/>
    <w:rsid w:val="00B95A7D"/>
    <w:rsid w:val="00B96A3D"/>
    <w:rsid w:val="00BA26FE"/>
    <w:rsid w:val="00BA4EA6"/>
    <w:rsid w:val="00BA657A"/>
    <w:rsid w:val="00BB25C7"/>
    <w:rsid w:val="00BB276B"/>
    <w:rsid w:val="00BB2F66"/>
    <w:rsid w:val="00BB354F"/>
    <w:rsid w:val="00BB36A8"/>
    <w:rsid w:val="00BB4825"/>
    <w:rsid w:val="00BB4F94"/>
    <w:rsid w:val="00BB5B0A"/>
    <w:rsid w:val="00BB5DE9"/>
    <w:rsid w:val="00BB700A"/>
    <w:rsid w:val="00BC108B"/>
    <w:rsid w:val="00BC12B6"/>
    <w:rsid w:val="00BC207B"/>
    <w:rsid w:val="00BC283F"/>
    <w:rsid w:val="00BC2DCC"/>
    <w:rsid w:val="00BC321A"/>
    <w:rsid w:val="00BC5C7E"/>
    <w:rsid w:val="00BD1E93"/>
    <w:rsid w:val="00BD2684"/>
    <w:rsid w:val="00BD27A4"/>
    <w:rsid w:val="00BD57BE"/>
    <w:rsid w:val="00BE1981"/>
    <w:rsid w:val="00BE1985"/>
    <w:rsid w:val="00BE26EB"/>
    <w:rsid w:val="00BE2DFC"/>
    <w:rsid w:val="00BE37E1"/>
    <w:rsid w:val="00BE689F"/>
    <w:rsid w:val="00BE6BBF"/>
    <w:rsid w:val="00BE7C36"/>
    <w:rsid w:val="00BF335C"/>
    <w:rsid w:val="00BF48C1"/>
    <w:rsid w:val="00BF5828"/>
    <w:rsid w:val="00C00570"/>
    <w:rsid w:val="00C00AE5"/>
    <w:rsid w:val="00C00CE1"/>
    <w:rsid w:val="00C030B3"/>
    <w:rsid w:val="00C03981"/>
    <w:rsid w:val="00C03E6B"/>
    <w:rsid w:val="00C03F51"/>
    <w:rsid w:val="00C04218"/>
    <w:rsid w:val="00C05103"/>
    <w:rsid w:val="00C0704F"/>
    <w:rsid w:val="00C07844"/>
    <w:rsid w:val="00C1369E"/>
    <w:rsid w:val="00C13ED1"/>
    <w:rsid w:val="00C1408E"/>
    <w:rsid w:val="00C14801"/>
    <w:rsid w:val="00C14D24"/>
    <w:rsid w:val="00C15225"/>
    <w:rsid w:val="00C16966"/>
    <w:rsid w:val="00C25EB9"/>
    <w:rsid w:val="00C26422"/>
    <w:rsid w:val="00C26C7C"/>
    <w:rsid w:val="00C27327"/>
    <w:rsid w:val="00C32484"/>
    <w:rsid w:val="00C3269F"/>
    <w:rsid w:val="00C363DB"/>
    <w:rsid w:val="00C41F4A"/>
    <w:rsid w:val="00C42CFC"/>
    <w:rsid w:val="00C44D0D"/>
    <w:rsid w:val="00C45358"/>
    <w:rsid w:val="00C45513"/>
    <w:rsid w:val="00C45969"/>
    <w:rsid w:val="00C4681F"/>
    <w:rsid w:val="00C4799E"/>
    <w:rsid w:val="00C51391"/>
    <w:rsid w:val="00C52998"/>
    <w:rsid w:val="00C56CDC"/>
    <w:rsid w:val="00C6107C"/>
    <w:rsid w:val="00C621F1"/>
    <w:rsid w:val="00C62588"/>
    <w:rsid w:val="00C648FC"/>
    <w:rsid w:val="00C65E9D"/>
    <w:rsid w:val="00C70497"/>
    <w:rsid w:val="00C704B8"/>
    <w:rsid w:val="00C726B8"/>
    <w:rsid w:val="00C74E95"/>
    <w:rsid w:val="00C809A2"/>
    <w:rsid w:val="00C81097"/>
    <w:rsid w:val="00C81704"/>
    <w:rsid w:val="00C837CC"/>
    <w:rsid w:val="00C869F3"/>
    <w:rsid w:val="00C86F0C"/>
    <w:rsid w:val="00C87880"/>
    <w:rsid w:val="00C918DF"/>
    <w:rsid w:val="00C93939"/>
    <w:rsid w:val="00C93DC0"/>
    <w:rsid w:val="00C96BC5"/>
    <w:rsid w:val="00C97BC9"/>
    <w:rsid w:val="00C97D76"/>
    <w:rsid w:val="00CA1710"/>
    <w:rsid w:val="00CA1972"/>
    <w:rsid w:val="00CA1C47"/>
    <w:rsid w:val="00CA1E09"/>
    <w:rsid w:val="00CA3612"/>
    <w:rsid w:val="00CA372D"/>
    <w:rsid w:val="00CA4C2D"/>
    <w:rsid w:val="00CA63A8"/>
    <w:rsid w:val="00CA6536"/>
    <w:rsid w:val="00CA6B73"/>
    <w:rsid w:val="00CA6BAF"/>
    <w:rsid w:val="00CB0B66"/>
    <w:rsid w:val="00CB389F"/>
    <w:rsid w:val="00CB5982"/>
    <w:rsid w:val="00CB6336"/>
    <w:rsid w:val="00CB6E78"/>
    <w:rsid w:val="00CC14C4"/>
    <w:rsid w:val="00CC1F9E"/>
    <w:rsid w:val="00CC54C3"/>
    <w:rsid w:val="00CC5812"/>
    <w:rsid w:val="00CC6BD1"/>
    <w:rsid w:val="00CC714E"/>
    <w:rsid w:val="00CD1C84"/>
    <w:rsid w:val="00CD32A8"/>
    <w:rsid w:val="00CD57AA"/>
    <w:rsid w:val="00CD5D7F"/>
    <w:rsid w:val="00CD7494"/>
    <w:rsid w:val="00CD7578"/>
    <w:rsid w:val="00CD7D3D"/>
    <w:rsid w:val="00CE15B3"/>
    <w:rsid w:val="00CE186F"/>
    <w:rsid w:val="00CE200F"/>
    <w:rsid w:val="00CE23AA"/>
    <w:rsid w:val="00CE3041"/>
    <w:rsid w:val="00CE3475"/>
    <w:rsid w:val="00CE4799"/>
    <w:rsid w:val="00CE55DA"/>
    <w:rsid w:val="00CE5DB6"/>
    <w:rsid w:val="00CE6615"/>
    <w:rsid w:val="00CE6674"/>
    <w:rsid w:val="00CE680F"/>
    <w:rsid w:val="00CE69C0"/>
    <w:rsid w:val="00CF0BAF"/>
    <w:rsid w:val="00CF1884"/>
    <w:rsid w:val="00CF303B"/>
    <w:rsid w:val="00CF361F"/>
    <w:rsid w:val="00CF56F3"/>
    <w:rsid w:val="00D023DE"/>
    <w:rsid w:val="00D025A0"/>
    <w:rsid w:val="00D04F78"/>
    <w:rsid w:val="00D05704"/>
    <w:rsid w:val="00D05DE9"/>
    <w:rsid w:val="00D12493"/>
    <w:rsid w:val="00D14EF9"/>
    <w:rsid w:val="00D201F0"/>
    <w:rsid w:val="00D21282"/>
    <w:rsid w:val="00D233EE"/>
    <w:rsid w:val="00D2377A"/>
    <w:rsid w:val="00D23D51"/>
    <w:rsid w:val="00D25376"/>
    <w:rsid w:val="00D2685E"/>
    <w:rsid w:val="00D26FD4"/>
    <w:rsid w:val="00D27632"/>
    <w:rsid w:val="00D304BF"/>
    <w:rsid w:val="00D307F8"/>
    <w:rsid w:val="00D30E85"/>
    <w:rsid w:val="00D31C7D"/>
    <w:rsid w:val="00D325CD"/>
    <w:rsid w:val="00D33BAD"/>
    <w:rsid w:val="00D3501F"/>
    <w:rsid w:val="00D36224"/>
    <w:rsid w:val="00D413C7"/>
    <w:rsid w:val="00D416AA"/>
    <w:rsid w:val="00D41A37"/>
    <w:rsid w:val="00D42FCD"/>
    <w:rsid w:val="00D432B7"/>
    <w:rsid w:val="00D50742"/>
    <w:rsid w:val="00D50EE4"/>
    <w:rsid w:val="00D540B2"/>
    <w:rsid w:val="00D5492C"/>
    <w:rsid w:val="00D556A2"/>
    <w:rsid w:val="00D55FDF"/>
    <w:rsid w:val="00D5673B"/>
    <w:rsid w:val="00D56769"/>
    <w:rsid w:val="00D56F3D"/>
    <w:rsid w:val="00D63483"/>
    <w:rsid w:val="00D63FC0"/>
    <w:rsid w:val="00D65037"/>
    <w:rsid w:val="00D66661"/>
    <w:rsid w:val="00D7208D"/>
    <w:rsid w:val="00D74447"/>
    <w:rsid w:val="00D7499D"/>
    <w:rsid w:val="00D75B68"/>
    <w:rsid w:val="00D75DD0"/>
    <w:rsid w:val="00D76810"/>
    <w:rsid w:val="00D76EF3"/>
    <w:rsid w:val="00D81263"/>
    <w:rsid w:val="00D8200D"/>
    <w:rsid w:val="00D833BF"/>
    <w:rsid w:val="00D83927"/>
    <w:rsid w:val="00D8402B"/>
    <w:rsid w:val="00D84DAA"/>
    <w:rsid w:val="00D85E86"/>
    <w:rsid w:val="00D860B0"/>
    <w:rsid w:val="00D867A5"/>
    <w:rsid w:val="00D93A22"/>
    <w:rsid w:val="00D954F4"/>
    <w:rsid w:val="00D958DD"/>
    <w:rsid w:val="00D964B5"/>
    <w:rsid w:val="00DA3675"/>
    <w:rsid w:val="00DA5CB5"/>
    <w:rsid w:val="00DA7199"/>
    <w:rsid w:val="00DB07BF"/>
    <w:rsid w:val="00DB56B4"/>
    <w:rsid w:val="00DB7A7C"/>
    <w:rsid w:val="00DC07A5"/>
    <w:rsid w:val="00DC0B14"/>
    <w:rsid w:val="00DC134F"/>
    <w:rsid w:val="00DC2DC4"/>
    <w:rsid w:val="00DC2E86"/>
    <w:rsid w:val="00DC4F0E"/>
    <w:rsid w:val="00DC5F21"/>
    <w:rsid w:val="00DC6174"/>
    <w:rsid w:val="00DD0028"/>
    <w:rsid w:val="00DD009F"/>
    <w:rsid w:val="00DD0EEF"/>
    <w:rsid w:val="00DD0FE1"/>
    <w:rsid w:val="00DD461A"/>
    <w:rsid w:val="00DD479B"/>
    <w:rsid w:val="00DD4AD2"/>
    <w:rsid w:val="00DD58FD"/>
    <w:rsid w:val="00DD6697"/>
    <w:rsid w:val="00DD7963"/>
    <w:rsid w:val="00DE06E8"/>
    <w:rsid w:val="00DE1030"/>
    <w:rsid w:val="00DE167F"/>
    <w:rsid w:val="00DE177E"/>
    <w:rsid w:val="00DE1F57"/>
    <w:rsid w:val="00DE2507"/>
    <w:rsid w:val="00DE2A20"/>
    <w:rsid w:val="00DE3207"/>
    <w:rsid w:val="00DE5045"/>
    <w:rsid w:val="00DE5D05"/>
    <w:rsid w:val="00DE5E2D"/>
    <w:rsid w:val="00DE6CE8"/>
    <w:rsid w:val="00DE6DAB"/>
    <w:rsid w:val="00DE7AB3"/>
    <w:rsid w:val="00DF0036"/>
    <w:rsid w:val="00DF009D"/>
    <w:rsid w:val="00DF0724"/>
    <w:rsid w:val="00DF2C28"/>
    <w:rsid w:val="00DF4141"/>
    <w:rsid w:val="00DF4AA9"/>
    <w:rsid w:val="00DF7AAA"/>
    <w:rsid w:val="00E0107E"/>
    <w:rsid w:val="00E05801"/>
    <w:rsid w:val="00E05C7D"/>
    <w:rsid w:val="00E06113"/>
    <w:rsid w:val="00E064FC"/>
    <w:rsid w:val="00E1053D"/>
    <w:rsid w:val="00E11730"/>
    <w:rsid w:val="00E12301"/>
    <w:rsid w:val="00E12E16"/>
    <w:rsid w:val="00E13CEA"/>
    <w:rsid w:val="00E14272"/>
    <w:rsid w:val="00E1648B"/>
    <w:rsid w:val="00E240F1"/>
    <w:rsid w:val="00E25274"/>
    <w:rsid w:val="00E26111"/>
    <w:rsid w:val="00E266C1"/>
    <w:rsid w:val="00E26BB3"/>
    <w:rsid w:val="00E26E0C"/>
    <w:rsid w:val="00E27DF4"/>
    <w:rsid w:val="00E302B8"/>
    <w:rsid w:val="00E31C44"/>
    <w:rsid w:val="00E31E59"/>
    <w:rsid w:val="00E32452"/>
    <w:rsid w:val="00E32EB4"/>
    <w:rsid w:val="00E34401"/>
    <w:rsid w:val="00E34738"/>
    <w:rsid w:val="00E37300"/>
    <w:rsid w:val="00E375EE"/>
    <w:rsid w:val="00E37A09"/>
    <w:rsid w:val="00E40E74"/>
    <w:rsid w:val="00E412C8"/>
    <w:rsid w:val="00E41E44"/>
    <w:rsid w:val="00E42464"/>
    <w:rsid w:val="00E4620B"/>
    <w:rsid w:val="00E46C3A"/>
    <w:rsid w:val="00E4787B"/>
    <w:rsid w:val="00E501E9"/>
    <w:rsid w:val="00E50882"/>
    <w:rsid w:val="00E511F3"/>
    <w:rsid w:val="00E54B68"/>
    <w:rsid w:val="00E54F24"/>
    <w:rsid w:val="00E5737B"/>
    <w:rsid w:val="00E574E0"/>
    <w:rsid w:val="00E57997"/>
    <w:rsid w:val="00E57D45"/>
    <w:rsid w:val="00E614A7"/>
    <w:rsid w:val="00E61A27"/>
    <w:rsid w:val="00E62BE3"/>
    <w:rsid w:val="00E63A60"/>
    <w:rsid w:val="00E6407B"/>
    <w:rsid w:val="00E64097"/>
    <w:rsid w:val="00E64DB9"/>
    <w:rsid w:val="00E718F9"/>
    <w:rsid w:val="00E72273"/>
    <w:rsid w:val="00E73C65"/>
    <w:rsid w:val="00E741A1"/>
    <w:rsid w:val="00E77ADD"/>
    <w:rsid w:val="00E849FB"/>
    <w:rsid w:val="00E86337"/>
    <w:rsid w:val="00E9272A"/>
    <w:rsid w:val="00E93FDD"/>
    <w:rsid w:val="00E9423B"/>
    <w:rsid w:val="00E95165"/>
    <w:rsid w:val="00E966E3"/>
    <w:rsid w:val="00E968B2"/>
    <w:rsid w:val="00E97AB9"/>
    <w:rsid w:val="00E97BC1"/>
    <w:rsid w:val="00E97E10"/>
    <w:rsid w:val="00EA0459"/>
    <w:rsid w:val="00EA086B"/>
    <w:rsid w:val="00EA139A"/>
    <w:rsid w:val="00EA1B47"/>
    <w:rsid w:val="00EA4EBA"/>
    <w:rsid w:val="00EA50E2"/>
    <w:rsid w:val="00EA7014"/>
    <w:rsid w:val="00EB265A"/>
    <w:rsid w:val="00EB3F2D"/>
    <w:rsid w:val="00EB41FD"/>
    <w:rsid w:val="00EB52D7"/>
    <w:rsid w:val="00EB5DBD"/>
    <w:rsid w:val="00EB5F4B"/>
    <w:rsid w:val="00EC0FE8"/>
    <w:rsid w:val="00EC46A8"/>
    <w:rsid w:val="00EC4AB0"/>
    <w:rsid w:val="00EC4D1C"/>
    <w:rsid w:val="00EC5038"/>
    <w:rsid w:val="00EC56D6"/>
    <w:rsid w:val="00EC5EF0"/>
    <w:rsid w:val="00EC73B4"/>
    <w:rsid w:val="00EC7C22"/>
    <w:rsid w:val="00ED075D"/>
    <w:rsid w:val="00ED08E4"/>
    <w:rsid w:val="00ED114C"/>
    <w:rsid w:val="00ED3390"/>
    <w:rsid w:val="00ED6EB2"/>
    <w:rsid w:val="00ED75C7"/>
    <w:rsid w:val="00ED785A"/>
    <w:rsid w:val="00ED7F27"/>
    <w:rsid w:val="00EE05FE"/>
    <w:rsid w:val="00EE21F4"/>
    <w:rsid w:val="00EE5238"/>
    <w:rsid w:val="00EF0212"/>
    <w:rsid w:val="00EF0F4B"/>
    <w:rsid w:val="00EF1579"/>
    <w:rsid w:val="00EF1F73"/>
    <w:rsid w:val="00EF4C8D"/>
    <w:rsid w:val="00EF782F"/>
    <w:rsid w:val="00EF7CD6"/>
    <w:rsid w:val="00F02ACE"/>
    <w:rsid w:val="00F0433E"/>
    <w:rsid w:val="00F058FD"/>
    <w:rsid w:val="00F05C39"/>
    <w:rsid w:val="00F07424"/>
    <w:rsid w:val="00F0744C"/>
    <w:rsid w:val="00F07D5F"/>
    <w:rsid w:val="00F13F30"/>
    <w:rsid w:val="00F147F9"/>
    <w:rsid w:val="00F15951"/>
    <w:rsid w:val="00F15AA1"/>
    <w:rsid w:val="00F1605C"/>
    <w:rsid w:val="00F167EB"/>
    <w:rsid w:val="00F177E3"/>
    <w:rsid w:val="00F24526"/>
    <w:rsid w:val="00F24C1C"/>
    <w:rsid w:val="00F303DA"/>
    <w:rsid w:val="00F322CA"/>
    <w:rsid w:val="00F32D74"/>
    <w:rsid w:val="00F332CF"/>
    <w:rsid w:val="00F357EB"/>
    <w:rsid w:val="00F3684A"/>
    <w:rsid w:val="00F409F0"/>
    <w:rsid w:val="00F40A17"/>
    <w:rsid w:val="00F41CC2"/>
    <w:rsid w:val="00F438D7"/>
    <w:rsid w:val="00F458CA"/>
    <w:rsid w:val="00F45C6F"/>
    <w:rsid w:val="00F50C10"/>
    <w:rsid w:val="00F52C7E"/>
    <w:rsid w:val="00F553FC"/>
    <w:rsid w:val="00F55971"/>
    <w:rsid w:val="00F55BED"/>
    <w:rsid w:val="00F5729E"/>
    <w:rsid w:val="00F57956"/>
    <w:rsid w:val="00F6348A"/>
    <w:rsid w:val="00F64418"/>
    <w:rsid w:val="00F65036"/>
    <w:rsid w:val="00F65147"/>
    <w:rsid w:val="00F652BB"/>
    <w:rsid w:val="00F66AF2"/>
    <w:rsid w:val="00F701D2"/>
    <w:rsid w:val="00F70645"/>
    <w:rsid w:val="00F73479"/>
    <w:rsid w:val="00F7384B"/>
    <w:rsid w:val="00F77FFA"/>
    <w:rsid w:val="00F8012C"/>
    <w:rsid w:val="00F8097F"/>
    <w:rsid w:val="00F82012"/>
    <w:rsid w:val="00F93027"/>
    <w:rsid w:val="00F944C5"/>
    <w:rsid w:val="00F945B3"/>
    <w:rsid w:val="00F96208"/>
    <w:rsid w:val="00F96664"/>
    <w:rsid w:val="00F97807"/>
    <w:rsid w:val="00FA0A47"/>
    <w:rsid w:val="00FA13C6"/>
    <w:rsid w:val="00FA1E4A"/>
    <w:rsid w:val="00FA2C64"/>
    <w:rsid w:val="00FA4F12"/>
    <w:rsid w:val="00FB0722"/>
    <w:rsid w:val="00FB1D58"/>
    <w:rsid w:val="00FB1DDB"/>
    <w:rsid w:val="00FB1E8D"/>
    <w:rsid w:val="00FB2808"/>
    <w:rsid w:val="00FB37EA"/>
    <w:rsid w:val="00FB3CF4"/>
    <w:rsid w:val="00FB65AC"/>
    <w:rsid w:val="00FB6C98"/>
    <w:rsid w:val="00FB6CD4"/>
    <w:rsid w:val="00FC2513"/>
    <w:rsid w:val="00FC31DB"/>
    <w:rsid w:val="00FC4BD9"/>
    <w:rsid w:val="00FC4D9A"/>
    <w:rsid w:val="00FC501B"/>
    <w:rsid w:val="00FC6B1B"/>
    <w:rsid w:val="00FC71E8"/>
    <w:rsid w:val="00FC776E"/>
    <w:rsid w:val="00FD0122"/>
    <w:rsid w:val="00FD2521"/>
    <w:rsid w:val="00FD2B91"/>
    <w:rsid w:val="00FD3549"/>
    <w:rsid w:val="00FD497B"/>
    <w:rsid w:val="00FD5BB3"/>
    <w:rsid w:val="00FD7BF5"/>
    <w:rsid w:val="00FE0478"/>
    <w:rsid w:val="00FE0C89"/>
    <w:rsid w:val="00FE2984"/>
    <w:rsid w:val="00FE3446"/>
    <w:rsid w:val="00FE4072"/>
    <w:rsid w:val="00FE4202"/>
    <w:rsid w:val="00FF0555"/>
    <w:rsid w:val="00FF1256"/>
    <w:rsid w:val="00FF296D"/>
    <w:rsid w:val="00FF4A2A"/>
    <w:rsid w:val="00FF4F7F"/>
    <w:rsid w:val="00FF5F97"/>
    <w:rsid w:val="00FF7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4F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
    <w:basedOn w:val="Normal"/>
    <w:link w:val="FootnoteTextChar"/>
    <w:rsid w:val="001A1AD3"/>
    <w:pPr>
      <w:tabs>
        <w:tab w:val="left" w:pos="720"/>
      </w:tabs>
      <w:spacing w:before="120" w:after="120"/>
    </w:pPr>
    <w:rPr>
      <w:rFonts w:ascii="CG Times" w:hAnsi="CG Times"/>
      <w:szCs w:val="20"/>
    </w:rPr>
  </w:style>
  <w:style w:type="character" w:styleId="FootnoteReference">
    <w:name w:val="footnote reference"/>
    <w:aliases w:val="o,fr"/>
    <w:basedOn w:val="DefaultParagraphFont"/>
    <w:rsid w:val="001A1AD3"/>
    <w:rPr>
      <w:sz w:val="26"/>
      <w:szCs w:val="26"/>
      <w:vertAlign w:val="superscript"/>
    </w:rPr>
  </w:style>
  <w:style w:type="paragraph" w:styleId="BodyText">
    <w:name w:val="Body Text"/>
    <w:basedOn w:val="Normal"/>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rsid w:val="00ED114C"/>
    <w:rPr>
      <w:rFonts w:ascii="CG Times" w:hAnsi="CG Times"/>
      <w:sz w:val="24"/>
    </w:rPr>
  </w:style>
  <w:style w:type="paragraph" w:customStyle="1" w:styleId="TxBrp8">
    <w:name w:val="TxBr_p8"/>
    <w:basedOn w:val="Normal"/>
    <w:rsid w:val="00710EAE"/>
    <w:pPr>
      <w:widowControl w:val="0"/>
      <w:tabs>
        <w:tab w:val="left" w:pos="1468"/>
      </w:tabs>
      <w:autoSpaceDE w:val="0"/>
      <w:autoSpaceDN w:val="0"/>
      <w:adjustRightInd w:val="0"/>
      <w:spacing w:line="464" w:lineRule="atLeast"/>
      <w:ind w:firstLine="1468"/>
    </w:pPr>
  </w:style>
  <w:style w:type="character" w:styleId="Hyperlink">
    <w:name w:val="Hyperlink"/>
    <w:basedOn w:val="DefaultParagraphFont"/>
    <w:rsid w:val="0060192A"/>
    <w:rPr>
      <w:color w:val="0000FF"/>
      <w:u w:val="single"/>
    </w:rPr>
  </w:style>
  <w:style w:type="paragraph" w:styleId="BodyText2">
    <w:name w:val="Body Text 2"/>
    <w:basedOn w:val="Normal"/>
    <w:link w:val="BodyText2Char"/>
    <w:uiPriority w:val="99"/>
    <w:unhideWhenUsed/>
    <w:rsid w:val="004169D5"/>
    <w:pPr>
      <w:spacing w:after="120" w:line="480" w:lineRule="auto"/>
    </w:pPr>
  </w:style>
  <w:style w:type="character" w:customStyle="1" w:styleId="BodyText2Char">
    <w:name w:val="Body Text 2 Char"/>
    <w:basedOn w:val="DefaultParagraphFont"/>
    <w:link w:val="BodyText2"/>
    <w:uiPriority w:val="99"/>
    <w:rsid w:val="004169D5"/>
    <w:rPr>
      <w:sz w:val="24"/>
      <w:szCs w:val="24"/>
    </w:rPr>
  </w:style>
  <w:style w:type="paragraph" w:customStyle="1" w:styleId="IndentDouble">
    <w:name w:val="Indent Double"/>
    <w:basedOn w:val="Normal"/>
    <w:next w:val="BodyText"/>
    <w:rsid w:val="004169D5"/>
    <w:pPr>
      <w:spacing w:after="240"/>
      <w:ind w:left="2160" w:right="2160"/>
      <w:jc w:val="both"/>
    </w:pPr>
  </w:style>
  <w:style w:type="paragraph" w:customStyle="1" w:styleId="IndentSingle">
    <w:name w:val="Indent Single"/>
    <w:basedOn w:val="Normal"/>
    <w:next w:val="BodyText"/>
    <w:rsid w:val="004169D5"/>
    <w:pPr>
      <w:spacing w:after="240"/>
      <w:ind w:left="1440" w:right="1440"/>
      <w:jc w:val="both"/>
    </w:pPr>
  </w:style>
  <w:style w:type="paragraph" w:styleId="BalloonText">
    <w:name w:val="Balloon Text"/>
    <w:basedOn w:val="Normal"/>
    <w:link w:val="BalloonTextChar"/>
    <w:rsid w:val="00284573"/>
    <w:rPr>
      <w:rFonts w:ascii="Tahoma" w:hAnsi="Tahoma" w:cs="Tahoma"/>
      <w:sz w:val="16"/>
      <w:szCs w:val="16"/>
    </w:rPr>
  </w:style>
  <w:style w:type="character" w:customStyle="1" w:styleId="BalloonTextChar">
    <w:name w:val="Balloon Text Char"/>
    <w:basedOn w:val="DefaultParagraphFont"/>
    <w:link w:val="BalloonText"/>
    <w:rsid w:val="00284573"/>
    <w:rPr>
      <w:rFonts w:ascii="Tahoma" w:hAnsi="Tahoma" w:cs="Tahoma"/>
      <w:sz w:val="16"/>
      <w:szCs w:val="16"/>
    </w:rPr>
  </w:style>
  <w:style w:type="paragraph" w:styleId="NormalWeb">
    <w:name w:val="Normal (Web)"/>
    <w:basedOn w:val="Normal"/>
    <w:uiPriority w:val="99"/>
    <w:unhideWhenUsed/>
    <w:rsid w:val="00DD0FE1"/>
    <w:pPr>
      <w:spacing w:before="100" w:beforeAutospacing="1" w:after="100" w:afterAutospacing="1"/>
    </w:pPr>
  </w:style>
  <w:style w:type="character" w:styleId="CommentReference">
    <w:name w:val="annotation reference"/>
    <w:basedOn w:val="DefaultParagraphFont"/>
    <w:rsid w:val="003742D4"/>
    <w:rPr>
      <w:sz w:val="16"/>
      <w:szCs w:val="16"/>
    </w:rPr>
  </w:style>
  <w:style w:type="paragraph" w:styleId="CommentText">
    <w:name w:val="annotation text"/>
    <w:basedOn w:val="Normal"/>
    <w:link w:val="CommentTextChar"/>
    <w:rsid w:val="003742D4"/>
    <w:rPr>
      <w:sz w:val="20"/>
      <w:szCs w:val="20"/>
    </w:rPr>
  </w:style>
  <w:style w:type="character" w:customStyle="1" w:styleId="CommentTextChar">
    <w:name w:val="Comment Text Char"/>
    <w:basedOn w:val="DefaultParagraphFont"/>
    <w:link w:val="CommentText"/>
    <w:rsid w:val="003742D4"/>
  </w:style>
  <w:style w:type="paragraph" w:styleId="CommentSubject">
    <w:name w:val="annotation subject"/>
    <w:basedOn w:val="CommentText"/>
    <w:next w:val="CommentText"/>
    <w:link w:val="CommentSubjectChar"/>
    <w:rsid w:val="003742D4"/>
    <w:rPr>
      <w:b/>
      <w:bCs/>
    </w:rPr>
  </w:style>
  <w:style w:type="character" w:customStyle="1" w:styleId="CommentSubjectChar">
    <w:name w:val="Comment Subject Char"/>
    <w:basedOn w:val="CommentTextChar"/>
    <w:link w:val="CommentSubject"/>
    <w:rsid w:val="003742D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4F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
    <w:basedOn w:val="Normal"/>
    <w:link w:val="FootnoteTextChar"/>
    <w:rsid w:val="001A1AD3"/>
    <w:pPr>
      <w:tabs>
        <w:tab w:val="left" w:pos="720"/>
      </w:tabs>
      <w:spacing w:before="120" w:after="120"/>
    </w:pPr>
    <w:rPr>
      <w:rFonts w:ascii="CG Times" w:hAnsi="CG Times"/>
      <w:szCs w:val="20"/>
    </w:rPr>
  </w:style>
  <w:style w:type="character" w:styleId="FootnoteReference">
    <w:name w:val="footnote reference"/>
    <w:aliases w:val="o,fr"/>
    <w:basedOn w:val="DefaultParagraphFont"/>
    <w:rsid w:val="001A1AD3"/>
    <w:rPr>
      <w:sz w:val="26"/>
      <w:szCs w:val="26"/>
      <w:vertAlign w:val="superscript"/>
    </w:rPr>
  </w:style>
  <w:style w:type="paragraph" w:styleId="BodyText">
    <w:name w:val="Body Text"/>
    <w:basedOn w:val="Normal"/>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rsid w:val="00ED114C"/>
    <w:rPr>
      <w:rFonts w:ascii="CG Times" w:hAnsi="CG Times"/>
      <w:sz w:val="24"/>
    </w:rPr>
  </w:style>
  <w:style w:type="paragraph" w:customStyle="1" w:styleId="TxBrp8">
    <w:name w:val="TxBr_p8"/>
    <w:basedOn w:val="Normal"/>
    <w:rsid w:val="00710EAE"/>
    <w:pPr>
      <w:widowControl w:val="0"/>
      <w:tabs>
        <w:tab w:val="left" w:pos="1468"/>
      </w:tabs>
      <w:autoSpaceDE w:val="0"/>
      <w:autoSpaceDN w:val="0"/>
      <w:adjustRightInd w:val="0"/>
      <w:spacing w:line="464" w:lineRule="atLeast"/>
      <w:ind w:firstLine="1468"/>
    </w:pPr>
  </w:style>
  <w:style w:type="character" w:styleId="Hyperlink">
    <w:name w:val="Hyperlink"/>
    <w:basedOn w:val="DefaultParagraphFont"/>
    <w:rsid w:val="0060192A"/>
    <w:rPr>
      <w:color w:val="0000FF"/>
      <w:u w:val="single"/>
    </w:rPr>
  </w:style>
  <w:style w:type="paragraph" w:styleId="BodyText2">
    <w:name w:val="Body Text 2"/>
    <w:basedOn w:val="Normal"/>
    <w:link w:val="BodyText2Char"/>
    <w:uiPriority w:val="99"/>
    <w:unhideWhenUsed/>
    <w:rsid w:val="004169D5"/>
    <w:pPr>
      <w:spacing w:after="120" w:line="480" w:lineRule="auto"/>
    </w:pPr>
  </w:style>
  <w:style w:type="character" w:customStyle="1" w:styleId="BodyText2Char">
    <w:name w:val="Body Text 2 Char"/>
    <w:basedOn w:val="DefaultParagraphFont"/>
    <w:link w:val="BodyText2"/>
    <w:uiPriority w:val="99"/>
    <w:rsid w:val="004169D5"/>
    <w:rPr>
      <w:sz w:val="24"/>
      <w:szCs w:val="24"/>
    </w:rPr>
  </w:style>
  <w:style w:type="paragraph" w:customStyle="1" w:styleId="IndentDouble">
    <w:name w:val="Indent Double"/>
    <w:basedOn w:val="Normal"/>
    <w:next w:val="BodyText"/>
    <w:rsid w:val="004169D5"/>
    <w:pPr>
      <w:spacing w:after="240"/>
      <w:ind w:left="2160" w:right="2160"/>
      <w:jc w:val="both"/>
    </w:pPr>
  </w:style>
  <w:style w:type="paragraph" w:customStyle="1" w:styleId="IndentSingle">
    <w:name w:val="Indent Single"/>
    <w:basedOn w:val="Normal"/>
    <w:next w:val="BodyText"/>
    <w:rsid w:val="004169D5"/>
    <w:pPr>
      <w:spacing w:after="240"/>
      <w:ind w:left="1440" w:right="1440"/>
      <w:jc w:val="both"/>
    </w:pPr>
  </w:style>
  <w:style w:type="paragraph" w:styleId="BalloonText">
    <w:name w:val="Balloon Text"/>
    <w:basedOn w:val="Normal"/>
    <w:link w:val="BalloonTextChar"/>
    <w:rsid w:val="00284573"/>
    <w:rPr>
      <w:rFonts w:ascii="Tahoma" w:hAnsi="Tahoma" w:cs="Tahoma"/>
      <w:sz w:val="16"/>
      <w:szCs w:val="16"/>
    </w:rPr>
  </w:style>
  <w:style w:type="character" w:customStyle="1" w:styleId="BalloonTextChar">
    <w:name w:val="Balloon Text Char"/>
    <w:basedOn w:val="DefaultParagraphFont"/>
    <w:link w:val="BalloonText"/>
    <w:rsid w:val="00284573"/>
    <w:rPr>
      <w:rFonts w:ascii="Tahoma" w:hAnsi="Tahoma" w:cs="Tahoma"/>
      <w:sz w:val="16"/>
      <w:szCs w:val="16"/>
    </w:rPr>
  </w:style>
  <w:style w:type="paragraph" w:styleId="NormalWeb">
    <w:name w:val="Normal (Web)"/>
    <w:basedOn w:val="Normal"/>
    <w:uiPriority w:val="99"/>
    <w:unhideWhenUsed/>
    <w:rsid w:val="00DD0FE1"/>
    <w:pPr>
      <w:spacing w:before="100" w:beforeAutospacing="1" w:after="100" w:afterAutospacing="1"/>
    </w:pPr>
  </w:style>
  <w:style w:type="character" w:styleId="CommentReference">
    <w:name w:val="annotation reference"/>
    <w:basedOn w:val="DefaultParagraphFont"/>
    <w:rsid w:val="003742D4"/>
    <w:rPr>
      <w:sz w:val="16"/>
      <w:szCs w:val="16"/>
    </w:rPr>
  </w:style>
  <w:style w:type="paragraph" w:styleId="CommentText">
    <w:name w:val="annotation text"/>
    <w:basedOn w:val="Normal"/>
    <w:link w:val="CommentTextChar"/>
    <w:rsid w:val="003742D4"/>
    <w:rPr>
      <w:sz w:val="20"/>
      <w:szCs w:val="20"/>
    </w:rPr>
  </w:style>
  <w:style w:type="character" w:customStyle="1" w:styleId="CommentTextChar">
    <w:name w:val="Comment Text Char"/>
    <w:basedOn w:val="DefaultParagraphFont"/>
    <w:link w:val="CommentText"/>
    <w:rsid w:val="003742D4"/>
  </w:style>
  <w:style w:type="paragraph" w:styleId="CommentSubject">
    <w:name w:val="annotation subject"/>
    <w:basedOn w:val="CommentText"/>
    <w:next w:val="CommentText"/>
    <w:link w:val="CommentSubjectChar"/>
    <w:rsid w:val="003742D4"/>
    <w:rPr>
      <w:b/>
      <w:bCs/>
    </w:rPr>
  </w:style>
  <w:style w:type="character" w:customStyle="1" w:styleId="CommentSubjectChar">
    <w:name w:val="Comment Subject Char"/>
    <w:basedOn w:val="CommentTextChar"/>
    <w:link w:val="CommentSubject"/>
    <w:rsid w:val="003742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016370">
      <w:bodyDiv w:val="1"/>
      <w:marLeft w:val="0"/>
      <w:marRight w:val="0"/>
      <w:marTop w:val="0"/>
      <w:marBottom w:val="0"/>
      <w:divBdr>
        <w:top w:val="none" w:sz="0" w:space="0" w:color="auto"/>
        <w:left w:val="none" w:sz="0" w:space="0" w:color="auto"/>
        <w:bottom w:val="none" w:sz="0" w:space="0" w:color="auto"/>
        <w:right w:val="none" w:sz="0" w:space="0" w:color="auto"/>
      </w:divBdr>
      <w:divsChild>
        <w:div w:id="1850440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4730329">
      <w:bodyDiv w:val="1"/>
      <w:marLeft w:val="0"/>
      <w:marRight w:val="0"/>
      <w:marTop w:val="0"/>
      <w:marBottom w:val="0"/>
      <w:divBdr>
        <w:top w:val="none" w:sz="0" w:space="0" w:color="auto"/>
        <w:left w:val="none" w:sz="0" w:space="0" w:color="auto"/>
        <w:bottom w:val="none" w:sz="0" w:space="0" w:color="auto"/>
        <w:right w:val="none" w:sz="0" w:space="0" w:color="auto"/>
      </w:divBdr>
      <w:divsChild>
        <w:div w:id="10515402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461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A5516-963D-4E74-B524-1A3EA17B4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13</Pages>
  <Words>3030</Words>
  <Characters>17272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20262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MIS</dc:creator>
  <cp:lastModifiedBy>Hinds, Margaret</cp:lastModifiedBy>
  <cp:revision>13</cp:revision>
  <cp:lastPrinted>2012-01-27T16:51:00Z</cp:lastPrinted>
  <dcterms:created xsi:type="dcterms:W3CDTF">2012-01-10T20:11:00Z</dcterms:created>
  <dcterms:modified xsi:type="dcterms:W3CDTF">2012-01-27T16:51:00Z</dcterms:modified>
</cp:coreProperties>
</file>