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9717D" w:rsidRDefault="00E9717D" w:rsidP="00E9717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9717D" w:rsidRDefault="00E9717D" w:rsidP="00E9717D">
            <w:pPr>
              <w:jc w:val="center"/>
              <w:rPr>
                <w:rFonts w:ascii="Arial" w:hAnsi="Arial"/>
                <w:sz w:val="12"/>
              </w:rPr>
            </w:pPr>
            <w:r>
              <w:rPr>
                <w:rFonts w:ascii="Arial" w:hAnsi="Arial"/>
                <w:color w:val="000080"/>
                <w:spacing w:val="-3"/>
                <w:sz w:val="26"/>
              </w:rPr>
              <w:t>P.O. BOX 3265, HARRISBURG, PA 17105-3265</w:t>
            </w:r>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IN REPLY PLEASE REFER TO OUR FILE</w:t>
            </w:r>
          </w:p>
        </w:tc>
      </w:tr>
    </w:tbl>
    <w:p w:rsidR="00E9717D" w:rsidRDefault="00E9717D" w:rsidP="00E9717D">
      <w:pPr>
        <w:pStyle w:val="Heading1"/>
        <w:ind w:left="5310" w:firstLine="270"/>
        <w:jc w:val="center"/>
        <w:rPr>
          <w:sz w:val="24"/>
          <w:szCs w:val="24"/>
        </w:rPr>
        <w:sectPr w:rsidR="00E9717D" w:rsidSect="005D0EA3">
          <w:footerReference w:type="default" r:id="rId10"/>
          <w:type w:val="continuous"/>
          <w:pgSz w:w="12240" w:h="15840"/>
          <w:pgMar w:top="720" w:right="1440" w:bottom="1440" w:left="1440" w:header="720" w:footer="720" w:gutter="0"/>
          <w:cols w:space="720"/>
        </w:sectPr>
      </w:pPr>
    </w:p>
    <w:p w:rsidR="00E9717D" w:rsidRPr="0008427B" w:rsidRDefault="00012F99" w:rsidP="00532482">
      <w:pPr>
        <w:jc w:val="center"/>
        <w:rPr>
          <w:sz w:val="26"/>
          <w:szCs w:val="26"/>
        </w:rPr>
      </w:pPr>
      <w:r>
        <w:rPr>
          <w:sz w:val="26"/>
          <w:szCs w:val="26"/>
        </w:rPr>
        <w:lastRenderedPageBreak/>
        <w:t>January 31, 2012</w:t>
      </w:r>
    </w:p>
    <w:p w:rsidR="00FE394D" w:rsidRDefault="00FE394D" w:rsidP="00532482">
      <w:pPr>
        <w:jc w:val="center"/>
      </w:pPr>
    </w:p>
    <w:p w:rsidR="00532482" w:rsidRPr="00532482" w:rsidRDefault="00532482" w:rsidP="00532482">
      <w:pPr>
        <w:jc w:val="center"/>
        <w:sectPr w:rsidR="00532482" w:rsidRPr="00532482" w:rsidSect="0008427B">
          <w:type w:val="continuous"/>
          <w:pgSz w:w="12240" w:h="15840"/>
          <w:pgMar w:top="432" w:right="1440" w:bottom="720" w:left="1440" w:header="720" w:footer="720" w:gutter="0"/>
          <w:cols w:space="720"/>
        </w:sectPr>
      </w:pPr>
    </w:p>
    <w:p w:rsidR="00157C40" w:rsidRPr="00BE7C84" w:rsidRDefault="002E5260" w:rsidP="0008427B">
      <w:pPr>
        <w:rPr>
          <w:szCs w:val="24"/>
        </w:rPr>
      </w:pPr>
      <w:r w:rsidRPr="00BE7C84">
        <w:rPr>
          <w:szCs w:val="24"/>
        </w:rPr>
        <w:lastRenderedPageBreak/>
        <w:fldChar w:fldCharType="begin">
          <w:ffData>
            <w:name w:val="Text15"/>
            <w:enabled/>
            <w:calcOnExit w:val="0"/>
            <w:textInput/>
          </w:ffData>
        </w:fldChar>
      </w:r>
      <w:bookmarkStart w:id="0" w:name="Text15"/>
      <w:r w:rsidR="006721A8" w:rsidRPr="00BE7C84">
        <w:rPr>
          <w:szCs w:val="24"/>
        </w:rPr>
        <w:instrText xml:space="preserve"> FORMTEXT </w:instrText>
      </w:r>
      <w:r w:rsidRPr="00BE7C84">
        <w:rPr>
          <w:szCs w:val="24"/>
        </w:rPr>
      </w:r>
      <w:r w:rsidRPr="00BE7C84">
        <w:rPr>
          <w:szCs w:val="24"/>
        </w:rPr>
        <w:fldChar w:fldCharType="end"/>
      </w:r>
      <w:bookmarkEnd w:id="0"/>
    </w:p>
    <w:p w:rsidR="007006C5" w:rsidRPr="00F76181" w:rsidRDefault="007006C5" w:rsidP="007006C5">
      <w:pPr>
        <w:jc w:val="right"/>
        <w:rPr>
          <w:szCs w:val="24"/>
        </w:rPr>
      </w:pPr>
      <w:r w:rsidRPr="00F76181">
        <w:rPr>
          <w:szCs w:val="24"/>
        </w:rPr>
        <w:t>Docket No. R-2011-2278290</w:t>
      </w:r>
      <w:r w:rsidRPr="00F76181">
        <w:rPr>
          <w:szCs w:val="24"/>
        </w:rPr>
        <w:fldChar w:fldCharType="begin">
          <w:ffData>
            <w:name w:val="Text15"/>
            <w:enabled/>
            <w:calcOnExit w:val="0"/>
            <w:textInput/>
          </w:ffData>
        </w:fldChar>
      </w:r>
      <w:r w:rsidRPr="00F76181">
        <w:rPr>
          <w:szCs w:val="24"/>
        </w:rPr>
        <w:instrText xml:space="preserve"> FORMTEXT </w:instrText>
      </w:r>
      <w:r w:rsidRPr="00F76181">
        <w:rPr>
          <w:szCs w:val="24"/>
        </w:rPr>
      </w:r>
      <w:r w:rsidRPr="00F76181">
        <w:rPr>
          <w:szCs w:val="24"/>
        </w:rPr>
        <w:fldChar w:fldCharType="end"/>
      </w:r>
    </w:p>
    <w:p w:rsidR="007006C5" w:rsidRPr="00F76181" w:rsidRDefault="007006C5" w:rsidP="007006C5">
      <w:pPr>
        <w:pStyle w:val="BodyText"/>
        <w:jc w:val="right"/>
        <w:rPr>
          <w:szCs w:val="24"/>
        </w:rPr>
      </w:pPr>
      <w:r w:rsidRPr="00F76181">
        <w:rPr>
          <w:szCs w:val="24"/>
        </w:rPr>
        <w:t xml:space="preserve">                                                                           Utility Code: 310800</w:t>
      </w:r>
    </w:p>
    <w:p w:rsidR="007006C5" w:rsidRPr="00F76181" w:rsidRDefault="007006C5" w:rsidP="007006C5">
      <w:pPr>
        <w:rPr>
          <w:caps/>
          <w:szCs w:val="24"/>
        </w:rPr>
      </w:pPr>
      <w:r w:rsidRPr="00F76181">
        <w:rPr>
          <w:caps/>
          <w:szCs w:val="24"/>
        </w:rPr>
        <w:t>leslie zink</w:t>
      </w:r>
    </w:p>
    <w:p w:rsidR="007006C5" w:rsidRPr="00F76181" w:rsidRDefault="007006C5" w:rsidP="007006C5">
      <w:pPr>
        <w:rPr>
          <w:caps/>
          <w:szCs w:val="24"/>
        </w:rPr>
      </w:pPr>
      <w:r w:rsidRPr="00F76181">
        <w:rPr>
          <w:caps/>
          <w:szCs w:val="24"/>
        </w:rPr>
        <w:t>manager pricing and tariffs</w:t>
      </w:r>
    </w:p>
    <w:p w:rsidR="007006C5" w:rsidRPr="00F76181" w:rsidRDefault="007006C5" w:rsidP="007006C5">
      <w:pPr>
        <w:rPr>
          <w:caps/>
          <w:szCs w:val="24"/>
        </w:rPr>
      </w:pPr>
      <w:r w:rsidRPr="00F76181">
        <w:rPr>
          <w:caps/>
          <w:szCs w:val="24"/>
        </w:rPr>
        <w:t xml:space="preserve">frontier communications </w:t>
      </w:r>
      <w:r>
        <w:rPr>
          <w:caps/>
          <w:szCs w:val="24"/>
        </w:rPr>
        <w:t>commonwealth telephone company</w:t>
      </w:r>
    </w:p>
    <w:p w:rsidR="007006C5" w:rsidRPr="00F76181" w:rsidRDefault="007006C5" w:rsidP="007006C5">
      <w:pPr>
        <w:rPr>
          <w:caps/>
          <w:szCs w:val="24"/>
        </w:rPr>
      </w:pPr>
      <w:r w:rsidRPr="00F76181">
        <w:rPr>
          <w:caps/>
          <w:szCs w:val="24"/>
        </w:rPr>
        <w:t>180 s clinton ave</w:t>
      </w:r>
    </w:p>
    <w:p w:rsidR="004376E3" w:rsidRDefault="007006C5" w:rsidP="007006C5">
      <w:pPr>
        <w:ind w:left="-90" w:firstLine="90"/>
        <w:jc w:val="both"/>
        <w:rPr>
          <w:szCs w:val="24"/>
        </w:rPr>
      </w:pPr>
      <w:r w:rsidRPr="00F76181">
        <w:rPr>
          <w:caps/>
          <w:szCs w:val="24"/>
        </w:rPr>
        <w:t>rochester ny 14646</w:t>
      </w:r>
    </w:p>
    <w:p w:rsidR="004376E3" w:rsidRPr="00E9717D" w:rsidRDefault="004376E3" w:rsidP="004376E3">
      <w:pPr>
        <w:ind w:left="-90" w:firstLine="90"/>
        <w:jc w:val="both"/>
        <w:rPr>
          <w:szCs w:val="24"/>
        </w:rPr>
      </w:pPr>
    </w:p>
    <w:p w:rsidR="004376E3" w:rsidRPr="00CF6409" w:rsidRDefault="004376E3" w:rsidP="004376E3">
      <w:pPr>
        <w:ind w:left="1440" w:hanging="720"/>
        <w:jc w:val="both"/>
        <w:rPr>
          <w:szCs w:val="24"/>
        </w:rPr>
      </w:pPr>
      <w:r w:rsidRPr="00E9717D">
        <w:rPr>
          <w:szCs w:val="24"/>
        </w:rPr>
        <w:t>Re:</w:t>
      </w:r>
      <w:r w:rsidRPr="00CF6409">
        <w:rPr>
          <w:szCs w:val="24"/>
        </w:rPr>
        <w:tab/>
      </w:r>
      <w:r w:rsidR="005B5C66" w:rsidRPr="00CF6409">
        <w:rPr>
          <w:szCs w:val="24"/>
        </w:rPr>
        <w:t xml:space="preserve">Frontier Communications </w:t>
      </w:r>
      <w:r w:rsidR="007006C5" w:rsidRPr="00CF6409">
        <w:rPr>
          <w:szCs w:val="24"/>
        </w:rPr>
        <w:t>Commonwealth Telephone Company</w:t>
      </w:r>
    </w:p>
    <w:p w:rsidR="00A965DF" w:rsidRPr="00CF6409" w:rsidRDefault="004376E3" w:rsidP="004376E3">
      <w:pPr>
        <w:ind w:left="1440"/>
        <w:jc w:val="both"/>
        <w:rPr>
          <w:szCs w:val="24"/>
        </w:rPr>
      </w:pPr>
      <w:r w:rsidRPr="00CF6409">
        <w:rPr>
          <w:szCs w:val="24"/>
        </w:rPr>
        <w:t>Revisions to Switched Access Service</w:t>
      </w:r>
      <w:r w:rsidR="00A965DF" w:rsidRPr="00CF6409">
        <w:rPr>
          <w:szCs w:val="24"/>
        </w:rPr>
        <w:t xml:space="preserve"> Tariff No. </w:t>
      </w:r>
      <w:r w:rsidR="007006C5" w:rsidRPr="00CF6409">
        <w:rPr>
          <w:caps/>
          <w:szCs w:val="24"/>
        </w:rPr>
        <w:t>26</w:t>
      </w:r>
    </w:p>
    <w:p w:rsidR="004376E3" w:rsidRPr="00CF6409" w:rsidRDefault="00A965DF" w:rsidP="004376E3">
      <w:pPr>
        <w:ind w:left="1440"/>
        <w:jc w:val="both"/>
        <w:rPr>
          <w:szCs w:val="24"/>
        </w:rPr>
      </w:pPr>
      <w:r w:rsidRPr="00CF6409">
        <w:rPr>
          <w:szCs w:val="24"/>
        </w:rPr>
        <w:t xml:space="preserve">Incumbent Local Exchange Carrier </w:t>
      </w:r>
      <w:r w:rsidR="00FC2784" w:rsidRPr="00CF6409">
        <w:rPr>
          <w:szCs w:val="24"/>
        </w:rPr>
        <w:t>(LEC)</w:t>
      </w:r>
    </w:p>
    <w:p w:rsidR="004376E3" w:rsidRPr="00CF6409" w:rsidRDefault="004376E3" w:rsidP="004376E3">
      <w:pPr>
        <w:rPr>
          <w:szCs w:val="24"/>
        </w:rPr>
      </w:pPr>
    </w:p>
    <w:p w:rsidR="004376E3" w:rsidRPr="00CF6409" w:rsidRDefault="004376E3" w:rsidP="004376E3">
      <w:pPr>
        <w:rPr>
          <w:szCs w:val="24"/>
        </w:rPr>
      </w:pPr>
      <w:r w:rsidRPr="00CF6409">
        <w:rPr>
          <w:szCs w:val="24"/>
        </w:rPr>
        <w:t>Dear M</w:t>
      </w:r>
      <w:r w:rsidR="005B5C66" w:rsidRPr="00CF6409">
        <w:rPr>
          <w:szCs w:val="24"/>
        </w:rPr>
        <w:t xml:space="preserve">s. </w:t>
      </w:r>
      <w:proofErr w:type="gramStart"/>
      <w:r w:rsidR="005B5C66" w:rsidRPr="00CF6409">
        <w:rPr>
          <w:szCs w:val="24"/>
        </w:rPr>
        <w:t>Zink</w:t>
      </w:r>
      <w:r w:rsidRPr="00CF6409">
        <w:rPr>
          <w:szCs w:val="24"/>
        </w:rPr>
        <w:t xml:space="preserve"> :</w:t>
      </w:r>
      <w:proofErr w:type="gramEnd"/>
    </w:p>
    <w:p w:rsidR="00734009" w:rsidRPr="00BE7C84" w:rsidRDefault="00734009" w:rsidP="00734009">
      <w:pPr>
        <w:pStyle w:val="BodyText"/>
        <w:spacing w:before="240"/>
        <w:ind w:firstLine="720"/>
        <w:rPr>
          <w:szCs w:val="24"/>
        </w:rPr>
      </w:pPr>
      <w:r w:rsidRPr="00CF6409">
        <w:rPr>
          <w:szCs w:val="24"/>
        </w:rPr>
        <w:t>Commission Staff reviewed the tariff revisions, referenced below.  Suspension or further investigation does not appear warranted at this time.  Therefore, in accordance with 52 Pa. Code</w:t>
      </w:r>
      <w:r w:rsidR="008C470F" w:rsidRPr="00CF6409">
        <w:rPr>
          <w:szCs w:val="24"/>
        </w:rPr>
        <w:t xml:space="preserve"> §53.59(f)</w:t>
      </w:r>
      <w:r w:rsidRPr="00CF6409">
        <w:rPr>
          <w:szCs w:val="24"/>
        </w:rPr>
        <w:t xml:space="preserve"> the tariff revisions</w:t>
      </w:r>
      <w:r w:rsidRPr="00BE7C84">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BE7C84"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9575BA" w:rsidRPr="00272D3C" w:rsidTr="00F82EEB">
        <w:trPr>
          <w:tblHeader/>
          <w:jc w:val="center"/>
        </w:trPr>
        <w:tc>
          <w:tcPr>
            <w:tcW w:w="1471" w:type="dxa"/>
          </w:tcPr>
          <w:p w:rsidR="009575BA" w:rsidRPr="00272D3C" w:rsidRDefault="009575BA" w:rsidP="00F82EEB">
            <w:pPr>
              <w:pStyle w:val="BodyText"/>
              <w:jc w:val="center"/>
              <w:rPr>
                <w:b/>
                <w:szCs w:val="24"/>
              </w:rPr>
            </w:pPr>
            <w:r w:rsidRPr="00272D3C">
              <w:rPr>
                <w:b/>
                <w:szCs w:val="24"/>
              </w:rPr>
              <w:t xml:space="preserve">Supplement </w:t>
            </w:r>
          </w:p>
        </w:tc>
        <w:tc>
          <w:tcPr>
            <w:tcW w:w="900" w:type="dxa"/>
          </w:tcPr>
          <w:p w:rsidR="009575BA" w:rsidRPr="00272D3C" w:rsidRDefault="009575BA" w:rsidP="00F82EEB">
            <w:pPr>
              <w:pStyle w:val="BodyText"/>
              <w:jc w:val="center"/>
              <w:rPr>
                <w:b/>
                <w:szCs w:val="24"/>
              </w:rPr>
            </w:pPr>
            <w:r w:rsidRPr="00272D3C">
              <w:rPr>
                <w:b/>
                <w:szCs w:val="24"/>
              </w:rPr>
              <w:t xml:space="preserve">Tariff </w:t>
            </w:r>
          </w:p>
        </w:tc>
        <w:tc>
          <w:tcPr>
            <w:tcW w:w="4193" w:type="dxa"/>
          </w:tcPr>
          <w:p w:rsidR="009575BA" w:rsidRPr="00272D3C" w:rsidRDefault="009575BA" w:rsidP="00F82EEB">
            <w:pPr>
              <w:pStyle w:val="BodyText"/>
              <w:jc w:val="center"/>
              <w:rPr>
                <w:b/>
                <w:szCs w:val="24"/>
              </w:rPr>
            </w:pPr>
            <w:r w:rsidRPr="00272D3C">
              <w:rPr>
                <w:b/>
                <w:szCs w:val="24"/>
              </w:rPr>
              <w:t>Description</w:t>
            </w:r>
          </w:p>
        </w:tc>
        <w:tc>
          <w:tcPr>
            <w:tcW w:w="1350" w:type="dxa"/>
          </w:tcPr>
          <w:p w:rsidR="009575BA" w:rsidRPr="00272D3C" w:rsidRDefault="009575BA" w:rsidP="00F82EEB">
            <w:pPr>
              <w:pStyle w:val="BodyText"/>
              <w:jc w:val="center"/>
              <w:rPr>
                <w:b/>
                <w:szCs w:val="24"/>
              </w:rPr>
            </w:pPr>
            <w:r w:rsidRPr="00272D3C">
              <w:rPr>
                <w:b/>
                <w:szCs w:val="24"/>
              </w:rPr>
              <w:t>Filed</w:t>
            </w:r>
          </w:p>
        </w:tc>
        <w:tc>
          <w:tcPr>
            <w:tcW w:w="1327" w:type="dxa"/>
          </w:tcPr>
          <w:p w:rsidR="009575BA" w:rsidRPr="00272D3C" w:rsidRDefault="009575BA" w:rsidP="00F82EEB">
            <w:pPr>
              <w:pStyle w:val="BodyText"/>
              <w:jc w:val="center"/>
              <w:rPr>
                <w:b/>
                <w:szCs w:val="24"/>
              </w:rPr>
            </w:pPr>
            <w:r w:rsidRPr="00272D3C">
              <w:rPr>
                <w:b/>
                <w:szCs w:val="24"/>
              </w:rPr>
              <w:t>Effective</w:t>
            </w:r>
          </w:p>
        </w:tc>
      </w:tr>
      <w:tr w:rsidR="00A965DF" w:rsidRPr="00A965DF" w:rsidTr="00DD4C9A">
        <w:trPr>
          <w:jc w:val="center"/>
        </w:trPr>
        <w:tc>
          <w:tcPr>
            <w:tcW w:w="1471" w:type="dxa"/>
            <w:vAlign w:val="center"/>
          </w:tcPr>
          <w:p w:rsidR="009575BA" w:rsidRPr="00A965DF" w:rsidRDefault="007006C5" w:rsidP="005B5C66">
            <w:pPr>
              <w:pStyle w:val="BodyText"/>
              <w:jc w:val="center"/>
              <w:rPr>
                <w:color w:val="000000" w:themeColor="text1"/>
                <w:szCs w:val="24"/>
              </w:rPr>
            </w:pPr>
            <w:r>
              <w:rPr>
                <w:color w:val="000000" w:themeColor="text1"/>
                <w:szCs w:val="24"/>
              </w:rPr>
              <w:t>5</w:t>
            </w:r>
          </w:p>
        </w:tc>
        <w:tc>
          <w:tcPr>
            <w:tcW w:w="900" w:type="dxa"/>
            <w:vAlign w:val="center"/>
          </w:tcPr>
          <w:p w:rsidR="009575BA" w:rsidRPr="00A965DF" w:rsidRDefault="007006C5" w:rsidP="005B5C66">
            <w:pPr>
              <w:pStyle w:val="BodyText"/>
              <w:jc w:val="center"/>
              <w:rPr>
                <w:color w:val="000000" w:themeColor="text1"/>
                <w:szCs w:val="24"/>
              </w:rPr>
            </w:pPr>
            <w:r>
              <w:rPr>
                <w:color w:val="000000" w:themeColor="text1"/>
                <w:szCs w:val="24"/>
              </w:rPr>
              <w:t>26</w:t>
            </w:r>
          </w:p>
        </w:tc>
        <w:tc>
          <w:tcPr>
            <w:tcW w:w="4193" w:type="dxa"/>
            <w:vAlign w:val="center"/>
          </w:tcPr>
          <w:p w:rsidR="009575BA" w:rsidRPr="00A965DF" w:rsidRDefault="00A965DF" w:rsidP="00DD4C9A">
            <w:pPr>
              <w:pStyle w:val="BodyText"/>
              <w:jc w:val="center"/>
              <w:rPr>
                <w:color w:val="000000" w:themeColor="text1"/>
                <w:szCs w:val="24"/>
              </w:rPr>
            </w:pPr>
            <w:r>
              <w:rPr>
                <w:color w:val="000000" w:themeColor="text1"/>
                <w:szCs w:val="24"/>
              </w:rPr>
              <w:t>VoIP PSTN Intrastate Access Intercarrier Compensation</w:t>
            </w:r>
          </w:p>
        </w:tc>
        <w:tc>
          <w:tcPr>
            <w:tcW w:w="1350" w:type="dxa"/>
            <w:vAlign w:val="center"/>
          </w:tcPr>
          <w:p w:rsidR="009575BA" w:rsidRPr="00A965DF" w:rsidRDefault="005B5C66" w:rsidP="005B5C66">
            <w:pPr>
              <w:pStyle w:val="BodyText"/>
              <w:jc w:val="center"/>
              <w:rPr>
                <w:color w:val="000000" w:themeColor="text1"/>
                <w:szCs w:val="24"/>
              </w:rPr>
            </w:pPr>
            <w:r>
              <w:rPr>
                <w:color w:val="000000" w:themeColor="text1"/>
                <w:szCs w:val="24"/>
              </w:rPr>
              <w:t>12/15/2011</w:t>
            </w:r>
          </w:p>
        </w:tc>
        <w:tc>
          <w:tcPr>
            <w:tcW w:w="1327" w:type="dxa"/>
            <w:vAlign w:val="center"/>
          </w:tcPr>
          <w:p w:rsidR="009575BA" w:rsidRPr="00A965DF" w:rsidRDefault="005B5C66" w:rsidP="005B5C66">
            <w:pPr>
              <w:pStyle w:val="BodyText"/>
              <w:jc w:val="center"/>
              <w:rPr>
                <w:color w:val="000000" w:themeColor="text1"/>
                <w:szCs w:val="24"/>
              </w:rPr>
            </w:pPr>
            <w:r>
              <w:rPr>
                <w:color w:val="000000" w:themeColor="text1"/>
                <w:szCs w:val="24"/>
              </w:rPr>
              <w:t>1/31/2012</w:t>
            </w:r>
          </w:p>
        </w:tc>
      </w:tr>
    </w:tbl>
    <w:p w:rsidR="009575BA" w:rsidRDefault="009575BA" w:rsidP="009575BA">
      <w:pPr>
        <w:pStyle w:val="BodyText"/>
        <w:rPr>
          <w:color w:val="FF00FF"/>
          <w:szCs w:val="24"/>
        </w:rPr>
      </w:pPr>
    </w:p>
    <w:p w:rsidR="00F82EEB" w:rsidRPr="00F82EEB" w:rsidRDefault="00F82EEB" w:rsidP="009575BA">
      <w:pPr>
        <w:pStyle w:val="BodyText"/>
        <w:rPr>
          <w:color w:val="000000" w:themeColor="text1"/>
          <w:szCs w:val="24"/>
          <w:u w:val="single"/>
        </w:rPr>
      </w:pPr>
      <w:r w:rsidRPr="00F82EEB">
        <w:rPr>
          <w:color w:val="000000" w:themeColor="text1"/>
          <w:szCs w:val="24"/>
          <w:u w:val="single"/>
        </w:rPr>
        <w:t>BACKGROUND</w:t>
      </w:r>
    </w:p>
    <w:p w:rsidR="00F82EEB" w:rsidRPr="00F82EEB" w:rsidRDefault="00F82EEB" w:rsidP="009575BA">
      <w:pPr>
        <w:pStyle w:val="BodyText"/>
        <w:rPr>
          <w:color w:val="000000" w:themeColor="text1"/>
          <w:szCs w:val="24"/>
        </w:rPr>
      </w:pPr>
    </w:p>
    <w:p w:rsidR="005B5C66" w:rsidRPr="00CB6439" w:rsidRDefault="00F82EEB" w:rsidP="005B5C66">
      <w:pPr>
        <w:pStyle w:val="BodyText"/>
      </w:pPr>
      <w:r w:rsidRPr="00F82EEB">
        <w:rPr>
          <w:color w:val="000000" w:themeColor="text1"/>
          <w:szCs w:val="24"/>
        </w:rPr>
        <w:tab/>
      </w:r>
      <w:r w:rsidR="005B5C66" w:rsidRPr="00CB6439">
        <w:rPr>
          <w:szCs w:val="24"/>
        </w:rPr>
        <w:t>Within the Federal Communications Commission (FCC) Order,</w:t>
      </w:r>
      <w:r w:rsidR="005B5C66" w:rsidRPr="00CB6439">
        <w:rPr>
          <w:rStyle w:val="FootnoteReference"/>
          <w:szCs w:val="24"/>
        </w:rPr>
        <w:footnoteReference w:id="1"/>
      </w:r>
      <w:r w:rsidR="005B5C66" w:rsidRPr="00CB6439">
        <w:rPr>
          <w:szCs w:val="24"/>
        </w:rPr>
        <w:t xml:space="preserve"> a new regime is outlined for </w:t>
      </w:r>
      <w:proofErr w:type="spellStart"/>
      <w:r w:rsidR="005B5C66" w:rsidRPr="00CB6439">
        <w:rPr>
          <w:szCs w:val="24"/>
        </w:rPr>
        <w:t>intercarrier</w:t>
      </w:r>
      <w:proofErr w:type="spellEnd"/>
      <w:r w:rsidR="005B5C66" w:rsidRPr="00CB6439">
        <w:rPr>
          <w:szCs w:val="24"/>
        </w:rPr>
        <w:t xml:space="preserve"> compensation concerning Voice over Internet Protocol - Public Switched Telephone Network (VoIP-PSTN) traffic.  The FCC Order states carriers may tariff the default rates for VoIP-PSTN traffic in the absence of an agreement for different </w:t>
      </w:r>
      <w:proofErr w:type="spellStart"/>
      <w:r w:rsidR="005B5C66" w:rsidRPr="00CB6439">
        <w:rPr>
          <w:szCs w:val="24"/>
        </w:rPr>
        <w:t>intercarrier</w:t>
      </w:r>
      <w:proofErr w:type="spellEnd"/>
      <w:r w:rsidR="005B5C66" w:rsidRPr="00CB6439">
        <w:rPr>
          <w:szCs w:val="24"/>
        </w:rPr>
        <w:t xml:space="preserve"> </w:t>
      </w:r>
      <w:r w:rsidR="005B5C66" w:rsidRPr="00CB6439">
        <w:rPr>
          <w:szCs w:val="24"/>
        </w:rPr>
        <w:lastRenderedPageBreak/>
        <w:t>compensation.</w:t>
      </w:r>
      <w:r w:rsidR="005B5C66" w:rsidRPr="00CB6439">
        <w:rPr>
          <w:rStyle w:val="FootnoteReference"/>
          <w:szCs w:val="24"/>
        </w:rPr>
        <w:footnoteReference w:id="2"/>
      </w:r>
      <w:r w:rsidR="005B5C66" w:rsidRPr="00CB6439">
        <w:rPr>
          <w:szCs w:val="24"/>
        </w:rPr>
        <w:t xml:space="preserve">   </w:t>
      </w:r>
      <w:r w:rsidR="005B5C66" w:rsidRPr="00CB6439">
        <w:t>The FCC Order defines VoIP-PSTN traffic as "traffic exchanged over PSTN facilities that originates and/or terminates in IP [Internet protocol] format.”</w:t>
      </w:r>
      <w:r w:rsidR="005B5C66" w:rsidRPr="00CB6439">
        <w:rPr>
          <w:rStyle w:val="FootnoteReference"/>
        </w:rPr>
        <w:footnoteReference w:id="3"/>
      </w:r>
      <w:r w:rsidR="005B5C66" w:rsidRPr="00CB6439">
        <w:t xml:space="preserve">  The FCC’s new rule that defines the “Transition for VoIP-PSTN Traffic” states the following:</w:t>
      </w:r>
      <w:r w:rsidR="005B5C66" w:rsidRPr="00CB6439">
        <w:rPr>
          <w:rStyle w:val="FootnoteReference"/>
        </w:rPr>
        <w:footnoteReference w:id="4"/>
      </w:r>
    </w:p>
    <w:p w:rsidR="005B5C66" w:rsidRPr="00CB6439" w:rsidRDefault="005B5C66" w:rsidP="005B5C66"/>
    <w:p w:rsidR="005B5C66" w:rsidRPr="00CB6439" w:rsidRDefault="005B5C66" w:rsidP="005B5C66">
      <w:pPr>
        <w:ind w:left="1080" w:right="576"/>
      </w:pPr>
      <w:r w:rsidRPr="00CB6439">
        <w:t xml:space="preserve">47 C.F.R. § 51.913(a) — Access reciprocal compensation subject to this subpart exchanged between a local exchange carrier and another telecommunications carrier in Time Division Multiplexing (TDM) format that originates and/or terminates in IP format shall be subject to a rate equal to the relevant interstate access charges specified by this subpart.  Telecommunications traffic originates and/or terminates in IP format if it originates from and/or terminates to an end-user consumer of a service that requires Internet protocol-compatible customer premises equipment.  </w:t>
      </w:r>
    </w:p>
    <w:p w:rsidR="005B5C66" w:rsidRPr="00CB6439" w:rsidRDefault="005B5C66" w:rsidP="005B5C66">
      <w:pPr>
        <w:ind w:left="1080" w:right="576"/>
      </w:pPr>
    </w:p>
    <w:p w:rsidR="005B5C66" w:rsidRDefault="005B5C66" w:rsidP="005B5C66">
      <w:pPr>
        <w:ind w:left="1080" w:right="576"/>
      </w:pPr>
      <w:r w:rsidRPr="00CB6439">
        <w:t xml:space="preserve">47 C.F.R. § 51.913(b) — Notwithstanding any other provision of the Commission’s </w:t>
      </w:r>
      <w:r>
        <w:t xml:space="preserve">[FCC’s] </w:t>
      </w:r>
      <w:r w:rsidRPr="00CB6439">
        <w:t xml:space="preserve">rules, a local exchange carrier shall be entitled to assess and collect the full Access Reciprocal Compensation charges prescribed by this subpart that are set forth in a local exchange carrier’s interstate or intrastate tariff for the access services defined in § 51.903 regardless of whether the local exchange carrier itself delivers such traffic to the called party’s premises or delivers the call to the called party’s premises via contractual or other arrangements with an affiliated or unaffiliated provider of interconnected VoIP service, as defined in 47 U.S.C. 153(25), or a non-interconnected VoIP service, as defined in 47 U.S.C. 153(36), that does not itself seek to collect Access Reciprocal Compensation charges prescribed by this subpart for that traffic.  This rule does not permit a local exchange carrier to charge for functions not performed by the local exchange carrier itself or the affiliated or unaffiliated provider of interconnected VoIP service or non-interconnected VoIP service.  For purposes of this provision, functions provided by a LEC as part of transmitting telecommunications between designated points using, in whole or in part, technology other than TDM transmission in a manner that is comparable to a service offered by a local exchange carrier constitutes the functional equivalent of the incumbent local exchange carrier access service. </w:t>
      </w:r>
    </w:p>
    <w:p w:rsidR="005B5C66" w:rsidRPr="00CB6439" w:rsidRDefault="005B5C66" w:rsidP="005B5C66">
      <w:pPr>
        <w:ind w:left="1080" w:right="576"/>
      </w:pPr>
      <w:r w:rsidRPr="00CB6439">
        <w:t xml:space="preserve"> </w:t>
      </w:r>
    </w:p>
    <w:p w:rsidR="00A8716D" w:rsidRDefault="005B5C66" w:rsidP="005B5C66">
      <w:pPr>
        <w:pStyle w:val="BodyText"/>
      </w:pPr>
      <w:r w:rsidRPr="00CB6439">
        <w:tab/>
        <w:t xml:space="preserve">With respect to jurisdictionally identifying the percentage of traffic subject to the VoIP-PSTN framework, the FCC Order provides an alternative for a LEC to specify in its intrastate tariff that the default percentage of VoIP-PSTN traffic is equal to the percentage of VoIP </w:t>
      </w:r>
      <w:r w:rsidRPr="00CB6439">
        <w:lastRenderedPageBreak/>
        <w:t>subscribers in the state based on the Local Competition Report, as released periodically by the FCC unless rebutted by another carrier.</w:t>
      </w:r>
      <w:r w:rsidRPr="00CB6439">
        <w:rPr>
          <w:rStyle w:val="FootnoteReference"/>
        </w:rPr>
        <w:footnoteReference w:id="5"/>
      </w:r>
      <w:r w:rsidR="00A8716D">
        <w:t xml:space="preserve">  </w:t>
      </w:r>
    </w:p>
    <w:p w:rsidR="00A8716D" w:rsidRDefault="00A8716D" w:rsidP="00D73AE3">
      <w:pPr>
        <w:ind w:left="1080" w:right="576"/>
      </w:pPr>
    </w:p>
    <w:p w:rsidR="00D73AE3" w:rsidRPr="00BD7BA4" w:rsidRDefault="00BD7BA4" w:rsidP="009575BA">
      <w:pPr>
        <w:pStyle w:val="BodyText"/>
        <w:rPr>
          <w:color w:val="000000" w:themeColor="text1"/>
          <w:szCs w:val="24"/>
          <w:u w:val="single"/>
        </w:rPr>
      </w:pPr>
      <w:r w:rsidRPr="00BD7BA4">
        <w:rPr>
          <w:color w:val="000000" w:themeColor="text1"/>
          <w:szCs w:val="24"/>
          <w:u w:val="single"/>
        </w:rPr>
        <w:t>DISCUSSION</w:t>
      </w:r>
    </w:p>
    <w:p w:rsidR="00BD7BA4" w:rsidRDefault="00513B3B" w:rsidP="00513B3B">
      <w:pPr>
        <w:pStyle w:val="FootnoteText"/>
        <w:spacing w:before="240"/>
      </w:pPr>
      <w:r>
        <w:tab/>
      </w:r>
      <w:r w:rsidR="005B5C66" w:rsidRPr="00CB6439">
        <w:t xml:space="preserve">Subsequent to the release of the FCC Order, the Commission </w:t>
      </w:r>
      <w:r w:rsidR="005B5C66">
        <w:t xml:space="preserve">has </w:t>
      </w:r>
      <w:r w:rsidR="005B5C66" w:rsidRPr="00CB6439">
        <w:t xml:space="preserve">received VoIP-PSTN tariff </w:t>
      </w:r>
      <w:r w:rsidR="005B5C66">
        <w:t>filings</w:t>
      </w:r>
      <w:r w:rsidR="005B5C66" w:rsidRPr="00CB6439">
        <w:t xml:space="preserve"> from </w:t>
      </w:r>
      <w:r w:rsidR="005B5C66">
        <w:t>numerous</w:t>
      </w:r>
      <w:r w:rsidR="005B5C66" w:rsidRPr="00CB6439">
        <w:t xml:space="preserve"> incumbent and competitive </w:t>
      </w:r>
      <w:r w:rsidR="005B5C66">
        <w:t>local exchange carriers (I</w:t>
      </w:r>
      <w:r w:rsidR="005B5C66" w:rsidRPr="00CB6439">
        <w:t>LEC</w:t>
      </w:r>
      <w:r w:rsidR="005B5C66">
        <w:t>s and CLECs)</w:t>
      </w:r>
      <w:r w:rsidR="005B5C66" w:rsidRPr="00CB6439">
        <w:t xml:space="preserve">.  While the majority of the filings </w:t>
      </w:r>
      <w:r w:rsidR="005B5C66">
        <w:t xml:space="preserve">bear </w:t>
      </w:r>
      <w:r w:rsidR="005B5C66" w:rsidRPr="00CB6439">
        <w:t xml:space="preserve">some resemblance to each other, many of the filings </w:t>
      </w:r>
      <w:r w:rsidR="005B5C66">
        <w:t>follow</w:t>
      </w:r>
      <w:r w:rsidR="005B5C66" w:rsidRPr="00CB6439">
        <w:t xml:space="preserve"> a </w:t>
      </w:r>
      <w:r w:rsidR="005B5C66">
        <w:t xml:space="preserve">more </w:t>
      </w:r>
      <w:r w:rsidR="005B5C66" w:rsidRPr="00CB6439">
        <w:t xml:space="preserve">unique approach.  In order to fully analyze the filings in context to each other and the FCC Order, staff initiated secretarial letters extending the </w:t>
      </w:r>
      <w:r w:rsidR="005B5C66">
        <w:t xml:space="preserve">review period and the </w:t>
      </w:r>
      <w:r w:rsidR="005B5C66" w:rsidRPr="00CB6439">
        <w:t>effective date of each company's proposed revision for 30 days followed by a series of data requests tailored to each individual filing.</w:t>
      </w:r>
      <w:r w:rsidR="005B5C66" w:rsidRPr="00CB6439">
        <w:rPr>
          <w:rStyle w:val="FootnoteReference"/>
        </w:rPr>
        <w:footnoteReference w:id="6"/>
      </w:r>
      <w:r w:rsidR="005B5C66" w:rsidRPr="00CB6439">
        <w:t xml:space="preserve"> </w:t>
      </w:r>
      <w:r w:rsidR="00F46970">
        <w:t xml:space="preserve">  </w:t>
      </w:r>
      <w:r>
        <w:t xml:space="preserve">   </w:t>
      </w:r>
    </w:p>
    <w:p w:rsidR="005B5C66" w:rsidRDefault="005B5C66" w:rsidP="00FC2784"/>
    <w:p w:rsidR="005B5C66" w:rsidRPr="00CF6409" w:rsidRDefault="00FC2784" w:rsidP="005B5C66">
      <w:r>
        <w:tab/>
      </w:r>
      <w:r w:rsidR="005B5C66" w:rsidRPr="00CF6409">
        <w:t xml:space="preserve">Frontier Communications </w:t>
      </w:r>
      <w:r w:rsidR="007006C5" w:rsidRPr="00CF6409">
        <w:t>Commonwealth Telephone Company</w:t>
      </w:r>
      <w:r w:rsidR="005B5C66" w:rsidRPr="00CF6409">
        <w:t xml:space="preserve">’s (Frontier </w:t>
      </w:r>
      <w:r w:rsidR="007006C5" w:rsidRPr="00CF6409">
        <w:t>Commonwealth</w:t>
      </w:r>
      <w:r w:rsidR="005B5C66" w:rsidRPr="00CF6409">
        <w:t xml:space="preserve">’s) filing contains specific provisions for the calculation and application of a Percent-VoIP-Usage (PVU) factor in determining the number of relevant VoIP-PSTN traffic minutes of use (MOU) subject to interstate carrier switched access charges. The filing states that this factor will be calculated based on total intrastate and interstate IP-based traffic and will be applied to the total terminating intrastate access MOU received by Frontier </w:t>
      </w:r>
      <w:r w:rsidR="007006C5" w:rsidRPr="00CF6409">
        <w:t>Commonwealth</w:t>
      </w:r>
      <w:r w:rsidR="005B5C66" w:rsidRPr="00CF6409">
        <w:t xml:space="preserve"> from an interconnected carrier.  </w:t>
      </w:r>
    </w:p>
    <w:p w:rsidR="005B5C66" w:rsidRPr="00CF6409" w:rsidRDefault="005B5C66" w:rsidP="005B5C66"/>
    <w:p w:rsidR="00DA6CCE" w:rsidRPr="00CF6409" w:rsidRDefault="005B5C66" w:rsidP="00767AD3">
      <w:pPr>
        <w:ind w:firstLine="720"/>
      </w:pPr>
      <w:r w:rsidRPr="00CF6409">
        <w:t xml:space="preserve">In its data request, Commission staff asked Frontier </w:t>
      </w:r>
      <w:r w:rsidR="007006C5" w:rsidRPr="00CF6409">
        <w:t>Commonwealth</w:t>
      </w:r>
      <w:r w:rsidRPr="00CF6409">
        <w:t xml:space="preserve"> to explain why its proposed </w:t>
      </w:r>
      <w:r w:rsidR="00863B7D" w:rsidRPr="00CF6409">
        <w:t xml:space="preserve">PVU factor calculation </w:t>
      </w:r>
      <w:r w:rsidRPr="00CF6409">
        <w:t>includes interstate IP-based traffic, rather than solely intrastate IP-based traffic.   In response</w:t>
      </w:r>
      <w:r w:rsidR="00863B7D" w:rsidRPr="00CF6409">
        <w:t>,</w:t>
      </w:r>
      <w:r w:rsidRPr="00CF6409">
        <w:t xml:space="preserve"> Frontier </w:t>
      </w:r>
      <w:r w:rsidR="007006C5" w:rsidRPr="00CF6409">
        <w:t>Commonwealth</w:t>
      </w:r>
      <w:r w:rsidRPr="00CF6409">
        <w:t xml:space="preserve"> reasoned that carriers that terminate traffic to the Company already provide a Percent Interstate Usage (PIU) factor to split terminating traffic jurisdictionally.  Frontier </w:t>
      </w:r>
      <w:r w:rsidR="007006C5" w:rsidRPr="00CF6409">
        <w:t>Commonwealth</w:t>
      </w:r>
      <w:r w:rsidRPr="00CF6409">
        <w:t xml:space="preserve"> also reasoned that it anticipates that carriers will be no more willing or able to identify VoIP-PSTN traffic jurisdictionally than they are total traffic terminating to Frontier PA and therefore Frontier </w:t>
      </w:r>
      <w:r w:rsidR="007006C5" w:rsidRPr="00CF6409">
        <w:t>Commonwealth</w:t>
      </w:r>
      <w:r w:rsidRPr="00CF6409">
        <w:t xml:space="preserve"> tariffs will allow for the total traffic to be used in determining the PVU.   Frontier </w:t>
      </w:r>
      <w:r w:rsidR="007006C5" w:rsidRPr="00CF6409">
        <w:t>Commonwealth</w:t>
      </w:r>
      <w:r w:rsidRPr="00CF6409">
        <w:t xml:space="preserve"> further notes that PVU factors will be carrier specific and will be treated as confidential.  It contemplates maintaining the PVU factors used historically in its internal billing systems records, much as PIU factors are maintained today.</w:t>
      </w:r>
      <w:r w:rsidRPr="00CF6409">
        <w:rPr>
          <w:rStyle w:val="FootnoteReference"/>
        </w:rPr>
        <w:t xml:space="preserve"> </w:t>
      </w:r>
      <w:r w:rsidRPr="00CF6409">
        <w:rPr>
          <w:rStyle w:val="FootnoteReference"/>
        </w:rPr>
        <w:footnoteReference w:id="7"/>
      </w:r>
    </w:p>
    <w:p w:rsidR="00046098" w:rsidRPr="00CF6409" w:rsidRDefault="00046098" w:rsidP="00FC2784"/>
    <w:p w:rsidR="00FC2784" w:rsidRDefault="00FC2784" w:rsidP="00FC2784">
      <w:r w:rsidRPr="00CF6409">
        <w:tab/>
      </w:r>
      <w:r w:rsidR="00863B7D" w:rsidRPr="00CF6409">
        <w:t>Generically, each company</w:t>
      </w:r>
      <w:r w:rsidR="00863B7D" w:rsidRPr="00CB6439">
        <w:t xml:space="preserve"> was directed to include in its tariff rate </w:t>
      </w:r>
      <w:r w:rsidR="00863B7D">
        <w:t xml:space="preserve">specific </w:t>
      </w:r>
      <w:r w:rsidR="00863B7D" w:rsidRPr="00CB6439">
        <w:t>elements and rates governing VOIP-PSTN traffic as opposed to simply referencing the company’s interstate switched access tariff</w:t>
      </w:r>
      <w:r w:rsidR="00863B7D">
        <w:t xml:space="preserve"> that is under FCC jurisdiction</w:t>
      </w:r>
      <w:r w:rsidR="00863B7D" w:rsidRPr="00CB6439">
        <w:t xml:space="preserve">.  We note that the Commission always requires the inclusion of rates with any LEC tariff filing made with us.  Therefore, replacement pages were filed by </w:t>
      </w:r>
      <w:r w:rsidR="00863B7D">
        <w:rPr>
          <w:szCs w:val="24"/>
        </w:rPr>
        <w:t>Frontier</w:t>
      </w:r>
      <w:r w:rsidR="00863B7D" w:rsidRPr="00CB6439">
        <w:rPr>
          <w:szCs w:val="24"/>
        </w:rPr>
        <w:t xml:space="preserve"> PA</w:t>
      </w:r>
      <w:r w:rsidR="00863B7D" w:rsidRPr="00CB6439">
        <w:t xml:space="preserve"> removing references to its federal switched access tariffs and </w:t>
      </w:r>
      <w:r w:rsidR="00863B7D" w:rsidRPr="00CB6439">
        <w:lastRenderedPageBreak/>
        <w:t>instead physically inserting the applicable</w:t>
      </w:r>
      <w:r w:rsidR="00863B7D">
        <w:t xml:space="preserve"> VoIP-PSTN</w:t>
      </w:r>
      <w:r w:rsidR="00863B7D" w:rsidRPr="00CB6439">
        <w:t xml:space="preserve"> </w:t>
      </w:r>
      <w:r w:rsidR="00863B7D">
        <w:t xml:space="preserve">intrastate carrier access </w:t>
      </w:r>
      <w:r w:rsidR="00863B7D" w:rsidRPr="00CB6439">
        <w:t>rates</w:t>
      </w:r>
      <w:r w:rsidR="00863B7D">
        <w:t xml:space="preserve"> that will be prospectively mirroring interstate (federal) carrier switched access rates</w:t>
      </w:r>
      <w:r w:rsidR="00863B7D" w:rsidRPr="00CB6439">
        <w:t xml:space="preserve">.  </w:t>
      </w:r>
      <w:r w:rsidR="00863B7D">
        <w:t>In this respect, the utilization of interstate (federal) carrier switched access rates for intrastate VoIP-PSTN traffic represents a rate reduction in the currently applicable intrastate carrier access charges of Frontier PA that otherwise remain within this Commission’s jurisdiction.</w:t>
      </w:r>
      <w:r>
        <w:t xml:space="preserve">  </w:t>
      </w:r>
    </w:p>
    <w:p w:rsidR="00863B7D" w:rsidRDefault="00863B7D" w:rsidP="002D29EB">
      <w:pPr>
        <w:pStyle w:val="FootnoteText"/>
        <w:rPr>
          <w:color w:val="000000" w:themeColor="text1"/>
        </w:rPr>
      </w:pPr>
    </w:p>
    <w:p w:rsidR="008E2D0E" w:rsidRPr="00CF6409" w:rsidRDefault="002D29EB" w:rsidP="002D29EB">
      <w:pPr>
        <w:pStyle w:val="FootnoteText"/>
        <w:rPr>
          <w:szCs w:val="24"/>
        </w:rPr>
      </w:pPr>
      <w:r>
        <w:rPr>
          <w:color w:val="000000" w:themeColor="text1"/>
        </w:rPr>
        <w:tab/>
      </w:r>
      <w:r w:rsidR="00FC2784" w:rsidRPr="00CF6409">
        <w:t>Specific to the instant filing</w:t>
      </w:r>
      <w:r w:rsidR="00BB59E1" w:rsidRPr="00CF6409">
        <w:t xml:space="preserve">, </w:t>
      </w:r>
      <w:r w:rsidR="00863B7D" w:rsidRPr="00CF6409">
        <w:rPr>
          <w:szCs w:val="24"/>
        </w:rPr>
        <w:t xml:space="preserve">Frontier </w:t>
      </w:r>
      <w:r w:rsidR="007006C5" w:rsidRPr="00CF6409">
        <w:rPr>
          <w:szCs w:val="24"/>
        </w:rPr>
        <w:t>Commonwealth</w:t>
      </w:r>
      <w:r w:rsidR="00BB59E1" w:rsidRPr="00CF6409">
        <w:rPr>
          <w:szCs w:val="24"/>
        </w:rPr>
        <w:t xml:space="preserve"> originally stated in its cover letter that</w:t>
      </w:r>
      <w:r w:rsidR="00863B7D" w:rsidRPr="00CF6409">
        <w:rPr>
          <w:szCs w:val="24"/>
        </w:rPr>
        <w:t xml:space="preserve"> </w:t>
      </w:r>
      <w:r w:rsidR="00BB59E1" w:rsidRPr="00CF6409">
        <w:rPr>
          <w:szCs w:val="24"/>
        </w:rPr>
        <w:t>"</w:t>
      </w:r>
      <w:r w:rsidR="00863B7D" w:rsidRPr="00CF6409">
        <w:rPr>
          <w:szCs w:val="24"/>
        </w:rPr>
        <w:t>[s]</w:t>
      </w:r>
      <w:proofErr w:type="spellStart"/>
      <w:r w:rsidR="00863B7D" w:rsidRPr="00CF6409">
        <w:rPr>
          <w:szCs w:val="24"/>
        </w:rPr>
        <w:t>ince</w:t>
      </w:r>
      <w:proofErr w:type="spellEnd"/>
      <w:r w:rsidR="00863B7D" w:rsidRPr="00CF6409">
        <w:rPr>
          <w:szCs w:val="24"/>
        </w:rPr>
        <w:t xml:space="preserve"> this filing represents a prospective rate decrease to a non-competitive service, </w:t>
      </w:r>
      <w:r w:rsidR="00BB59E1" w:rsidRPr="00CF6409">
        <w:rPr>
          <w:szCs w:val="24"/>
        </w:rPr>
        <w:t xml:space="preserve"> pursuant to its alternative regulation plan and 66 Pa. C.S. § 3017(a) </w:t>
      </w:r>
      <w:r w:rsidR="00863B7D" w:rsidRPr="00CF6409">
        <w:rPr>
          <w:szCs w:val="24"/>
        </w:rPr>
        <w:t>Frontier [PA] may propose offsetting revenue-neutral recovery from other non-competitive services.</w:t>
      </w:r>
      <w:r w:rsidR="00BB59E1" w:rsidRPr="00CF6409">
        <w:rPr>
          <w:szCs w:val="24"/>
        </w:rPr>
        <w:t>"</w:t>
      </w:r>
      <w:r w:rsidR="00863B7D" w:rsidRPr="00CF6409">
        <w:rPr>
          <w:szCs w:val="24"/>
        </w:rPr>
        <w:t xml:space="preserve"> </w:t>
      </w:r>
      <w:r w:rsidR="00BB59E1" w:rsidRPr="00CF6409">
        <w:rPr>
          <w:szCs w:val="24"/>
        </w:rPr>
        <w:t xml:space="preserve"> However,</w:t>
      </w:r>
      <w:r w:rsidRPr="00CF6409">
        <w:rPr>
          <w:szCs w:val="24"/>
        </w:rPr>
        <w:t xml:space="preserve"> in response to staff data requests, </w:t>
      </w:r>
      <w:r w:rsidR="00863B7D" w:rsidRPr="00CF6409">
        <w:rPr>
          <w:szCs w:val="24"/>
        </w:rPr>
        <w:t xml:space="preserve">Frontier </w:t>
      </w:r>
      <w:r w:rsidR="007006C5" w:rsidRPr="00CF6409">
        <w:rPr>
          <w:szCs w:val="24"/>
        </w:rPr>
        <w:t>Commonwealth</w:t>
      </w:r>
      <w:r w:rsidR="00BB59E1" w:rsidRPr="00CF6409">
        <w:rPr>
          <w:szCs w:val="24"/>
        </w:rPr>
        <w:t xml:space="preserve"> withdrew this statement </w:t>
      </w:r>
      <w:r w:rsidRPr="00CF6409">
        <w:t>and is not reserving any right to make a filing seeking to implement a revenue neutral offset.</w:t>
      </w:r>
      <w:r w:rsidR="00863B7D" w:rsidRPr="00CF6409">
        <w:rPr>
          <w:rStyle w:val="FootnoteReference"/>
        </w:rPr>
        <w:t xml:space="preserve"> </w:t>
      </w:r>
      <w:r w:rsidR="00863B7D" w:rsidRPr="00CF6409">
        <w:rPr>
          <w:rStyle w:val="FootnoteReference"/>
        </w:rPr>
        <w:footnoteReference w:id="8"/>
      </w:r>
      <w:r w:rsidRPr="00CF6409">
        <w:t> </w:t>
      </w:r>
      <w:r w:rsidR="00BB59E1" w:rsidRPr="00CF6409">
        <w:rPr>
          <w:szCs w:val="24"/>
        </w:rPr>
        <w:t xml:space="preserve">     </w:t>
      </w:r>
    </w:p>
    <w:p w:rsidR="00990D57" w:rsidRDefault="00990D57" w:rsidP="00990D57">
      <w:pPr>
        <w:rPr>
          <w:color w:val="1F497D"/>
        </w:rPr>
      </w:pPr>
    </w:p>
    <w:p w:rsidR="008E2D0E" w:rsidRPr="00D83F25" w:rsidRDefault="00A571F4" w:rsidP="00990D57">
      <w:pPr>
        <w:pStyle w:val="FootnoteText"/>
        <w:rPr>
          <w:color w:val="000000" w:themeColor="text1"/>
          <w:szCs w:val="24"/>
          <w:u w:val="single"/>
        </w:rPr>
      </w:pPr>
      <w:r w:rsidRPr="00CB6439">
        <w:rPr>
          <w:u w:val="single"/>
        </w:rPr>
        <w:t>ADDIT</w:t>
      </w:r>
      <w:r>
        <w:rPr>
          <w:u w:val="single"/>
        </w:rPr>
        <w:t>I</w:t>
      </w:r>
      <w:r w:rsidRPr="00CB6439">
        <w:rPr>
          <w:u w:val="single"/>
        </w:rPr>
        <w:t>ONAL</w:t>
      </w:r>
      <w:r w:rsidR="00D83F25" w:rsidRPr="00D83F25">
        <w:rPr>
          <w:color w:val="000000" w:themeColor="text1"/>
          <w:szCs w:val="24"/>
          <w:u w:val="single"/>
        </w:rPr>
        <w:t xml:space="preserve"> MATTERS </w:t>
      </w:r>
    </w:p>
    <w:p w:rsidR="00F82EEB" w:rsidRPr="00F82EEB" w:rsidRDefault="00F82EEB" w:rsidP="009575BA">
      <w:pPr>
        <w:pStyle w:val="BodyText"/>
        <w:rPr>
          <w:color w:val="000000" w:themeColor="text1"/>
          <w:szCs w:val="24"/>
        </w:rPr>
      </w:pPr>
    </w:p>
    <w:p w:rsidR="00483F68" w:rsidRDefault="00483F68" w:rsidP="00483F68">
      <w:pPr>
        <w:ind w:firstLine="720"/>
      </w:pPr>
      <w:r w:rsidRPr="00CB6439">
        <w:t xml:space="preserve">The Commission has filed an appeal of the FCC </w:t>
      </w:r>
      <w:r>
        <w:t>O</w:t>
      </w:r>
      <w:r w:rsidRPr="00CB6439">
        <w:t>rder giving rise to this tariff filing.</w:t>
      </w:r>
      <w:r>
        <w:rPr>
          <w:rStyle w:val="FootnoteReference"/>
        </w:rPr>
        <w:footnoteReference w:id="9"/>
      </w:r>
      <w:r w:rsidRPr="00CB6439">
        <w:t xml:space="preserve">  The Commission’s </w:t>
      </w:r>
      <w:r>
        <w:t>review of this tariff filing and secretarial letter are</w:t>
      </w:r>
      <w:r w:rsidRPr="00CB6439">
        <w:t xml:space="preserve"> without prejudice to the impact that </w:t>
      </w:r>
      <w:r>
        <w:t xml:space="preserve">the federal </w:t>
      </w:r>
      <w:r w:rsidRPr="00CB6439">
        <w:t>appeal or related developments may have on this filing</w:t>
      </w:r>
      <w:r>
        <w:t>, and the effective rates in this tariff filing are subject to true-up, including ref</w:t>
      </w:r>
      <w:r w:rsidR="00172F93">
        <w:t xml:space="preserve">unds in accordance with Section </w:t>
      </w:r>
      <w:r w:rsidR="00CF6409">
        <w:t>1312 of the Public Utility Code</w:t>
      </w:r>
      <w:r>
        <w:t xml:space="preserve"> </w:t>
      </w:r>
      <w:r w:rsidR="00CF6409">
        <w:t>(</w:t>
      </w:r>
      <w:r>
        <w:t>66 Pa. C.S. § 1312</w:t>
      </w:r>
      <w:r w:rsidR="00CF6409">
        <w:t>)</w:t>
      </w:r>
      <w:r w:rsidRPr="00CB6439">
        <w:t xml:space="preserve">.  The </w:t>
      </w:r>
      <w:r>
        <w:t>Company</w:t>
      </w:r>
      <w:r w:rsidRPr="00CB6439">
        <w:t xml:space="preserve"> should maintain records sufficient to comply with the Commission’s record keeping requirements and, in addition, those set forth by the FCC.  The </w:t>
      </w:r>
      <w:r>
        <w:t>Company</w:t>
      </w:r>
      <w:r w:rsidRPr="00CB6439">
        <w:t xml:space="preserve">’s failure to do so may impact its ability to address the interplay of the filing </w:t>
      </w:r>
      <w:r>
        <w:t xml:space="preserve">addressed </w:t>
      </w:r>
      <w:r w:rsidRPr="00CB6439">
        <w:t>today and any subsequent developments</w:t>
      </w:r>
      <w:r>
        <w:t xml:space="preserve"> following today's action</w:t>
      </w:r>
      <w:r w:rsidRPr="00CB6439">
        <w:t>.</w:t>
      </w:r>
      <w:r>
        <w:t xml:space="preserve">  </w:t>
      </w:r>
    </w:p>
    <w:p w:rsidR="00483F68" w:rsidRPr="00CB6439" w:rsidRDefault="00483F68" w:rsidP="00483F68">
      <w:pPr>
        <w:pStyle w:val="BodyText"/>
        <w:ind w:firstLine="720"/>
        <w:rPr>
          <w:szCs w:val="24"/>
        </w:rPr>
      </w:pPr>
    </w:p>
    <w:p w:rsidR="00483F68" w:rsidRPr="00CB6439" w:rsidRDefault="00012F99" w:rsidP="00483F68">
      <w:pPr>
        <w:pStyle w:val="BodyText"/>
        <w:ind w:firstLine="720"/>
        <w:rPr>
          <w:szCs w:val="24"/>
        </w:rPr>
      </w:pPr>
      <w:r>
        <w:rPr>
          <w:noProof/>
        </w:rPr>
        <w:drawing>
          <wp:anchor distT="0" distB="0" distL="114300" distR="114300" simplePos="0" relativeHeight="251658240" behindDoc="1" locked="0" layoutInCell="1" allowOverlap="1" wp14:anchorId="7C13E084" wp14:editId="219924DC">
            <wp:simplePos x="0" y="0"/>
            <wp:positionH relativeFrom="column">
              <wp:posOffset>2330450</wp:posOffset>
            </wp:positionH>
            <wp:positionV relativeFrom="paragraph">
              <wp:posOffset>584835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83F68" w:rsidRPr="00CB6439">
        <w:rPr>
          <w:szCs w:val="24"/>
        </w:rPr>
        <w:t>If you are dissatisfied with the resolution of this matter, you may, as set forth in 52 Pa. Code § 5.44, file a petition with the Commission within 20 days of the date of this letter.  If you have any questions in this matter, please contact Andrew Showers, Telco Group, Bureau of Technical Utility Services at (717)</w:t>
      </w:r>
      <w:r w:rsidR="00483F68">
        <w:rPr>
          <w:szCs w:val="24"/>
        </w:rPr>
        <w:t xml:space="preserve"> </w:t>
      </w:r>
      <w:r w:rsidR="00483F68" w:rsidRPr="00CB6439">
        <w:rPr>
          <w:szCs w:val="24"/>
        </w:rPr>
        <w:t xml:space="preserve">214-2186 or </w:t>
      </w:r>
      <w:r w:rsidR="00483F68" w:rsidRPr="00CB6439">
        <w:rPr>
          <w:szCs w:val="24"/>
          <w:u w:val="single"/>
        </w:rPr>
        <w:t>ashowers@pa.gov</w:t>
      </w:r>
      <w:r w:rsidR="00483F68" w:rsidRPr="00CB6439">
        <w:rPr>
          <w:szCs w:val="24"/>
        </w:rPr>
        <w:t xml:space="preserve">. </w:t>
      </w:r>
    </w:p>
    <w:p w:rsidR="00483F68" w:rsidRPr="00CB6439" w:rsidRDefault="00483F68" w:rsidP="00483F68">
      <w:pPr>
        <w:rPr>
          <w:szCs w:val="24"/>
        </w:rPr>
      </w:pPr>
    </w:p>
    <w:p w:rsidR="00483F68" w:rsidRPr="00CB6439" w:rsidRDefault="00483F68" w:rsidP="00483F68">
      <w:pPr>
        <w:rPr>
          <w:szCs w:val="24"/>
        </w:rPr>
      </w:pPr>
      <w:r w:rsidRPr="00CB6439">
        <w:rPr>
          <w:szCs w:val="24"/>
        </w:rPr>
        <w:tab/>
      </w:r>
      <w:r w:rsidRPr="00CB6439">
        <w:rPr>
          <w:szCs w:val="24"/>
        </w:rPr>
        <w:tab/>
      </w:r>
      <w:r w:rsidRPr="00CB6439">
        <w:rPr>
          <w:szCs w:val="24"/>
        </w:rPr>
        <w:tab/>
      </w:r>
      <w:r w:rsidRPr="00CB6439">
        <w:rPr>
          <w:szCs w:val="24"/>
        </w:rPr>
        <w:tab/>
      </w:r>
      <w:r w:rsidRPr="00CB6439">
        <w:rPr>
          <w:szCs w:val="24"/>
        </w:rPr>
        <w:tab/>
      </w:r>
      <w:r w:rsidRPr="00CB6439">
        <w:rPr>
          <w:szCs w:val="24"/>
        </w:rPr>
        <w:tab/>
        <w:t>Sincerely,</w:t>
      </w:r>
    </w:p>
    <w:p w:rsidR="00483F68" w:rsidRPr="00CB6439" w:rsidRDefault="00483F68" w:rsidP="00483F68">
      <w:pPr>
        <w:rPr>
          <w:szCs w:val="24"/>
        </w:rPr>
      </w:pPr>
    </w:p>
    <w:p w:rsidR="00483F68" w:rsidRPr="00CB6439" w:rsidRDefault="00483F68" w:rsidP="00483F68">
      <w:pPr>
        <w:pStyle w:val="Heading2"/>
        <w:tabs>
          <w:tab w:val="left" w:pos="4320"/>
        </w:tabs>
        <w:ind w:left="0" w:firstLine="0"/>
        <w:rPr>
          <w:szCs w:val="24"/>
        </w:rPr>
      </w:pPr>
      <w:r w:rsidRPr="00CB6439">
        <w:rPr>
          <w:szCs w:val="24"/>
        </w:rPr>
        <w:tab/>
      </w:r>
      <w:bookmarkStart w:id="1" w:name="_GoBack"/>
      <w:bookmarkEnd w:id="1"/>
      <w:r w:rsidRPr="00CB6439">
        <w:rPr>
          <w:szCs w:val="24"/>
        </w:rPr>
        <w:t>Rosemary Chiavetta</w:t>
      </w:r>
    </w:p>
    <w:p w:rsidR="00483F68" w:rsidRPr="00CB6439" w:rsidRDefault="00483F68" w:rsidP="00483F68">
      <w:pPr>
        <w:pStyle w:val="Heading2"/>
        <w:tabs>
          <w:tab w:val="left" w:pos="4320"/>
        </w:tabs>
        <w:ind w:left="0" w:firstLine="0"/>
        <w:rPr>
          <w:szCs w:val="24"/>
        </w:rPr>
      </w:pPr>
      <w:r w:rsidRPr="00CB6439">
        <w:rPr>
          <w:szCs w:val="24"/>
        </w:rPr>
        <w:tab/>
        <w:t>Secretary</w:t>
      </w:r>
    </w:p>
    <w:p w:rsidR="00483F68" w:rsidRPr="00CB6439" w:rsidRDefault="00483F68" w:rsidP="00483F68">
      <w:pPr>
        <w:rPr>
          <w:szCs w:val="24"/>
        </w:rPr>
      </w:pPr>
    </w:p>
    <w:p w:rsidR="00483F68" w:rsidRDefault="00483F68" w:rsidP="00483F68">
      <w:pPr>
        <w:rPr>
          <w:szCs w:val="24"/>
        </w:rPr>
      </w:pPr>
      <w:r w:rsidRPr="00CB6439">
        <w:rPr>
          <w:szCs w:val="24"/>
        </w:rPr>
        <w:t>cc:</w:t>
      </w:r>
      <w:r w:rsidRPr="00CB6439">
        <w:rPr>
          <w:szCs w:val="24"/>
        </w:rPr>
        <w:tab/>
      </w:r>
      <w:r>
        <w:rPr>
          <w:szCs w:val="24"/>
        </w:rPr>
        <w:t xml:space="preserve">Office of Chairman Robert F. </w:t>
      </w:r>
      <w:proofErr w:type="spellStart"/>
      <w:r>
        <w:rPr>
          <w:szCs w:val="24"/>
        </w:rPr>
        <w:t>Powelson</w:t>
      </w:r>
      <w:proofErr w:type="spellEnd"/>
    </w:p>
    <w:p w:rsidR="00483F68" w:rsidRDefault="00483F68" w:rsidP="00483F68">
      <w:pPr>
        <w:rPr>
          <w:szCs w:val="24"/>
        </w:rPr>
      </w:pPr>
      <w:r>
        <w:rPr>
          <w:szCs w:val="24"/>
        </w:rPr>
        <w:tab/>
      </w:r>
      <w:proofErr w:type="gramStart"/>
      <w:r>
        <w:rPr>
          <w:szCs w:val="24"/>
        </w:rPr>
        <w:t>Office of Vice Chairman John F. Coleman, Jr.</w:t>
      </w:r>
      <w:proofErr w:type="gramEnd"/>
    </w:p>
    <w:p w:rsidR="00483F68" w:rsidRDefault="00483F68" w:rsidP="00483F68">
      <w:pPr>
        <w:rPr>
          <w:szCs w:val="24"/>
        </w:rPr>
      </w:pPr>
      <w:r>
        <w:rPr>
          <w:szCs w:val="24"/>
        </w:rPr>
        <w:tab/>
        <w:t>Office of Commissioner Wayne E. Gardner</w:t>
      </w:r>
    </w:p>
    <w:p w:rsidR="00483F68" w:rsidRDefault="00483F68" w:rsidP="00483F68">
      <w:pPr>
        <w:rPr>
          <w:szCs w:val="24"/>
        </w:rPr>
      </w:pPr>
      <w:r>
        <w:rPr>
          <w:szCs w:val="24"/>
        </w:rPr>
        <w:tab/>
        <w:t xml:space="preserve">Office of Commissioner James H. </w:t>
      </w:r>
      <w:proofErr w:type="spellStart"/>
      <w:r>
        <w:rPr>
          <w:szCs w:val="24"/>
        </w:rPr>
        <w:t>Cawley</w:t>
      </w:r>
      <w:proofErr w:type="spellEnd"/>
    </w:p>
    <w:p w:rsidR="00483F68" w:rsidRPr="00CB6439" w:rsidRDefault="00483F68" w:rsidP="00483F68">
      <w:pPr>
        <w:rPr>
          <w:szCs w:val="24"/>
        </w:rPr>
      </w:pPr>
      <w:r>
        <w:rPr>
          <w:szCs w:val="24"/>
        </w:rPr>
        <w:tab/>
        <w:t>Office of Commissioner Pamela A. Witmer</w:t>
      </w:r>
    </w:p>
    <w:p w:rsidR="00483F68" w:rsidRPr="002E699B" w:rsidRDefault="00483F68" w:rsidP="00483F68">
      <w:pPr>
        <w:rPr>
          <w:color w:val="FF00FF"/>
          <w:szCs w:val="24"/>
        </w:rPr>
      </w:pPr>
      <w:r>
        <w:rPr>
          <w:color w:val="FF00FF"/>
          <w:szCs w:val="24"/>
        </w:rPr>
        <w:tab/>
      </w:r>
      <w:r w:rsidRPr="00CB6439">
        <w:rPr>
          <w:szCs w:val="24"/>
        </w:rPr>
        <w:t>Elaine McDonald, TUS</w:t>
      </w:r>
    </w:p>
    <w:p w:rsidR="00A24641" w:rsidRPr="002E699B" w:rsidRDefault="00A24641" w:rsidP="00483F68">
      <w:pPr>
        <w:pStyle w:val="BodyText"/>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44" w:rsidRDefault="00463244">
      <w:r>
        <w:separator/>
      </w:r>
    </w:p>
  </w:endnote>
  <w:endnote w:type="continuationSeparator" w:id="0">
    <w:p w:rsidR="00463244" w:rsidRDefault="0046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409231"/>
      <w:docPartObj>
        <w:docPartGallery w:val="Page Numbers (Bottom of Page)"/>
        <w:docPartUnique/>
      </w:docPartObj>
    </w:sdtPr>
    <w:sdtEndPr>
      <w:rPr>
        <w:noProof/>
      </w:rPr>
    </w:sdtEndPr>
    <w:sdtContent>
      <w:p w:rsidR="00DA6CCE" w:rsidRDefault="00DA6CCE">
        <w:pPr>
          <w:pStyle w:val="Footer"/>
          <w:jc w:val="center"/>
        </w:pPr>
        <w:r>
          <w:fldChar w:fldCharType="begin"/>
        </w:r>
        <w:r>
          <w:instrText xml:space="preserve"> PAGE   \* MERGEFORMAT </w:instrText>
        </w:r>
        <w:r>
          <w:fldChar w:fldCharType="separate"/>
        </w:r>
        <w:r w:rsidR="00012F99">
          <w:rPr>
            <w:noProof/>
          </w:rPr>
          <w:t>5</w:t>
        </w:r>
        <w:r>
          <w:rPr>
            <w:noProof/>
          </w:rPr>
          <w:fldChar w:fldCharType="end"/>
        </w:r>
      </w:p>
    </w:sdtContent>
  </w:sdt>
  <w:p w:rsidR="00DA6CCE" w:rsidRDefault="00DA6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44" w:rsidRDefault="00463244">
      <w:r>
        <w:separator/>
      </w:r>
    </w:p>
  </w:footnote>
  <w:footnote w:type="continuationSeparator" w:id="0">
    <w:p w:rsidR="00463244" w:rsidRDefault="00463244">
      <w:r>
        <w:continuationSeparator/>
      </w:r>
    </w:p>
  </w:footnote>
  <w:footnote w:id="1">
    <w:p w:rsidR="005B5C66" w:rsidRPr="00BB7115" w:rsidRDefault="005B5C66" w:rsidP="005B5C66">
      <w:pPr>
        <w:pStyle w:val="FootnoteText"/>
      </w:pPr>
      <w:r>
        <w:rPr>
          <w:rStyle w:val="FootnoteReference"/>
        </w:rPr>
        <w:footnoteRef/>
      </w:r>
      <w:r>
        <w:t xml:space="preserve"> </w:t>
      </w:r>
      <w:r>
        <w:rPr>
          <w:i/>
        </w:rPr>
        <w:t xml:space="preserve">See </w:t>
      </w:r>
      <w:r>
        <w:t xml:space="preserve">FCC Order adopted October 27, 2011, and Released November 18, 2011: </w:t>
      </w:r>
      <w:r w:rsidRPr="00751CCB">
        <w:rPr>
          <w:i/>
        </w:rPr>
        <w:t>In the Matter of Connect America Fund</w:t>
      </w:r>
      <w:r>
        <w:t xml:space="preserve">, WC Docket No. 10-90; </w:t>
      </w:r>
      <w:r w:rsidRPr="00751CCB">
        <w:rPr>
          <w:i/>
        </w:rPr>
        <w:t>A National Broadband Plan for Our Future</w:t>
      </w:r>
      <w:r>
        <w:t xml:space="preserve">, GN Docket No. 09-51; </w:t>
      </w:r>
      <w:r w:rsidRPr="00751CCB">
        <w:rPr>
          <w:i/>
        </w:rPr>
        <w:t>Establishing Just and Reasonable Rates for Local Exchange Carriers</w:t>
      </w:r>
      <w:r>
        <w:t xml:space="preserve">, WC Docket No. 07-135;  </w:t>
      </w:r>
      <w:r w:rsidRPr="00751CCB">
        <w:rPr>
          <w:i/>
        </w:rPr>
        <w:t>High-Cost Universal Service Support</w:t>
      </w:r>
      <w:r>
        <w:t xml:space="preserve">, WC Docket No. 05-337; </w:t>
      </w:r>
      <w:r w:rsidRPr="00751CCB">
        <w:rPr>
          <w:i/>
        </w:rPr>
        <w:t xml:space="preserve">Developing an Unified </w:t>
      </w:r>
      <w:proofErr w:type="spellStart"/>
      <w:r w:rsidRPr="00751CCB">
        <w:rPr>
          <w:i/>
        </w:rPr>
        <w:t>Intercarrier</w:t>
      </w:r>
      <w:proofErr w:type="spellEnd"/>
      <w:r w:rsidRPr="00751CCB">
        <w:rPr>
          <w:i/>
        </w:rPr>
        <w:t xml:space="preserve"> Compensation Regime</w:t>
      </w:r>
      <w:r>
        <w:t xml:space="preserve">, CC Docket No. 01-92; </w:t>
      </w:r>
      <w:r w:rsidRPr="00751CCB">
        <w:rPr>
          <w:i/>
        </w:rPr>
        <w:t xml:space="preserve">Federal-State Joint Board on Universal Service, </w:t>
      </w:r>
      <w:r>
        <w:t xml:space="preserve">CC Docket No. 96-45; </w:t>
      </w:r>
      <w:r w:rsidRPr="00751CCB">
        <w:rPr>
          <w:i/>
        </w:rPr>
        <w:t>Lifeline and Link-Up</w:t>
      </w:r>
      <w:r>
        <w:t>, WC Docket No. 03</w:t>
      </w:r>
      <w:r>
        <w:noBreakHyphen/>
        <w:t xml:space="preserve">109; </w:t>
      </w:r>
      <w:r w:rsidRPr="00751CCB">
        <w:rPr>
          <w:i/>
        </w:rPr>
        <w:t>Universal Service Reform - Mobility Fund</w:t>
      </w:r>
      <w:r>
        <w:t>, WT Docket No. 10-208 (FCC Order).</w:t>
      </w:r>
    </w:p>
  </w:footnote>
  <w:footnote w:id="2">
    <w:p w:rsidR="005B5C66" w:rsidRPr="00532482" w:rsidRDefault="005B5C66" w:rsidP="005B5C66">
      <w:pPr>
        <w:pStyle w:val="FootnoteText"/>
        <w:spacing w:before="240"/>
      </w:pPr>
      <w:r>
        <w:rPr>
          <w:rStyle w:val="FootnoteReference"/>
        </w:rPr>
        <w:footnoteRef/>
      </w:r>
      <w:r>
        <w:t xml:space="preserve"> </w:t>
      </w:r>
      <w:r>
        <w:rPr>
          <w:i/>
        </w:rPr>
        <w:t xml:space="preserve">Id., </w:t>
      </w:r>
      <w:r>
        <w:t xml:space="preserve">¶933 sets forth default </w:t>
      </w:r>
      <w:proofErr w:type="spellStart"/>
      <w:r>
        <w:t>intercarrier</w:t>
      </w:r>
      <w:proofErr w:type="spellEnd"/>
      <w:r>
        <w:t xml:space="preserve"> compensation rates for VoIP-PSTN toll traffic as equal to interstate access rates while default </w:t>
      </w:r>
      <w:proofErr w:type="spellStart"/>
      <w:r>
        <w:t>intercarrier</w:t>
      </w:r>
      <w:proofErr w:type="spellEnd"/>
      <w:r>
        <w:t xml:space="preserve"> compensation rates for other VoIP-PSTN traffic are the otherwise applicable reciprocal compensation rates.  </w:t>
      </w:r>
      <w:proofErr w:type="gramStart"/>
      <w:r>
        <w:t>FCC Order at 339.</w:t>
      </w:r>
      <w:proofErr w:type="gramEnd"/>
    </w:p>
  </w:footnote>
  <w:footnote w:id="3">
    <w:p w:rsidR="005B5C66" w:rsidRPr="00D73AE3" w:rsidRDefault="005B5C66" w:rsidP="005B5C66">
      <w:pPr>
        <w:pStyle w:val="FootnoteText"/>
        <w:spacing w:before="240"/>
      </w:pPr>
      <w:r>
        <w:rPr>
          <w:rStyle w:val="FootnoteReference"/>
        </w:rPr>
        <w:footnoteRef/>
      </w:r>
      <w:r>
        <w:t xml:space="preserve"> </w:t>
      </w:r>
      <w:proofErr w:type="gramStart"/>
      <w:r>
        <w:rPr>
          <w:i/>
        </w:rPr>
        <w:t xml:space="preserve">Id., </w:t>
      </w:r>
      <w:r>
        <w:t>¶940, at 342-343.</w:t>
      </w:r>
      <w:proofErr w:type="gramEnd"/>
    </w:p>
  </w:footnote>
  <w:footnote w:id="4">
    <w:p w:rsidR="005B5C66" w:rsidRPr="00345278" w:rsidRDefault="005B5C66" w:rsidP="005B5C66">
      <w:pPr>
        <w:pStyle w:val="FootnoteText"/>
        <w:spacing w:before="240"/>
      </w:pPr>
      <w:r>
        <w:rPr>
          <w:rStyle w:val="FootnoteReference"/>
        </w:rPr>
        <w:footnoteRef/>
      </w:r>
      <w:r>
        <w:t xml:space="preserve"> </w:t>
      </w:r>
      <w:r>
        <w:rPr>
          <w:i/>
        </w:rPr>
        <w:t>Id.,</w:t>
      </w:r>
      <w:r>
        <w:t xml:space="preserve"> Appendix A, Final Rules, at 515-516.</w:t>
      </w:r>
    </w:p>
  </w:footnote>
  <w:footnote w:id="5">
    <w:p w:rsidR="005B5C66" w:rsidRPr="00A8716D" w:rsidRDefault="005B5C66" w:rsidP="005B5C66">
      <w:pPr>
        <w:pStyle w:val="FootnoteText"/>
      </w:pPr>
      <w:r>
        <w:rPr>
          <w:rStyle w:val="FootnoteReference"/>
        </w:rPr>
        <w:footnoteRef/>
      </w:r>
      <w:r>
        <w:t xml:space="preserve"> </w:t>
      </w:r>
      <w:proofErr w:type="gramStart"/>
      <w:r>
        <w:rPr>
          <w:i/>
        </w:rPr>
        <w:t xml:space="preserve">Id., </w:t>
      </w:r>
      <w:r>
        <w:t>¶963, at 357-359.</w:t>
      </w:r>
      <w:proofErr w:type="gramEnd"/>
    </w:p>
  </w:footnote>
  <w:footnote w:id="6">
    <w:p w:rsidR="005B5C66" w:rsidRDefault="005B5C66" w:rsidP="005B5C66">
      <w:pPr>
        <w:pStyle w:val="FootnoteText"/>
        <w:spacing w:before="240"/>
      </w:pPr>
      <w:r>
        <w:rPr>
          <w:rStyle w:val="FootnoteReference"/>
        </w:rPr>
        <w:footnoteRef/>
      </w:r>
      <w:r>
        <w:t xml:space="preserve"> Tariff filings submitted on less than 30 days' notice had such notice periods changed to the correct statutory period of 30 days and their review was then further extended by an additional 30 days as per 52 Pa Code §§ 53.59(c)(4) and 53.59(f)(6).  </w:t>
      </w:r>
    </w:p>
  </w:footnote>
  <w:footnote w:id="7">
    <w:p w:rsidR="005B5C66" w:rsidRPr="00087E41" w:rsidRDefault="005B5C66" w:rsidP="005B5C66">
      <w:pPr>
        <w:pStyle w:val="FootnoteText"/>
        <w:spacing w:before="240"/>
      </w:pPr>
      <w:r>
        <w:rPr>
          <w:rStyle w:val="FootnoteReference"/>
        </w:rPr>
        <w:footnoteRef/>
      </w:r>
      <w:r>
        <w:t xml:space="preserve"> </w:t>
      </w:r>
      <w:r>
        <w:rPr>
          <w:i/>
        </w:rPr>
        <w:t>See generally</w:t>
      </w:r>
      <w:r>
        <w:t xml:space="preserve"> Pa. PUC Staff Data Request No. 1, dated December 28, 2011, and Frontier </w:t>
      </w:r>
      <w:r w:rsidR="007006C5">
        <w:t>Commonwealth</w:t>
      </w:r>
      <w:r>
        <w:t xml:space="preserve"> Responses, dated January 6, 2012.</w:t>
      </w:r>
    </w:p>
  </w:footnote>
  <w:footnote w:id="8">
    <w:p w:rsidR="00863B7D" w:rsidRDefault="00863B7D" w:rsidP="00863B7D">
      <w:pPr>
        <w:pStyle w:val="FootnoteText"/>
      </w:pPr>
      <w:r>
        <w:rPr>
          <w:rStyle w:val="FootnoteReference"/>
        </w:rPr>
        <w:footnoteRef/>
      </w:r>
      <w:r>
        <w:t xml:space="preserve"> Pa. PUC Staff Data Request No. 1, Item No. </w:t>
      </w:r>
      <w:r w:rsidR="00D67590">
        <w:t>8</w:t>
      </w:r>
      <w:r>
        <w:t xml:space="preserve">, dated December 28, 2011, and Frontier </w:t>
      </w:r>
      <w:r w:rsidR="007006C5">
        <w:t>Commonwealth</w:t>
      </w:r>
      <w:r>
        <w:t xml:space="preserve"> Response, dated January 6, 2012.</w:t>
      </w:r>
    </w:p>
  </w:footnote>
  <w:footnote w:id="9">
    <w:p w:rsidR="00483F68" w:rsidRPr="00093C49" w:rsidRDefault="00483F68" w:rsidP="00483F68">
      <w:pPr>
        <w:pStyle w:val="FootnoteText"/>
        <w:spacing w:before="240"/>
        <w:rPr>
          <w:b/>
          <w:color w:val="000000" w:themeColor="text1"/>
        </w:rPr>
      </w:pPr>
      <w:r>
        <w:rPr>
          <w:rStyle w:val="FootnoteReference"/>
        </w:rPr>
        <w:footnoteRef/>
      </w:r>
      <w:r>
        <w:t xml:space="preserve"> This appeal is currently pending before the U.S. Court of Appeals for the 10</w:t>
      </w:r>
      <w:r w:rsidRPr="00751CCB">
        <w:rPr>
          <w:vertAlign w:val="superscript"/>
        </w:rPr>
        <w:t>th</w:t>
      </w:r>
      <w:r>
        <w:t xml:space="preserve"> Circuit.  </w:t>
      </w:r>
      <w:r w:rsidRPr="00093C49">
        <w:rPr>
          <w:i/>
          <w:color w:val="000000" w:themeColor="text1"/>
        </w:rPr>
        <w:t>Pa PUC v. FCC, et al.</w:t>
      </w:r>
      <w:r w:rsidRPr="00093C49">
        <w:rPr>
          <w:color w:val="000000" w:themeColor="text1"/>
        </w:rPr>
        <w:t>, No. 11-9585 (10</w:t>
      </w:r>
      <w:r w:rsidRPr="00093C49">
        <w:rPr>
          <w:color w:val="000000" w:themeColor="text1"/>
          <w:vertAlign w:val="superscript"/>
        </w:rPr>
        <w:t>th</w:t>
      </w:r>
      <w:r w:rsidRPr="00093C49">
        <w:rPr>
          <w:color w:val="000000" w:themeColor="text1"/>
        </w:rPr>
        <w:t xml:space="preserve"> Cir. filed December 5, 2011).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B2A44"/>
    <w:multiLevelType w:val="hybridMultilevel"/>
    <w:tmpl w:val="7E843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7770C"/>
    <w:rsid w:val="0000558D"/>
    <w:rsid w:val="00010B34"/>
    <w:rsid w:val="00010B7E"/>
    <w:rsid w:val="00012F99"/>
    <w:rsid w:val="00026F1F"/>
    <w:rsid w:val="00046098"/>
    <w:rsid w:val="000515C7"/>
    <w:rsid w:val="00053B85"/>
    <w:rsid w:val="0005402C"/>
    <w:rsid w:val="00057F4A"/>
    <w:rsid w:val="00065D59"/>
    <w:rsid w:val="0006621E"/>
    <w:rsid w:val="0006790B"/>
    <w:rsid w:val="00067C2E"/>
    <w:rsid w:val="000723FA"/>
    <w:rsid w:val="000761C0"/>
    <w:rsid w:val="0008427B"/>
    <w:rsid w:val="000902EE"/>
    <w:rsid w:val="0009284F"/>
    <w:rsid w:val="00092AA4"/>
    <w:rsid w:val="000A2451"/>
    <w:rsid w:val="000C1530"/>
    <w:rsid w:val="000D01DF"/>
    <w:rsid w:val="000D03CA"/>
    <w:rsid w:val="000D0FD9"/>
    <w:rsid w:val="000E07BF"/>
    <w:rsid w:val="000E3B2C"/>
    <w:rsid w:val="000E6A31"/>
    <w:rsid w:val="00125BCA"/>
    <w:rsid w:val="001264B6"/>
    <w:rsid w:val="00131DDA"/>
    <w:rsid w:val="00132E60"/>
    <w:rsid w:val="001334FC"/>
    <w:rsid w:val="00142BA3"/>
    <w:rsid w:val="00150A3B"/>
    <w:rsid w:val="00150F8B"/>
    <w:rsid w:val="001535C8"/>
    <w:rsid w:val="00157C40"/>
    <w:rsid w:val="00162439"/>
    <w:rsid w:val="0016278E"/>
    <w:rsid w:val="00172F93"/>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57B3"/>
    <w:rsid w:val="00266BF8"/>
    <w:rsid w:val="00272D3C"/>
    <w:rsid w:val="00294B4B"/>
    <w:rsid w:val="002C13FB"/>
    <w:rsid w:val="002D043D"/>
    <w:rsid w:val="002D29EB"/>
    <w:rsid w:val="002E5260"/>
    <w:rsid w:val="002E699B"/>
    <w:rsid w:val="002F1221"/>
    <w:rsid w:val="002F2CF3"/>
    <w:rsid w:val="00303F21"/>
    <w:rsid w:val="003107D6"/>
    <w:rsid w:val="003212C6"/>
    <w:rsid w:val="00323D97"/>
    <w:rsid w:val="00331BA5"/>
    <w:rsid w:val="0033489B"/>
    <w:rsid w:val="00345278"/>
    <w:rsid w:val="0034777A"/>
    <w:rsid w:val="00352AFA"/>
    <w:rsid w:val="00363FE7"/>
    <w:rsid w:val="003B1057"/>
    <w:rsid w:val="003B1A94"/>
    <w:rsid w:val="003C1936"/>
    <w:rsid w:val="003C2ACF"/>
    <w:rsid w:val="003D021C"/>
    <w:rsid w:val="003E6E97"/>
    <w:rsid w:val="003F44B6"/>
    <w:rsid w:val="003F7CE2"/>
    <w:rsid w:val="00401C75"/>
    <w:rsid w:val="004159C6"/>
    <w:rsid w:val="00420E46"/>
    <w:rsid w:val="004376E3"/>
    <w:rsid w:val="0045061B"/>
    <w:rsid w:val="00463244"/>
    <w:rsid w:val="00466AD7"/>
    <w:rsid w:val="00470AE3"/>
    <w:rsid w:val="00471C2A"/>
    <w:rsid w:val="004728E1"/>
    <w:rsid w:val="00483F68"/>
    <w:rsid w:val="00486A7A"/>
    <w:rsid w:val="004A6903"/>
    <w:rsid w:val="004B1DC5"/>
    <w:rsid w:val="004B3F1D"/>
    <w:rsid w:val="004B6F33"/>
    <w:rsid w:val="004C4A7F"/>
    <w:rsid w:val="004D2C06"/>
    <w:rsid w:val="004E0233"/>
    <w:rsid w:val="00513B3B"/>
    <w:rsid w:val="00515CB8"/>
    <w:rsid w:val="00522057"/>
    <w:rsid w:val="00527E1A"/>
    <w:rsid w:val="00531804"/>
    <w:rsid w:val="00532482"/>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B5C66"/>
    <w:rsid w:val="005D0EA3"/>
    <w:rsid w:val="005D298F"/>
    <w:rsid w:val="005D669C"/>
    <w:rsid w:val="005D7822"/>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85C37"/>
    <w:rsid w:val="006901A9"/>
    <w:rsid w:val="006A0190"/>
    <w:rsid w:val="006A19DE"/>
    <w:rsid w:val="006B1842"/>
    <w:rsid w:val="006E1263"/>
    <w:rsid w:val="006F7BD8"/>
    <w:rsid w:val="007006C5"/>
    <w:rsid w:val="00701979"/>
    <w:rsid w:val="0070664E"/>
    <w:rsid w:val="007166E9"/>
    <w:rsid w:val="00727178"/>
    <w:rsid w:val="00727E82"/>
    <w:rsid w:val="00732A26"/>
    <w:rsid w:val="007331FA"/>
    <w:rsid w:val="00734009"/>
    <w:rsid w:val="00736988"/>
    <w:rsid w:val="007415A2"/>
    <w:rsid w:val="00747AED"/>
    <w:rsid w:val="007533A6"/>
    <w:rsid w:val="00756A92"/>
    <w:rsid w:val="00767AD3"/>
    <w:rsid w:val="00774679"/>
    <w:rsid w:val="00777420"/>
    <w:rsid w:val="00794AEA"/>
    <w:rsid w:val="007979C9"/>
    <w:rsid w:val="007A2F47"/>
    <w:rsid w:val="007B6555"/>
    <w:rsid w:val="007C3C93"/>
    <w:rsid w:val="007C5683"/>
    <w:rsid w:val="007D0340"/>
    <w:rsid w:val="007F16BF"/>
    <w:rsid w:val="007F36B4"/>
    <w:rsid w:val="007F512E"/>
    <w:rsid w:val="007F7700"/>
    <w:rsid w:val="007F78A1"/>
    <w:rsid w:val="008159FD"/>
    <w:rsid w:val="00833958"/>
    <w:rsid w:val="00834BEC"/>
    <w:rsid w:val="00841BD1"/>
    <w:rsid w:val="00856AB4"/>
    <w:rsid w:val="00862F80"/>
    <w:rsid w:val="00863B7D"/>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470F"/>
    <w:rsid w:val="008C5915"/>
    <w:rsid w:val="008D56BF"/>
    <w:rsid w:val="008E0D47"/>
    <w:rsid w:val="008E2D0E"/>
    <w:rsid w:val="008E73B0"/>
    <w:rsid w:val="008F3AEB"/>
    <w:rsid w:val="008F4B6C"/>
    <w:rsid w:val="00900849"/>
    <w:rsid w:val="00905ACF"/>
    <w:rsid w:val="00911EDC"/>
    <w:rsid w:val="00914CFE"/>
    <w:rsid w:val="0091795D"/>
    <w:rsid w:val="009417CD"/>
    <w:rsid w:val="0095390B"/>
    <w:rsid w:val="00955C6D"/>
    <w:rsid w:val="009575BA"/>
    <w:rsid w:val="00960081"/>
    <w:rsid w:val="009612BE"/>
    <w:rsid w:val="00961A05"/>
    <w:rsid w:val="009847E8"/>
    <w:rsid w:val="009877CD"/>
    <w:rsid w:val="00990D57"/>
    <w:rsid w:val="009925D5"/>
    <w:rsid w:val="00993F00"/>
    <w:rsid w:val="009A0779"/>
    <w:rsid w:val="009C2EDE"/>
    <w:rsid w:val="009C7E2D"/>
    <w:rsid w:val="009D4442"/>
    <w:rsid w:val="009F49F6"/>
    <w:rsid w:val="009F6AF1"/>
    <w:rsid w:val="009F77FB"/>
    <w:rsid w:val="00A0093B"/>
    <w:rsid w:val="00A10484"/>
    <w:rsid w:val="00A12DE2"/>
    <w:rsid w:val="00A15953"/>
    <w:rsid w:val="00A171DB"/>
    <w:rsid w:val="00A24641"/>
    <w:rsid w:val="00A31208"/>
    <w:rsid w:val="00A46305"/>
    <w:rsid w:val="00A47D19"/>
    <w:rsid w:val="00A571F4"/>
    <w:rsid w:val="00A8716D"/>
    <w:rsid w:val="00A965DF"/>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B59E1"/>
    <w:rsid w:val="00BB7115"/>
    <w:rsid w:val="00BC0F4E"/>
    <w:rsid w:val="00BC76A3"/>
    <w:rsid w:val="00BD13EF"/>
    <w:rsid w:val="00BD24A2"/>
    <w:rsid w:val="00BD6B09"/>
    <w:rsid w:val="00BD7BA4"/>
    <w:rsid w:val="00BE46FD"/>
    <w:rsid w:val="00BE51E5"/>
    <w:rsid w:val="00BE7C84"/>
    <w:rsid w:val="00BF0CE9"/>
    <w:rsid w:val="00C22074"/>
    <w:rsid w:val="00C25A0A"/>
    <w:rsid w:val="00C33E42"/>
    <w:rsid w:val="00C3562A"/>
    <w:rsid w:val="00C70A0F"/>
    <w:rsid w:val="00C72B8A"/>
    <w:rsid w:val="00C7770C"/>
    <w:rsid w:val="00C92AAA"/>
    <w:rsid w:val="00C97AC7"/>
    <w:rsid w:val="00CB3A5E"/>
    <w:rsid w:val="00CF103F"/>
    <w:rsid w:val="00CF57C9"/>
    <w:rsid w:val="00CF6409"/>
    <w:rsid w:val="00CF7CEF"/>
    <w:rsid w:val="00D02C14"/>
    <w:rsid w:val="00D15212"/>
    <w:rsid w:val="00D15C97"/>
    <w:rsid w:val="00D23E68"/>
    <w:rsid w:val="00D34A19"/>
    <w:rsid w:val="00D4608E"/>
    <w:rsid w:val="00D50808"/>
    <w:rsid w:val="00D5571A"/>
    <w:rsid w:val="00D6758E"/>
    <w:rsid w:val="00D67590"/>
    <w:rsid w:val="00D73AE3"/>
    <w:rsid w:val="00D83F25"/>
    <w:rsid w:val="00D847C6"/>
    <w:rsid w:val="00D875A6"/>
    <w:rsid w:val="00D90DA2"/>
    <w:rsid w:val="00D92653"/>
    <w:rsid w:val="00DA168C"/>
    <w:rsid w:val="00DA6CCE"/>
    <w:rsid w:val="00DA7314"/>
    <w:rsid w:val="00DB6062"/>
    <w:rsid w:val="00DB7502"/>
    <w:rsid w:val="00DC1C1F"/>
    <w:rsid w:val="00DC28DA"/>
    <w:rsid w:val="00DC3ACB"/>
    <w:rsid w:val="00DC6980"/>
    <w:rsid w:val="00DD0701"/>
    <w:rsid w:val="00DD0892"/>
    <w:rsid w:val="00DD1390"/>
    <w:rsid w:val="00DD4C9A"/>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6E47"/>
    <w:rsid w:val="00EB3229"/>
    <w:rsid w:val="00EB5A51"/>
    <w:rsid w:val="00EB6E43"/>
    <w:rsid w:val="00EC20AE"/>
    <w:rsid w:val="00ED021A"/>
    <w:rsid w:val="00ED78C6"/>
    <w:rsid w:val="00EE2764"/>
    <w:rsid w:val="00EE3DC3"/>
    <w:rsid w:val="00EE5D1E"/>
    <w:rsid w:val="00EF21CF"/>
    <w:rsid w:val="00EF3697"/>
    <w:rsid w:val="00EF6B14"/>
    <w:rsid w:val="00EF7CCD"/>
    <w:rsid w:val="00F007AF"/>
    <w:rsid w:val="00F10C7F"/>
    <w:rsid w:val="00F11F75"/>
    <w:rsid w:val="00F1229E"/>
    <w:rsid w:val="00F12B60"/>
    <w:rsid w:val="00F20234"/>
    <w:rsid w:val="00F25353"/>
    <w:rsid w:val="00F3436F"/>
    <w:rsid w:val="00F408CF"/>
    <w:rsid w:val="00F46970"/>
    <w:rsid w:val="00F50CBC"/>
    <w:rsid w:val="00F5665E"/>
    <w:rsid w:val="00F61260"/>
    <w:rsid w:val="00F721B6"/>
    <w:rsid w:val="00F7367E"/>
    <w:rsid w:val="00F743A5"/>
    <w:rsid w:val="00F82EEB"/>
    <w:rsid w:val="00F851EF"/>
    <w:rsid w:val="00F93B8B"/>
    <w:rsid w:val="00F94022"/>
    <w:rsid w:val="00FA5234"/>
    <w:rsid w:val="00FB1170"/>
    <w:rsid w:val="00FB3F71"/>
    <w:rsid w:val="00FC2784"/>
    <w:rsid w:val="00FC56E0"/>
    <w:rsid w:val="00FC7EFA"/>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styleId="ListParagraph">
    <w:name w:val="List Paragraph"/>
    <w:basedOn w:val="Normal"/>
    <w:uiPriority w:val="34"/>
    <w:qFormat/>
    <w:rsid w:val="00D73AE3"/>
    <w:pPr>
      <w:spacing w:after="200"/>
      <w:ind w:left="720"/>
      <w:contextualSpacing/>
    </w:pPr>
    <w:rPr>
      <w:rFonts w:eastAsiaTheme="minorHAnsi" w:cstheme="minorBidi"/>
      <w:szCs w:val="22"/>
    </w:rPr>
  </w:style>
  <w:style w:type="paragraph" w:customStyle="1" w:styleId="default0">
    <w:name w:val="default0"/>
    <w:basedOn w:val="Normal"/>
    <w:rsid w:val="00363FE7"/>
    <w:pPr>
      <w:autoSpaceDE w:val="0"/>
      <w:autoSpaceDN w:val="0"/>
    </w:pPr>
    <w:rPr>
      <w:color w:val="000000"/>
      <w:szCs w:val="24"/>
    </w:rPr>
  </w:style>
  <w:style w:type="character" w:customStyle="1" w:styleId="FooterChar">
    <w:name w:val="Footer Char"/>
    <w:basedOn w:val="DefaultParagraphFont"/>
    <w:link w:val="Footer"/>
    <w:uiPriority w:val="99"/>
    <w:rsid w:val="00DD4C9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2656">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775711082">
      <w:bodyDiv w:val="1"/>
      <w:marLeft w:val="0"/>
      <w:marRight w:val="0"/>
      <w:marTop w:val="0"/>
      <w:marBottom w:val="0"/>
      <w:divBdr>
        <w:top w:val="none" w:sz="0" w:space="0" w:color="auto"/>
        <w:left w:val="none" w:sz="0" w:space="0" w:color="auto"/>
        <w:bottom w:val="none" w:sz="0" w:space="0" w:color="auto"/>
        <w:right w:val="none" w:sz="0" w:space="0" w:color="auto"/>
      </w:divBdr>
    </w:div>
    <w:div w:id="955212519">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CB80-AC66-4DA7-9A19-49ADD23B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9527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8</cp:revision>
  <cp:lastPrinted>2012-01-31T12:18:00Z</cp:lastPrinted>
  <dcterms:created xsi:type="dcterms:W3CDTF">2012-01-30T17:44:00Z</dcterms:created>
  <dcterms:modified xsi:type="dcterms:W3CDTF">2012-01-31T12:18:00Z</dcterms:modified>
</cp:coreProperties>
</file>