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26.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243" w:rsidRDefault="005E1243">
      <w:pPr>
        <w:jc w:val="center"/>
        <w:rPr>
          <w:rFonts w:ascii="Arial" w:hAnsi="Arial"/>
          <w:b/>
          <w:sz w:val="32"/>
        </w:rPr>
      </w:pPr>
    </w:p>
    <w:p w:rsidR="005E1243" w:rsidRDefault="005E1243">
      <w:pPr>
        <w:jc w:val="center"/>
        <w:rPr>
          <w:rFonts w:ascii="Arial" w:hAnsi="Arial"/>
          <w:b/>
          <w:sz w:val="32"/>
        </w:rPr>
      </w:pPr>
    </w:p>
    <w:p w:rsidR="005E1243" w:rsidRDefault="005E1243">
      <w:pPr>
        <w:jc w:val="center"/>
        <w:rPr>
          <w:rFonts w:ascii="Arial" w:hAnsi="Arial"/>
          <w:b/>
          <w:sz w:val="32"/>
        </w:rPr>
      </w:pPr>
    </w:p>
    <w:p w:rsidR="005E1243" w:rsidRDefault="005E1243">
      <w:pPr>
        <w:jc w:val="center"/>
        <w:rPr>
          <w:rFonts w:ascii="Arial" w:hAnsi="Arial"/>
          <w:b/>
          <w:sz w:val="32"/>
        </w:rPr>
      </w:pPr>
    </w:p>
    <w:p w:rsidR="005E1243" w:rsidRDefault="005E1243">
      <w:pPr>
        <w:jc w:val="center"/>
        <w:rPr>
          <w:rFonts w:ascii="Arial" w:hAnsi="Arial"/>
          <w:b/>
          <w:sz w:val="32"/>
        </w:rPr>
      </w:pPr>
    </w:p>
    <w:p w:rsidR="005E1243" w:rsidRDefault="005E1243">
      <w:pPr>
        <w:jc w:val="center"/>
        <w:rPr>
          <w:b/>
          <w:sz w:val="32"/>
        </w:rPr>
      </w:pPr>
    </w:p>
    <w:p w:rsidR="005E1243" w:rsidRPr="00B5002B" w:rsidRDefault="005E1243">
      <w:pPr>
        <w:jc w:val="center"/>
        <w:rPr>
          <w:b/>
          <w:sz w:val="36"/>
          <w:szCs w:val="36"/>
        </w:rPr>
      </w:pPr>
      <w:r w:rsidRPr="00B5002B">
        <w:rPr>
          <w:b/>
          <w:sz w:val="36"/>
          <w:szCs w:val="36"/>
        </w:rPr>
        <w:t>PECO ENERGY COMPANY</w:t>
      </w:r>
    </w:p>
    <w:p w:rsidR="005E1243" w:rsidRPr="00B5002B" w:rsidRDefault="005E1243">
      <w:pPr>
        <w:jc w:val="center"/>
        <w:rPr>
          <w:sz w:val="28"/>
          <w:szCs w:val="28"/>
        </w:rPr>
      </w:pPr>
    </w:p>
    <w:p w:rsidR="005E1243" w:rsidRPr="00B5002B" w:rsidRDefault="005E1243">
      <w:pPr>
        <w:jc w:val="center"/>
        <w:rPr>
          <w:sz w:val="28"/>
          <w:szCs w:val="28"/>
        </w:rPr>
      </w:pPr>
    </w:p>
    <w:p w:rsidR="005E1243" w:rsidRPr="00B5002B" w:rsidRDefault="005E1243">
      <w:pPr>
        <w:jc w:val="center"/>
        <w:rPr>
          <w:sz w:val="28"/>
          <w:szCs w:val="28"/>
        </w:rPr>
      </w:pPr>
    </w:p>
    <w:p w:rsidR="005E1243" w:rsidRPr="00B5002B" w:rsidRDefault="005E1243">
      <w:pPr>
        <w:jc w:val="center"/>
        <w:rPr>
          <w:sz w:val="28"/>
          <w:szCs w:val="28"/>
        </w:rPr>
      </w:pPr>
    </w:p>
    <w:p w:rsidR="005E1243" w:rsidRPr="00B5002B" w:rsidRDefault="005E1243">
      <w:pPr>
        <w:jc w:val="center"/>
        <w:rPr>
          <w:sz w:val="28"/>
          <w:szCs w:val="28"/>
        </w:rPr>
      </w:pPr>
    </w:p>
    <w:p w:rsidR="005E1243" w:rsidRPr="00B5002B" w:rsidRDefault="005E1243">
      <w:pPr>
        <w:jc w:val="center"/>
        <w:rPr>
          <w:sz w:val="28"/>
          <w:szCs w:val="28"/>
        </w:rPr>
      </w:pPr>
    </w:p>
    <w:p w:rsidR="005E1243" w:rsidRPr="00B5002B" w:rsidRDefault="005E1243">
      <w:pPr>
        <w:jc w:val="center"/>
        <w:rPr>
          <w:sz w:val="28"/>
          <w:szCs w:val="28"/>
        </w:rPr>
      </w:pPr>
    </w:p>
    <w:p w:rsidR="005E1243" w:rsidRPr="00B5002B" w:rsidRDefault="005E1243">
      <w:pPr>
        <w:jc w:val="center"/>
        <w:rPr>
          <w:sz w:val="28"/>
          <w:szCs w:val="28"/>
        </w:rPr>
      </w:pPr>
    </w:p>
    <w:p w:rsidR="005E1243" w:rsidRPr="00B5002B" w:rsidRDefault="005E1243">
      <w:pPr>
        <w:jc w:val="center"/>
        <w:rPr>
          <w:b/>
          <w:sz w:val="32"/>
        </w:rPr>
      </w:pPr>
      <w:r w:rsidRPr="00B5002B">
        <w:rPr>
          <w:b/>
          <w:sz w:val="32"/>
        </w:rPr>
        <w:t>A REPORT ON THE</w:t>
      </w:r>
    </w:p>
    <w:p w:rsidR="005E1243" w:rsidRPr="00B5002B" w:rsidRDefault="005E1243">
      <w:pPr>
        <w:jc w:val="center"/>
        <w:rPr>
          <w:b/>
        </w:rPr>
      </w:pPr>
    </w:p>
    <w:p w:rsidR="005E1243" w:rsidRPr="00B5002B" w:rsidRDefault="00F968BC">
      <w:pPr>
        <w:jc w:val="center"/>
        <w:rPr>
          <w:b/>
          <w:sz w:val="32"/>
        </w:rPr>
      </w:pPr>
      <w:r>
        <w:rPr>
          <w:b/>
          <w:sz w:val="32"/>
        </w:rPr>
        <w:t xml:space="preserve">ELECTRIC </w:t>
      </w:r>
      <w:r w:rsidR="005E1243" w:rsidRPr="00B5002B">
        <w:rPr>
          <w:b/>
          <w:sz w:val="32"/>
        </w:rPr>
        <w:t>UNIVERSAL SERVICE FUND CHARGE</w:t>
      </w:r>
    </w:p>
    <w:p w:rsidR="005E1243" w:rsidRPr="00B5002B" w:rsidRDefault="005E1243">
      <w:pPr>
        <w:jc w:val="center"/>
        <w:rPr>
          <w:b/>
        </w:rPr>
      </w:pPr>
    </w:p>
    <w:p w:rsidR="005E1243" w:rsidRPr="00B5002B" w:rsidRDefault="005E1243">
      <w:pPr>
        <w:jc w:val="center"/>
        <w:rPr>
          <w:b/>
          <w:sz w:val="32"/>
        </w:rPr>
      </w:pPr>
      <w:r w:rsidRPr="00B5002B">
        <w:rPr>
          <w:b/>
          <w:sz w:val="32"/>
        </w:rPr>
        <w:t>FOR THE YEAR ENDED DECEMBER 31, 2007</w:t>
      </w:r>
    </w:p>
    <w:p w:rsidR="005E1243" w:rsidRPr="00B5002B" w:rsidRDefault="005E1243">
      <w:pPr>
        <w:jc w:val="center"/>
        <w:rPr>
          <w:sz w:val="28"/>
          <w:szCs w:val="28"/>
        </w:rPr>
      </w:pPr>
    </w:p>
    <w:p w:rsidR="005E1243" w:rsidRPr="00B5002B" w:rsidRDefault="005E1243">
      <w:pPr>
        <w:jc w:val="center"/>
        <w:rPr>
          <w:sz w:val="28"/>
          <w:szCs w:val="28"/>
        </w:rPr>
      </w:pPr>
    </w:p>
    <w:p w:rsidR="005E1243" w:rsidRPr="00B5002B" w:rsidRDefault="005E1243">
      <w:pPr>
        <w:jc w:val="center"/>
        <w:rPr>
          <w:sz w:val="28"/>
          <w:szCs w:val="28"/>
        </w:rPr>
      </w:pPr>
    </w:p>
    <w:p w:rsidR="005E1243" w:rsidRPr="00B5002B" w:rsidRDefault="005E1243">
      <w:pPr>
        <w:jc w:val="center"/>
        <w:rPr>
          <w:sz w:val="28"/>
          <w:szCs w:val="28"/>
        </w:rPr>
      </w:pPr>
    </w:p>
    <w:p w:rsidR="005E1243" w:rsidRPr="00B5002B" w:rsidRDefault="005E1243">
      <w:pPr>
        <w:jc w:val="center"/>
        <w:rPr>
          <w:sz w:val="28"/>
          <w:szCs w:val="28"/>
        </w:rPr>
      </w:pPr>
    </w:p>
    <w:p w:rsidR="005E1243" w:rsidRPr="00B5002B" w:rsidRDefault="005E1243">
      <w:pPr>
        <w:jc w:val="center"/>
        <w:rPr>
          <w:sz w:val="28"/>
          <w:szCs w:val="28"/>
        </w:rPr>
      </w:pPr>
    </w:p>
    <w:p w:rsidR="005E1243" w:rsidRPr="00B5002B" w:rsidRDefault="005E1243">
      <w:pPr>
        <w:jc w:val="center"/>
        <w:rPr>
          <w:sz w:val="28"/>
          <w:szCs w:val="28"/>
        </w:rPr>
      </w:pPr>
    </w:p>
    <w:p w:rsidR="005E1243" w:rsidRPr="00B5002B" w:rsidRDefault="005E1243">
      <w:pPr>
        <w:jc w:val="center"/>
        <w:rPr>
          <w:sz w:val="28"/>
          <w:szCs w:val="28"/>
        </w:rPr>
      </w:pPr>
    </w:p>
    <w:p w:rsidR="005E1243" w:rsidRPr="00B5002B" w:rsidRDefault="005E1243">
      <w:pPr>
        <w:jc w:val="center"/>
        <w:rPr>
          <w:sz w:val="28"/>
          <w:szCs w:val="28"/>
        </w:rPr>
      </w:pPr>
    </w:p>
    <w:p w:rsidR="005E1243" w:rsidRPr="00B5002B" w:rsidRDefault="005E1243">
      <w:pPr>
        <w:jc w:val="center"/>
        <w:rPr>
          <w:sz w:val="28"/>
          <w:szCs w:val="28"/>
        </w:rPr>
      </w:pPr>
    </w:p>
    <w:p w:rsidR="005E1243" w:rsidRPr="00B5002B" w:rsidRDefault="005E1243">
      <w:pPr>
        <w:jc w:val="center"/>
        <w:rPr>
          <w:sz w:val="28"/>
          <w:szCs w:val="28"/>
        </w:rPr>
      </w:pPr>
    </w:p>
    <w:p w:rsidR="005E1243" w:rsidRPr="00B5002B" w:rsidRDefault="005E1243">
      <w:pPr>
        <w:jc w:val="center"/>
        <w:rPr>
          <w:sz w:val="28"/>
          <w:szCs w:val="28"/>
        </w:rPr>
      </w:pPr>
    </w:p>
    <w:p w:rsidR="005E1243" w:rsidRPr="00B5002B" w:rsidRDefault="005E1243">
      <w:pPr>
        <w:jc w:val="center"/>
        <w:rPr>
          <w:b/>
          <w:sz w:val="28"/>
        </w:rPr>
      </w:pPr>
      <w:r w:rsidRPr="00B5002B">
        <w:rPr>
          <w:b/>
          <w:sz w:val="28"/>
        </w:rPr>
        <w:t>Prepared By The</w:t>
      </w:r>
    </w:p>
    <w:p w:rsidR="005E1243" w:rsidRPr="00B5002B" w:rsidRDefault="005E1243">
      <w:pPr>
        <w:jc w:val="center"/>
        <w:rPr>
          <w:b/>
          <w:sz w:val="28"/>
        </w:rPr>
      </w:pPr>
      <w:smartTag w:uri="urn:schemas-microsoft-com:office:smarttags" w:element="State">
        <w:smartTag w:uri="urn:schemas-microsoft-com:office:smarttags" w:element="country-region">
          <w:smartTag w:uri="urn:schemas-microsoft-com:office:smarttags" w:element="place">
            <w:r w:rsidRPr="00B5002B">
              <w:rPr>
                <w:b/>
                <w:sz w:val="28"/>
              </w:rPr>
              <w:t>Pennsylvania</w:t>
            </w:r>
          </w:smartTag>
        </w:smartTag>
      </w:smartTag>
      <w:r w:rsidRPr="00B5002B">
        <w:rPr>
          <w:b/>
          <w:sz w:val="28"/>
        </w:rPr>
        <w:t xml:space="preserve"> Public Utility Commission</w:t>
      </w:r>
    </w:p>
    <w:p w:rsidR="005E1243" w:rsidRPr="00B5002B" w:rsidRDefault="005E1243">
      <w:pPr>
        <w:jc w:val="center"/>
        <w:rPr>
          <w:b/>
          <w:sz w:val="28"/>
        </w:rPr>
      </w:pPr>
      <w:r w:rsidRPr="00B5002B">
        <w:rPr>
          <w:b/>
          <w:sz w:val="28"/>
        </w:rPr>
        <w:t>Bureau of Audits</w:t>
      </w:r>
    </w:p>
    <w:p w:rsidR="005E1243" w:rsidRPr="00B5002B" w:rsidRDefault="005E1243">
      <w:pPr>
        <w:jc w:val="center"/>
        <w:rPr>
          <w:b/>
          <w:sz w:val="28"/>
        </w:rPr>
      </w:pPr>
      <w:r w:rsidRPr="00B5002B">
        <w:rPr>
          <w:b/>
          <w:sz w:val="28"/>
        </w:rPr>
        <w:t xml:space="preserve">Issued </w:t>
      </w:r>
      <w:r w:rsidR="00CA14A4">
        <w:rPr>
          <w:b/>
          <w:sz w:val="28"/>
        </w:rPr>
        <w:t>June 18</w:t>
      </w:r>
      <w:r w:rsidRPr="00B5002B">
        <w:rPr>
          <w:b/>
          <w:sz w:val="28"/>
        </w:rPr>
        <w:t>, 2009</w:t>
      </w:r>
    </w:p>
    <w:p w:rsidR="005E1243" w:rsidRPr="00B5002B" w:rsidRDefault="005E1243">
      <w:pPr>
        <w:jc w:val="center"/>
        <w:rPr>
          <w:b/>
          <w:sz w:val="28"/>
        </w:rPr>
      </w:pPr>
    </w:p>
    <w:p w:rsidR="005E1243" w:rsidRPr="00B5002B" w:rsidRDefault="005E1243">
      <w:pPr>
        <w:jc w:val="center"/>
        <w:rPr>
          <w:b/>
          <w:sz w:val="28"/>
        </w:rPr>
      </w:pPr>
      <w:r w:rsidRPr="00B5002B">
        <w:rPr>
          <w:b/>
          <w:sz w:val="28"/>
        </w:rPr>
        <w:t>Docket No. D-2008</w:t>
      </w:r>
      <w:r>
        <w:rPr>
          <w:b/>
          <w:sz w:val="28"/>
        </w:rPr>
        <w:t>-</w:t>
      </w:r>
      <w:r w:rsidRPr="00B5002B">
        <w:rPr>
          <w:b/>
          <w:sz w:val="28"/>
        </w:rPr>
        <w:t>2071431</w:t>
      </w:r>
    </w:p>
    <w:p w:rsidR="005E1243" w:rsidRPr="00B5002B" w:rsidRDefault="005E1243">
      <w:pPr>
        <w:jc w:val="center"/>
        <w:rPr>
          <w:b/>
          <w:sz w:val="28"/>
        </w:rPr>
      </w:pPr>
      <w:r w:rsidRPr="00B5002B">
        <w:rPr>
          <w:b/>
        </w:rPr>
        <w:br w:type="page"/>
      </w:r>
      <w:r w:rsidRPr="00B5002B">
        <w:rPr>
          <w:b/>
          <w:sz w:val="28"/>
        </w:rPr>
        <w:lastRenderedPageBreak/>
        <w:t>PECO ENERGY COMPANY</w:t>
      </w:r>
    </w:p>
    <w:p w:rsidR="005E1243" w:rsidRPr="00B5002B" w:rsidRDefault="005E1243">
      <w:pPr>
        <w:jc w:val="center"/>
        <w:rPr>
          <w:sz w:val="26"/>
        </w:rPr>
      </w:pPr>
    </w:p>
    <w:p w:rsidR="005E1243" w:rsidRPr="00B5002B" w:rsidRDefault="005E1243">
      <w:pPr>
        <w:jc w:val="center"/>
        <w:rPr>
          <w:sz w:val="26"/>
        </w:rPr>
      </w:pPr>
    </w:p>
    <w:p w:rsidR="005E1243" w:rsidRPr="0089212B" w:rsidRDefault="005E1243">
      <w:pPr>
        <w:jc w:val="center"/>
        <w:rPr>
          <w:b/>
          <w:sz w:val="26"/>
          <w:szCs w:val="26"/>
          <w:u w:val="single"/>
        </w:rPr>
      </w:pPr>
      <w:r w:rsidRPr="0089212B">
        <w:rPr>
          <w:b/>
          <w:sz w:val="26"/>
          <w:szCs w:val="26"/>
          <w:u w:val="single"/>
        </w:rPr>
        <w:t>Contents</w:t>
      </w:r>
    </w:p>
    <w:p w:rsidR="005E1243" w:rsidRPr="00B5002B" w:rsidRDefault="005E1243">
      <w:pPr>
        <w:jc w:val="center"/>
        <w:rPr>
          <w:sz w:val="26"/>
        </w:rPr>
      </w:pPr>
    </w:p>
    <w:p w:rsidR="005E1243" w:rsidRPr="00B5002B" w:rsidRDefault="005E1243">
      <w:pPr>
        <w:jc w:val="right"/>
        <w:rPr>
          <w:b/>
          <w:sz w:val="26"/>
          <w:u w:val="single"/>
        </w:rPr>
      </w:pPr>
      <w:r w:rsidRPr="00B5002B">
        <w:rPr>
          <w:b/>
          <w:sz w:val="26"/>
          <w:u w:val="single"/>
        </w:rPr>
        <w:t>Page</w:t>
      </w:r>
    </w:p>
    <w:p w:rsidR="005E1243" w:rsidRPr="00B5002B" w:rsidRDefault="005E1243">
      <w:pPr>
        <w:rPr>
          <w:sz w:val="26"/>
        </w:rPr>
      </w:pPr>
    </w:p>
    <w:p w:rsidR="005E1243" w:rsidRPr="000A6F58" w:rsidRDefault="005E1243" w:rsidP="004908A5">
      <w:pPr>
        <w:pStyle w:val="Heading3"/>
        <w:rPr>
          <w:rFonts w:ascii="Times New Roman" w:hAnsi="Times New Roman" w:cs="Times New Roman"/>
          <w:bCs w:val="0"/>
          <w:u w:val="single"/>
        </w:rPr>
      </w:pPr>
      <w:r w:rsidRPr="000A6F58">
        <w:rPr>
          <w:rFonts w:ascii="Times New Roman" w:hAnsi="Times New Roman" w:cs="Times New Roman"/>
          <w:bCs w:val="0"/>
          <w:u w:val="single"/>
        </w:rPr>
        <w:t>FINANCIAL REVIEW</w:t>
      </w:r>
    </w:p>
    <w:p w:rsidR="005E1243" w:rsidRPr="00B5002B" w:rsidRDefault="005E1243" w:rsidP="00F74C1F">
      <w:pPr>
        <w:tabs>
          <w:tab w:val="right" w:pos="8640"/>
        </w:tabs>
        <w:rPr>
          <w:sz w:val="26"/>
          <w:szCs w:val="26"/>
        </w:rPr>
      </w:pPr>
    </w:p>
    <w:p w:rsidR="005E1243" w:rsidRPr="00B5002B" w:rsidRDefault="005E1243" w:rsidP="001113C1">
      <w:pPr>
        <w:tabs>
          <w:tab w:val="right" w:pos="9180"/>
        </w:tabs>
        <w:rPr>
          <w:sz w:val="26"/>
        </w:rPr>
      </w:pPr>
      <w:r w:rsidRPr="00B5002B">
        <w:rPr>
          <w:sz w:val="26"/>
          <w:szCs w:val="26"/>
        </w:rPr>
        <w:t>Independent Auditor’s Report</w:t>
      </w:r>
      <w:r w:rsidRPr="00B5002B">
        <w:rPr>
          <w:sz w:val="26"/>
        </w:rPr>
        <w:tab/>
        <w:t>1</w:t>
      </w:r>
    </w:p>
    <w:p w:rsidR="005E1243" w:rsidRPr="00B5002B" w:rsidRDefault="005E1243">
      <w:pPr>
        <w:tabs>
          <w:tab w:val="left" w:pos="8460"/>
        </w:tabs>
        <w:rPr>
          <w:sz w:val="26"/>
        </w:rPr>
      </w:pPr>
    </w:p>
    <w:p w:rsidR="00F968BC" w:rsidRDefault="005E1243" w:rsidP="004908A5">
      <w:pPr>
        <w:tabs>
          <w:tab w:val="left" w:pos="8460"/>
        </w:tabs>
        <w:rPr>
          <w:sz w:val="26"/>
        </w:rPr>
      </w:pPr>
      <w:r w:rsidRPr="00B5002B">
        <w:rPr>
          <w:sz w:val="26"/>
        </w:rPr>
        <w:t xml:space="preserve">Statement Of </w:t>
      </w:r>
      <w:r w:rsidR="00F968BC">
        <w:rPr>
          <w:sz w:val="26"/>
        </w:rPr>
        <w:t xml:space="preserve">Electric </w:t>
      </w:r>
      <w:r w:rsidRPr="00B5002B">
        <w:rPr>
          <w:sz w:val="26"/>
        </w:rPr>
        <w:t xml:space="preserve">Universal Service Fund Charge </w:t>
      </w:r>
    </w:p>
    <w:p w:rsidR="00F968BC" w:rsidRDefault="005E1243" w:rsidP="00F968BC">
      <w:pPr>
        <w:tabs>
          <w:tab w:val="left" w:pos="8460"/>
        </w:tabs>
        <w:rPr>
          <w:sz w:val="26"/>
        </w:rPr>
      </w:pPr>
      <w:r>
        <w:rPr>
          <w:sz w:val="26"/>
        </w:rPr>
        <w:t xml:space="preserve">Over/(Under) Collections </w:t>
      </w:r>
      <w:r w:rsidRPr="00B5002B">
        <w:rPr>
          <w:sz w:val="26"/>
        </w:rPr>
        <w:t>(Section 1307(e)</w:t>
      </w:r>
      <w:r>
        <w:rPr>
          <w:sz w:val="26"/>
        </w:rPr>
        <w:t xml:space="preserve">) For The </w:t>
      </w:r>
    </w:p>
    <w:p w:rsidR="005E1243" w:rsidRPr="00B5002B" w:rsidRDefault="005E1243" w:rsidP="00F968BC">
      <w:pPr>
        <w:tabs>
          <w:tab w:val="left" w:pos="8460"/>
          <w:tab w:val="right" w:pos="9180"/>
        </w:tabs>
        <w:rPr>
          <w:sz w:val="26"/>
        </w:rPr>
      </w:pPr>
      <w:r>
        <w:rPr>
          <w:sz w:val="26"/>
        </w:rPr>
        <w:t>Twelve Months Ended December 31, 2007</w:t>
      </w:r>
      <w:r w:rsidR="00F968BC">
        <w:rPr>
          <w:sz w:val="26"/>
        </w:rPr>
        <w:tab/>
      </w:r>
      <w:r w:rsidRPr="00B5002B">
        <w:rPr>
          <w:sz w:val="26"/>
        </w:rPr>
        <w:tab/>
        <w:t>2</w:t>
      </w:r>
    </w:p>
    <w:p w:rsidR="005E1243" w:rsidRPr="00B5002B" w:rsidRDefault="005E1243" w:rsidP="001113C1">
      <w:pPr>
        <w:tabs>
          <w:tab w:val="right" w:pos="9180"/>
        </w:tabs>
        <w:rPr>
          <w:sz w:val="26"/>
        </w:rPr>
      </w:pPr>
    </w:p>
    <w:p w:rsidR="005E1243" w:rsidRPr="00B5002B" w:rsidRDefault="005E1243" w:rsidP="001113C1">
      <w:pPr>
        <w:tabs>
          <w:tab w:val="right" w:pos="9180"/>
        </w:tabs>
        <w:rPr>
          <w:sz w:val="26"/>
        </w:rPr>
      </w:pPr>
      <w:r w:rsidRPr="00B5002B">
        <w:rPr>
          <w:sz w:val="26"/>
        </w:rPr>
        <w:t>Notes To The Financial Statements</w:t>
      </w:r>
      <w:r w:rsidRPr="00B5002B">
        <w:rPr>
          <w:sz w:val="26"/>
        </w:rPr>
        <w:tab/>
        <w:t>3</w:t>
      </w:r>
    </w:p>
    <w:p w:rsidR="005E1243" w:rsidRPr="000A6F58" w:rsidRDefault="005E1243" w:rsidP="001113C1">
      <w:pPr>
        <w:pStyle w:val="Heading3"/>
        <w:tabs>
          <w:tab w:val="right" w:pos="9180"/>
        </w:tabs>
        <w:rPr>
          <w:rFonts w:ascii="Times New Roman" w:hAnsi="Times New Roman" w:cs="Times New Roman"/>
          <w:bCs w:val="0"/>
          <w:u w:val="single"/>
        </w:rPr>
      </w:pPr>
      <w:r w:rsidRPr="000A6F58">
        <w:rPr>
          <w:rFonts w:ascii="Times New Roman" w:hAnsi="Times New Roman" w:cs="Times New Roman"/>
          <w:bCs w:val="0"/>
          <w:u w:val="single"/>
        </w:rPr>
        <w:t>BACKGROUND AND OPERATIONAL REVIEW</w:t>
      </w:r>
    </w:p>
    <w:p w:rsidR="005E1243" w:rsidRPr="00B5002B" w:rsidRDefault="005E1243" w:rsidP="001113C1">
      <w:pPr>
        <w:tabs>
          <w:tab w:val="right" w:pos="9180"/>
        </w:tabs>
        <w:rPr>
          <w:sz w:val="26"/>
        </w:rPr>
      </w:pPr>
    </w:p>
    <w:p w:rsidR="005E1243" w:rsidRPr="00B5002B" w:rsidRDefault="005E1243" w:rsidP="001113C1">
      <w:pPr>
        <w:tabs>
          <w:tab w:val="right" w:pos="9180"/>
        </w:tabs>
        <w:rPr>
          <w:sz w:val="26"/>
        </w:rPr>
      </w:pPr>
      <w:r w:rsidRPr="00B5002B">
        <w:rPr>
          <w:sz w:val="26"/>
        </w:rPr>
        <w:t>Background</w:t>
      </w:r>
      <w:r w:rsidRPr="00B5002B">
        <w:rPr>
          <w:sz w:val="26"/>
        </w:rPr>
        <w:tab/>
        <w:t>4</w:t>
      </w:r>
    </w:p>
    <w:p w:rsidR="005E1243" w:rsidRPr="00B5002B" w:rsidRDefault="005E1243" w:rsidP="001113C1">
      <w:pPr>
        <w:tabs>
          <w:tab w:val="left" w:pos="8460"/>
          <w:tab w:val="right" w:pos="9180"/>
        </w:tabs>
        <w:rPr>
          <w:sz w:val="26"/>
        </w:rPr>
      </w:pPr>
    </w:p>
    <w:p w:rsidR="005E1243" w:rsidRPr="00B5002B" w:rsidRDefault="005E1243" w:rsidP="001113C1">
      <w:pPr>
        <w:tabs>
          <w:tab w:val="right" w:pos="9180"/>
        </w:tabs>
        <w:rPr>
          <w:sz w:val="26"/>
        </w:rPr>
      </w:pPr>
      <w:r w:rsidRPr="00B5002B">
        <w:rPr>
          <w:sz w:val="26"/>
        </w:rPr>
        <w:t xml:space="preserve">Disposition of Prior Year’s Findings </w:t>
      </w:r>
      <w:r w:rsidRPr="00B5002B">
        <w:rPr>
          <w:sz w:val="26"/>
        </w:rPr>
        <w:tab/>
        <w:t>5</w:t>
      </w:r>
    </w:p>
    <w:p w:rsidR="005E1243" w:rsidRPr="00B5002B" w:rsidRDefault="005E1243" w:rsidP="001113C1">
      <w:pPr>
        <w:tabs>
          <w:tab w:val="right" w:pos="9180"/>
        </w:tabs>
        <w:rPr>
          <w:sz w:val="26"/>
        </w:rPr>
      </w:pPr>
    </w:p>
    <w:p w:rsidR="005E1243" w:rsidRPr="00B5002B" w:rsidRDefault="005E1243" w:rsidP="001113C1">
      <w:pPr>
        <w:tabs>
          <w:tab w:val="right" w:pos="9180"/>
        </w:tabs>
        <w:rPr>
          <w:sz w:val="26"/>
        </w:rPr>
      </w:pPr>
      <w:r w:rsidRPr="000A6F58">
        <w:rPr>
          <w:b/>
          <w:sz w:val="26"/>
          <w:u w:val="single"/>
        </w:rPr>
        <w:t>ACKNOWLEDGMENTS</w:t>
      </w:r>
      <w:r w:rsidRPr="00B5002B">
        <w:rPr>
          <w:sz w:val="26"/>
        </w:rPr>
        <w:tab/>
        <w:t>7</w:t>
      </w:r>
    </w:p>
    <w:p w:rsidR="005E1243" w:rsidRPr="00B5002B" w:rsidRDefault="005E1243">
      <w:pPr>
        <w:tabs>
          <w:tab w:val="left" w:pos="8460"/>
        </w:tabs>
        <w:rPr>
          <w:sz w:val="26"/>
        </w:rPr>
      </w:pPr>
    </w:p>
    <w:p w:rsidR="005E1243" w:rsidRPr="00B5002B" w:rsidRDefault="005E1243">
      <w:pPr>
        <w:tabs>
          <w:tab w:val="left" w:pos="8460"/>
        </w:tabs>
        <w:rPr>
          <w:sz w:val="26"/>
        </w:rPr>
      </w:pPr>
    </w:p>
    <w:p w:rsidR="005E1243" w:rsidRPr="00B5002B" w:rsidRDefault="005E1243">
      <w:pPr>
        <w:jc w:val="center"/>
        <w:rPr>
          <w:b/>
          <w:sz w:val="26"/>
          <w:u w:val="single"/>
        </w:rPr>
        <w:sectPr w:rsidR="005E1243" w:rsidRPr="00B5002B" w:rsidSect="0073644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52" w:left="1440" w:header="720" w:footer="720" w:gutter="0"/>
          <w:cols w:space="720"/>
          <w:docGrid w:linePitch="360"/>
        </w:sectPr>
      </w:pPr>
    </w:p>
    <w:p w:rsidR="005E1243" w:rsidRPr="00B5002B" w:rsidRDefault="005E1243" w:rsidP="003D0ED5">
      <w:pPr>
        <w:pStyle w:val="Heading5"/>
        <w:rPr>
          <w:rFonts w:ascii="Book Antiqua" w:hAnsi="Book Antiqua"/>
          <w:szCs w:val="36"/>
        </w:rPr>
      </w:pPr>
    </w:p>
    <w:p w:rsidR="005E1243" w:rsidRPr="00B5002B" w:rsidRDefault="005E1243" w:rsidP="003D0ED5">
      <w:pPr>
        <w:pStyle w:val="Heading5"/>
        <w:rPr>
          <w:rFonts w:ascii="Book Antiqua" w:hAnsi="Book Antiqua"/>
          <w:szCs w:val="36"/>
        </w:rPr>
      </w:pPr>
    </w:p>
    <w:p w:rsidR="005E1243" w:rsidRPr="00B5002B" w:rsidRDefault="005E1243" w:rsidP="003D0ED5">
      <w:pPr>
        <w:pStyle w:val="Heading5"/>
        <w:rPr>
          <w:rFonts w:ascii="Book Antiqua" w:hAnsi="Book Antiqua"/>
          <w:szCs w:val="36"/>
        </w:rPr>
      </w:pPr>
    </w:p>
    <w:p w:rsidR="005E1243" w:rsidRPr="00B5002B" w:rsidRDefault="005E1243" w:rsidP="003D0ED5">
      <w:pPr>
        <w:pStyle w:val="Heading5"/>
        <w:rPr>
          <w:rFonts w:ascii="Book Antiqua" w:hAnsi="Book Antiqua"/>
          <w:szCs w:val="36"/>
        </w:rPr>
      </w:pPr>
    </w:p>
    <w:p w:rsidR="005E1243" w:rsidRPr="00B5002B" w:rsidRDefault="005E1243" w:rsidP="003D0ED5"/>
    <w:p w:rsidR="005E1243" w:rsidRPr="00B5002B" w:rsidRDefault="005E1243" w:rsidP="003D0ED5"/>
    <w:p w:rsidR="005E1243" w:rsidRPr="00B5002B" w:rsidRDefault="005E1243" w:rsidP="003D0ED5"/>
    <w:p w:rsidR="005E1243" w:rsidRPr="00B5002B" w:rsidRDefault="005E1243" w:rsidP="003D0ED5"/>
    <w:p w:rsidR="005E1243" w:rsidRPr="00B5002B" w:rsidRDefault="005E1243" w:rsidP="003D0ED5"/>
    <w:p w:rsidR="005E1243" w:rsidRPr="00B5002B" w:rsidRDefault="005E1243" w:rsidP="003D0ED5"/>
    <w:p w:rsidR="005E1243" w:rsidRPr="00B5002B" w:rsidRDefault="005E1243" w:rsidP="003D0ED5"/>
    <w:p w:rsidR="005E1243" w:rsidRPr="00B5002B" w:rsidRDefault="005E1243" w:rsidP="003D0ED5"/>
    <w:p w:rsidR="005E1243" w:rsidRPr="00B5002B" w:rsidRDefault="005E1243" w:rsidP="003D0ED5">
      <w:pPr>
        <w:pStyle w:val="Heading5"/>
        <w:rPr>
          <w:rFonts w:ascii="Book Antiqua" w:hAnsi="Book Antiqua"/>
          <w:szCs w:val="36"/>
        </w:rPr>
      </w:pPr>
    </w:p>
    <w:p w:rsidR="005E1243" w:rsidRDefault="005E1243" w:rsidP="003D0ED5">
      <w:pPr>
        <w:jc w:val="center"/>
        <w:rPr>
          <w:b/>
          <w:sz w:val="36"/>
          <w:szCs w:val="36"/>
        </w:rPr>
        <w:sectPr w:rsidR="005E1243" w:rsidSect="00380DAA">
          <w:headerReference w:type="even" r:id="rId14"/>
          <w:headerReference w:type="default" r:id="rId15"/>
          <w:footerReference w:type="default" r:id="rId16"/>
          <w:headerReference w:type="first" r:id="rId17"/>
          <w:pgSz w:w="12240" w:h="15840"/>
          <w:pgMar w:top="1440" w:right="1440" w:bottom="1152" w:left="1440" w:header="720" w:footer="720" w:gutter="0"/>
          <w:pgNumType w:start="1"/>
          <w:cols w:space="720"/>
          <w:docGrid w:linePitch="360"/>
        </w:sectPr>
      </w:pPr>
      <w:r w:rsidRPr="0089212B">
        <w:rPr>
          <w:b/>
          <w:sz w:val="36"/>
          <w:szCs w:val="36"/>
        </w:rPr>
        <w:t xml:space="preserve">FINANCIAL REVIEW </w:t>
      </w:r>
    </w:p>
    <w:tbl>
      <w:tblPr>
        <w:tblW w:w="10890" w:type="dxa"/>
        <w:tblInd w:w="-702" w:type="dxa"/>
        <w:tblLayout w:type="fixed"/>
        <w:tblLook w:val="0000"/>
      </w:tblPr>
      <w:tblGrid>
        <w:gridCol w:w="1363"/>
        <w:gridCol w:w="8075"/>
        <w:gridCol w:w="1452"/>
      </w:tblGrid>
      <w:tr w:rsidR="005E1243" w:rsidRPr="00B5002B" w:rsidTr="002C1B45">
        <w:trPr>
          <w:trHeight w:val="990"/>
        </w:trPr>
        <w:tc>
          <w:tcPr>
            <w:tcW w:w="1363" w:type="dxa"/>
          </w:tcPr>
          <w:p w:rsidR="005E1243" w:rsidRPr="00B5002B" w:rsidRDefault="005E1243" w:rsidP="002C1B45">
            <w:r w:rsidRPr="00B5002B">
              <w:lastRenderedPageBreak/>
              <w:br w:type="page"/>
            </w:r>
            <w:r w:rsidR="00DE3655" w:rsidRPr="00DE3655">
              <w:rPr>
                <w:noProof/>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UC logo" style="width:57pt;height:57pt;visibility:visible">
                  <v:imagedata r:id="rId18" o:title=""/>
                </v:shape>
              </w:pict>
            </w:r>
          </w:p>
        </w:tc>
        <w:tc>
          <w:tcPr>
            <w:tcW w:w="8075" w:type="dxa"/>
          </w:tcPr>
          <w:p w:rsidR="005E1243" w:rsidRPr="00B5002B" w:rsidRDefault="005E1243" w:rsidP="002C1B45">
            <w:pPr>
              <w:suppressAutoHyphens/>
              <w:spacing w:line="204" w:lineRule="auto"/>
              <w:jc w:val="center"/>
              <w:rPr>
                <w:rFonts w:ascii="Arial" w:hAnsi="Arial"/>
                <w:color w:val="000080"/>
                <w:spacing w:val="-3"/>
                <w:sz w:val="26"/>
              </w:rPr>
            </w:pPr>
          </w:p>
          <w:p w:rsidR="005E1243" w:rsidRPr="00B5002B" w:rsidRDefault="005E1243" w:rsidP="002C1B45">
            <w:pPr>
              <w:suppressAutoHyphens/>
              <w:spacing w:line="204" w:lineRule="auto"/>
              <w:jc w:val="center"/>
              <w:rPr>
                <w:rFonts w:ascii="Arial" w:hAnsi="Arial"/>
                <w:color w:val="000080"/>
                <w:spacing w:val="-3"/>
                <w:sz w:val="26"/>
              </w:rPr>
            </w:pPr>
            <w:smartTag w:uri="urn:schemas-microsoft-com:office:smarttags" w:element="PlaceType">
              <w:smartTag w:uri="urn:schemas-microsoft-com:office:smarttags" w:element="place">
                <w:r w:rsidRPr="00B5002B">
                  <w:rPr>
                    <w:rFonts w:ascii="Arial" w:hAnsi="Arial"/>
                    <w:color w:val="000080"/>
                    <w:spacing w:val="-3"/>
                    <w:sz w:val="26"/>
                  </w:rPr>
                  <w:t>COMMONWEALTH</w:t>
                </w:r>
              </w:smartTag>
              <w:r w:rsidRPr="00B5002B">
                <w:rPr>
                  <w:rFonts w:ascii="Arial" w:hAnsi="Arial"/>
                  <w:color w:val="000080"/>
                  <w:spacing w:val="-3"/>
                  <w:sz w:val="26"/>
                </w:rPr>
                <w:t xml:space="preserve"> OF </w:t>
              </w:r>
              <w:smartTag w:uri="urn:schemas-microsoft-com:office:smarttags" w:element="PlaceName">
                <w:r w:rsidRPr="00B5002B">
                  <w:rPr>
                    <w:rFonts w:ascii="Arial" w:hAnsi="Arial"/>
                    <w:color w:val="000080"/>
                    <w:spacing w:val="-3"/>
                    <w:sz w:val="26"/>
                  </w:rPr>
                  <w:t>PENNSYLVANIA</w:t>
                </w:r>
              </w:smartTag>
            </w:smartTag>
          </w:p>
          <w:p w:rsidR="005E1243" w:rsidRPr="00B5002B" w:rsidRDefault="005E1243" w:rsidP="002C1B4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sidRPr="00B5002B">
                  <w:rPr>
                    <w:rFonts w:ascii="Arial" w:hAnsi="Arial"/>
                    <w:color w:val="000080"/>
                    <w:spacing w:val="-3"/>
                    <w:sz w:val="26"/>
                  </w:rPr>
                  <w:t>PENNSYLVANIA</w:t>
                </w:r>
              </w:smartTag>
            </w:smartTag>
            <w:r w:rsidRPr="00B5002B">
              <w:rPr>
                <w:rFonts w:ascii="Arial" w:hAnsi="Arial"/>
                <w:color w:val="000080"/>
                <w:spacing w:val="-3"/>
                <w:sz w:val="26"/>
              </w:rPr>
              <w:t xml:space="preserve"> PUBLIC UTILITY COMMISSION</w:t>
            </w:r>
          </w:p>
          <w:p w:rsidR="005E1243" w:rsidRPr="00B5002B" w:rsidRDefault="005E1243" w:rsidP="002C1B45">
            <w:pPr>
              <w:jc w:val="center"/>
              <w:rPr>
                <w:rFonts w:ascii="Arial" w:hAnsi="Arial"/>
                <w:sz w:val="12"/>
              </w:rPr>
            </w:pPr>
            <w:r w:rsidRPr="00B5002B">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smartTag w:uri="urn:schemas-microsoft-com:office:smarttags" w:element="address">
                    <w:r w:rsidRPr="00B5002B">
                      <w:rPr>
                        <w:rFonts w:ascii="Arial" w:hAnsi="Arial"/>
                        <w:color w:val="000080"/>
                        <w:spacing w:val="-3"/>
                        <w:sz w:val="26"/>
                      </w:rPr>
                      <w:t>BOX</w:t>
                    </w:r>
                  </w:smartTag>
                  <w:r w:rsidRPr="00B5002B">
                    <w:rPr>
                      <w:rFonts w:ascii="Arial" w:hAnsi="Arial"/>
                      <w:color w:val="000080"/>
                      <w:spacing w:val="-3"/>
                      <w:sz w:val="26"/>
                    </w:rPr>
                    <w:t xml:space="preserve"> 3265</w:t>
                  </w:r>
                </w:smartTag>
                <w:r w:rsidRPr="00B5002B">
                  <w:rPr>
                    <w:rFonts w:ascii="Arial" w:hAnsi="Arial"/>
                    <w:color w:val="000080"/>
                    <w:spacing w:val="-3"/>
                    <w:sz w:val="26"/>
                  </w:rPr>
                  <w:t xml:space="preserve">, </w:t>
                </w:r>
                <w:smartTag w:uri="urn:schemas-microsoft-com:office:smarttags" w:element="City">
                  <w:r w:rsidRPr="00B5002B">
                    <w:rPr>
                      <w:rFonts w:ascii="Arial" w:hAnsi="Arial"/>
                      <w:color w:val="000080"/>
                      <w:spacing w:val="-3"/>
                      <w:sz w:val="26"/>
                    </w:rPr>
                    <w:t>HARRISBURG</w:t>
                  </w:r>
                </w:smartTag>
                <w:r w:rsidRPr="00B5002B">
                  <w:rPr>
                    <w:rFonts w:ascii="Arial" w:hAnsi="Arial"/>
                    <w:color w:val="000080"/>
                    <w:spacing w:val="-3"/>
                    <w:sz w:val="26"/>
                  </w:rPr>
                  <w:t xml:space="preserve">, </w:t>
                </w:r>
                <w:smartTag w:uri="urn:schemas-microsoft-com:office:smarttags" w:element="State">
                  <w:r w:rsidRPr="00B5002B">
                    <w:rPr>
                      <w:rFonts w:ascii="Arial" w:hAnsi="Arial"/>
                      <w:color w:val="000080"/>
                      <w:spacing w:val="-3"/>
                      <w:sz w:val="26"/>
                    </w:rPr>
                    <w:t>PA</w:t>
                  </w:r>
                </w:smartTag>
                <w:r w:rsidRPr="00B5002B">
                  <w:rPr>
                    <w:rFonts w:ascii="Arial" w:hAnsi="Arial"/>
                    <w:color w:val="000080"/>
                    <w:spacing w:val="-3"/>
                    <w:sz w:val="26"/>
                  </w:rPr>
                  <w:t xml:space="preserve"> </w:t>
                </w:r>
                <w:smartTag w:uri="urn:schemas-microsoft-com:office:smarttags" w:element="PostalCode">
                  <w:r w:rsidRPr="00B5002B">
                    <w:rPr>
                      <w:rFonts w:ascii="Arial" w:hAnsi="Arial"/>
                      <w:color w:val="000080"/>
                      <w:spacing w:val="-3"/>
                      <w:sz w:val="26"/>
                    </w:rPr>
                    <w:t>17105-3265</w:t>
                  </w:r>
                </w:smartTag>
              </w:smartTag>
            </w:smartTag>
          </w:p>
        </w:tc>
        <w:tc>
          <w:tcPr>
            <w:tcW w:w="1452" w:type="dxa"/>
          </w:tcPr>
          <w:p w:rsidR="005E1243" w:rsidRPr="00B5002B" w:rsidRDefault="005E1243" w:rsidP="002C1B45">
            <w:pPr>
              <w:rPr>
                <w:rFonts w:ascii="Arial" w:hAnsi="Arial"/>
                <w:sz w:val="12"/>
              </w:rPr>
            </w:pPr>
          </w:p>
          <w:p w:rsidR="005E1243" w:rsidRPr="00B5002B" w:rsidRDefault="005E1243" w:rsidP="002C1B45">
            <w:pPr>
              <w:rPr>
                <w:rFonts w:ascii="Arial" w:hAnsi="Arial"/>
                <w:sz w:val="12"/>
              </w:rPr>
            </w:pPr>
          </w:p>
          <w:p w:rsidR="005E1243" w:rsidRPr="00B5002B" w:rsidRDefault="005E1243" w:rsidP="002C1B45">
            <w:pPr>
              <w:rPr>
                <w:rFonts w:ascii="Arial" w:hAnsi="Arial"/>
                <w:sz w:val="12"/>
              </w:rPr>
            </w:pPr>
          </w:p>
          <w:p w:rsidR="005E1243" w:rsidRPr="00B5002B" w:rsidRDefault="005E1243" w:rsidP="002C1B45">
            <w:pPr>
              <w:rPr>
                <w:rFonts w:ascii="Arial" w:hAnsi="Arial"/>
                <w:sz w:val="12"/>
              </w:rPr>
            </w:pPr>
          </w:p>
          <w:p w:rsidR="005E1243" w:rsidRPr="00B5002B" w:rsidRDefault="005E1243" w:rsidP="002C1B45">
            <w:pPr>
              <w:jc w:val="center"/>
              <w:rPr>
                <w:rFonts w:ascii="Arial" w:hAnsi="Arial"/>
                <w:sz w:val="12"/>
              </w:rPr>
            </w:pPr>
            <w:r w:rsidRPr="00B5002B">
              <w:rPr>
                <w:rFonts w:ascii="Arial" w:hAnsi="Arial"/>
                <w:b/>
                <w:spacing w:val="-1"/>
                <w:sz w:val="12"/>
              </w:rPr>
              <w:t xml:space="preserve">IN REPLY PLEASE REFER TO OUR </w:t>
            </w:r>
            <w:smartTag w:uri="urn:schemas-microsoft-com:office:smarttags" w:element="stockticker">
              <w:r w:rsidRPr="00B5002B">
                <w:rPr>
                  <w:rFonts w:ascii="Arial" w:hAnsi="Arial"/>
                  <w:b/>
                  <w:spacing w:val="-1"/>
                  <w:sz w:val="12"/>
                </w:rPr>
                <w:t>FILE</w:t>
              </w:r>
            </w:smartTag>
          </w:p>
        </w:tc>
      </w:tr>
    </w:tbl>
    <w:p w:rsidR="005E1243" w:rsidRPr="00B5002B" w:rsidRDefault="005E1243" w:rsidP="00AF16CC">
      <w:pPr>
        <w:pStyle w:val="Heading2"/>
        <w:tabs>
          <w:tab w:val="left" w:pos="360"/>
          <w:tab w:val="right" w:pos="8280"/>
        </w:tabs>
        <w:rPr>
          <w:rFonts w:ascii="Book Antiqua" w:hAnsi="Book Antiqua"/>
        </w:rPr>
      </w:pPr>
    </w:p>
    <w:p w:rsidR="005E1243" w:rsidRPr="00B5002B" w:rsidRDefault="005E1243" w:rsidP="00AF16CC">
      <w:pPr>
        <w:pStyle w:val="Heading2"/>
        <w:tabs>
          <w:tab w:val="left" w:pos="360"/>
          <w:tab w:val="right" w:pos="8280"/>
        </w:tabs>
        <w:jc w:val="center"/>
        <w:rPr>
          <w:sz w:val="28"/>
          <w:szCs w:val="28"/>
        </w:rPr>
      </w:pPr>
      <w:r w:rsidRPr="00B5002B">
        <w:rPr>
          <w:sz w:val="28"/>
          <w:szCs w:val="28"/>
        </w:rPr>
        <w:t>INDEPENDENT AUDITOR’S REPORT</w:t>
      </w:r>
    </w:p>
    <w:p w:rsidR="005E1243" w:rsidRPr="00B5002B" w:rsidRDefault="005E1243" w:rsidP="00AF16CC">
      <w:pPr>
        <w:tabs>
          <w:tab w:val="left" w:pos="360"/>
          <w:tab w:val="right" w:pos="8280"/>
        </w:tabs>
        <w:jc w:val="center"/>
        <w:rPr>
          <w:b/>
          <w:sz w:val="26"/>
          <w:szCs w:val="26"/>
          <w:u w:val="single"/>
        </w:rPr>
      </w:pPr>
    </w:p>
    <w:p w:rsidR="005E1243" w:rsidRPr="00B5002B" w:rsidRDefault="005E1243" w:rsidP="00AF16CC">
      <w:pPr>
        <w:pStyle w:val="Heading2"/>
        <w:tabs>
          <w:tab w:val="left" w:pos="360"/>
          <w:tab w:val="right" w:pos="8280"/>
        </w:tabs>
        <w:jc w:val="center"/>
        <w:rPr>
          <w:sz w:val="26"/>
          <w:szCs w:val="26"/>
        </w:rPr>
      </w:pPr>
      <w:r w:rsidRPr="00B5002B">
        <w:rPr>
          <w:sz w:val="26"/>
          <w:szCs w:val="26"/>
        </w:rPr>
        <w:t>To The Public Utility Commission</w:t>
      </w:r>
    </w:p>
    <w:p w:rsidR="005E1243" w:rsidRPr="00B5002B" w:rsidRDefault="005E1243" w:rsidP="00AF16CC">
      <w:pPr>
        <w:tabs>
          <w:tab w:val="left" w:pos="360"/>
          <w:tab w:val="right" w:pos="8280"/>
        </w:tabs>
        <w:rPr>
          <w:sz w:val="26"/>
          <w:szCs w:val="26"/>
        </w:rPr>
      </w:pPr>
    </w:p>
    <w:p w:rsidR="005E1243" w:rsidRPr="00B5002B" w:rsidRDefault="005E1243" w:rsidP="00AF16CC">
      <w:pPr>
        <w:tabs>
          <w:tab w:val="left" w:pos="360"/>
          <w:tab w:val="right" w:pos="8280"/>
        </w:tabs>
        <w:rPr>
          <w:sz w:val="26"/>
          <w:szCs w:val="26"/>
        </w:rPr>
      </w:pPr>
    </w:p>
    <w:p w:rsidR="005E1243" w:rsidRPr="00B5002B" w:rsidRDefault="005E1243" w:rsidP="00AF16CC">
      <w:pPr>
        <w:pStyle w:val="BodyText"/>
        <w:ind w:firstLine="720"/>
        <w:rPr>
          <w:sz w:val="26"/>
          <w:szCs w:val="26"/>
        </w:rPr>
      </w:pPr>
      <w:r w:rsidRPr="00B5002B">
        <w:rPr>
          <w:sz w:val="26"/>
          <w:szCs w:val="26"/>
        </w:rPr>
        <w:t>We have audited PECO Energy Company</w:t>
      </w:r>
      <w:r w:rsidR="00F968BC">
        <w:rPr>
          <w:sz w:val="26"/>
          <w:szCs w:val="26"/>
        </w:rPr>
        <w:t>’s</w:t>
      </w:r>
      <w:r w:rsidRPr="00B5002B">
        <w:rPr>
          <w:sz w:val="26"/>
          <w:szCs w:val="26"/>
        </w:rPr>
        <w:t xml:space="preserve"> Statement of </w:t>
      </w:r>
      <w:r w:rsidR="00F968BC">
        <w:rPr>
          <w:sz w:val="26"/>
          <w:szCs w:val="26"/>
        </w:rPr>
        <w:t xml:space="preserve">Electric </w:t>
      </w:r>
      <w:r w:rsidRPr="00B5002B">
        <w:rPr>
          <w:sz w:val="26"/>
          <w:szCs w:val="26"/>
        </w:rPr>
        <w:t>Universal Service Fund Charge Over/Under Collections (Section 1307(e)) for the Twelve Months Ended December 31, 2007.  Th</w:t>
      </w:r>
      <w:r>
        <w:rPr>
          <w:sz w:val="26"/>
          <w:szCs w:val="26"/>
        </w:rPr>
        <w:t>i</w:t>
      </w:r>
      <w:r w:rsidRPr="00B5002B">
        <w:rPr>
          <w:sz w:val="26"/>
          <w:szCs w:val="26"/>
        </w:rPr>
        <w:t xml:space="preserve">s statement </w:t>
      </w:r>
      <w:r>
        <w:rPr>
          <w:sz w:val="26"/>
          <w:szCs w:val="26"/>
        </w:rPr>
        <w:t>is</w:t>
      </w:r>
      <w:r w:rsidRPr="00B5002B">
        <w:rPr>
          <w:sz w:val="26"/>
          <w:szCs w:val="26"/>
        </w:rPr>
        <w:t xml:space="preserve"> the responsibility of the Company’s management.  Our responsibility is to express an opinion on the statement based on our audit.</w:t>
      </w:r>
    </w:p>
    <w:p w:rsidR="005E1243" w:rsidRPr="00B5002B" w:rsidRDefault="005E1243" w:rsidP="00AF16CC">
      <w:pPr>
        <w:rPr>
          <w:sz w:val="26"/>
          <w:szCs w:val="26"/>
        </w:rPr>
      </w:pPr>
    </w:p>
    <w:p w:rsidR="005E1243" w:rsidRPr="00B5002B" w:rsidRDefault="005E1243" w:rsidP="00AF16CC">
      <w:pPr>
        <w:pStyle w:val="BodyText3"/>
        <w:ind w:right="-180"/>
        <w:rPr>
          <w:sz w:val="26"/>
          <w:szCs w:val="26"/>
        </w:rPr>
      </w:pPr>
      <w:r w:rsidRPr="00B5002B">
        <w:rPr>
          <w:sz w:val="26"/>
          <w:szCs w:val="26"/>
        </w:rPr>
        <w:tab/>
        <w:t xml:space="preserve">We conducted our audit in accordance with auditing standards generally accepted in the </w:t>
      </w:r>
      <w:smartTag w:uri="urn:schemas-microsoft-com:office:smarttags" w:element="country-region">
        <w:smartTag w:uri="urn:schemas-microsoft-com:office:smarttags" w:element="place">
          <w:r w:rsidRPr="00B5002B">
            <w:rPr>
              <w:sz w:val="26"/>
              <w:szCs w:val="26"/>
            </w:rPr>
            <w:t>United States of America</w:t>
          </w:r>
        </w:smartTag>
      </w:smartTag>
      <w:r w:rsidRPr="00B5002B">
        <w:rPr>
          <w:sz w:val="26"/>
          <w:szCs w:val="26"/>
        </w:rPr>
        <w:t xml:space="preserve">.  Those standards require that we plan and perform the audit to obtain reasonable assurance about whether the specified statement </w:t>
      </w:r>
      <w:r>
        <w:rPr>
          <w:sz w:val="26"/>
          <w:szCs w:val="26"/>
        </w:rPr>
        <w:t>is</w:t>
      </w:r>
      <w:r w:rsidRPr="00B5002B">
        <w:rPr>
          <w:sz w:val="26"/>
          <w:szCs w:val="26"/>
        </w:rPr>
        <w:t xml:space="preserve"> free of material misstatement.  An audit includes examining, on a test basis, evidence supporting the amounts and disclosures in the statement referred to above.  An audit also includes assessing the accounting principles used and significant estimates made by management, as well as evaluating the overall statement presentation.  We believe that our audit provides a reasonable basis for our opinion.</w:t>
      </w:r>
    </w:p>
    <w:p w:rsidR="005E1243" w:rsidRPr="00B5002B" w:rsidRDefault="005E1243" w:rsidP="00AF16CC">
      <w:pPr>
        <w:rPr>
          <w:sz w:val="26"/>
          <w:szCs w:val="26"/>
        </w:rPr>
      </w:pPr>
    </w:p>
    <w:p w:rsidR="005E1243" w:rsidRPr="00B5002B" w:rsidRDefault="005E1243" w:rsidP="00AF16CC">
      <w:pPr>
        <w:pStyle w:val="BodyText3"/>
        <w:ind w:right="-90"/>
        <w:rPr>
          <w:sz w:val="26"/>
          <w:szCs w:val="26"/>
        </w:rPr>
      </w:pPr>
      <w:r w:rsidRPr="00B5002B">
        <w:rPr>
          <w:sz w:val="26"/>
          <w:szCs w:val="26"/>
        </w:rPr>
        <w:tab/>
        <w:t>The accompanying statement w</w:t>
      </w:r>
      <w:r>
        <w:rPr>
          <w:sz w:val="26"/>
          <w:szCs w:val="26"/>
        </w:rPr>
        <w:t>as</w:t>
      </w:r>
      <w:r w:rsidRPr="00B5002B">
        <w:rPr>
          <w:sz w:val="26"/>
          <w:szCs w:val="26"/>
        </w:rPr>
        <w:t xml:space="preserve"> prepared for the purpose of complying with the rules and regulations of the Pennsylvania Public Utility Commission and </w:t>
      </w:r>
      <w:r>
        <w:rPr>
          <w:sz w:val="26"/>
          <w:szCs w:val="26"/>
        </w:rPr>
        <w:t>is</w:t>
      </w:r>
      <w:r w:rsidRPr="00B5002B">
        <w:rPr>
          <w:sz w:val="26"/>
          <w:szCs w:val="26"/>
        </w:rPr>
        <w:t xml:space="preserve"> not intended to be a complete presentation of the Company’s revenues and expenses.</w:t>
      </w:r>
    </w:p>
    <w:p w:rsidR="005E1243" w:rsidRPr="00B5002B" w:rsidRDefault="005E1243" w:rsidP="00AF16CC">
      <w:pPr>
        <w:pStyle w:val="BodyText3"/>
        <w:ind w:right="-90"/>
      </w:pPr>
    </w:p>
    <w:p w:rsidR="005E1243" w:rsidRPr="00B5002B" w:rsidRDefault="005E1243" w:rsidP="008A1D20">
      <w:pPr>
        <w:pStyle w:val="BodyText3"/>
        <w:ind w:right="-90"/>
        <w:rPr>
          <w:sz w:val="26"/>
          <w:szCs w:val="26"/>
        </w:rPr>
      </w:pPr>
      <w:r w:rsidRPr="00B5002B">
        <w:tab/>
      </w:r>
      <w:r w:rsidRPr="00B5002B">
        <w:rPr>
          <w:sz w:val="26"/>
          <w:szCs w:val="26"/>
        </w:rPr>
        <w:t>In our opinion, the accompanying statement of PECO Energy Company present</w:t>
      </w:r>
      <w:r>
        <w:rPr>
          <w:sz w:val="26"/>
          <w:szCs w:val="26"/>
        </w:rPr>
        <w:t>s</w:t>
      </w:r>
      <w:r w:rsidRPr="00B5002B">
        <w:rPr>
          <w:sz w:val="26"/>
          <w:szCs w:val="26"/>
        </w:rPr>
        <w:t xml:space="preserve"> fairly, in all material respects, the over/under collections resulting from the Company’s application of the</w:t>
      </w:r>
      <w:r w:rsidR="0048211D">
        <w:rPr>
          <w:sz w:val="26"/>
          <w:szCs w:val="26"/>
        </w:rPr>
        <w:t xml:space="preserve"> Electric</w:t>
      </w:r>
      <w:r w:rsidRPr="00B5002B">
        <w:rPr>
          <w:sz w:val="26"/>
          <w:szCs w:val="26"/>
        </w:rPr>
        <w:t xml:space="preserve"> Universal Service Fund Charge in accordance with the provisions of its Schedule of Rates as approved by the Pennsylvania Public Utility Commission.</w:t>
      </w:r>
    </w:p>
    <w:p w:rsidR="005E1243" w:rsidRPr="00B5002B" w:rsidRDefault="005E1243" w:rsidP="00AF16CC">
      <w:pPr>
        <w:rPr>
          <w:sz w:val="26"/>
          <w:szCs w:val="26"/>
        </w:rPr>
      </w:pPr>
    </w:p>
    <w:p w:rsidR="005E1243" w:rsidRPr="00B5002B" w:rsidRDefault="005E1243" w:rsidP="00AF16CC">
      <w:pPr>
        <w:rPr>
          <w:sz w:val="26"/>
          <w:szCs w:val="26"/>
        </w:rPr>
      </w:pPr>
    </w:p>
    <w:p w:rsidR="005E1243" w:rsidRPr="00B5002B" w:rsidRDefault="005E1243" w:rsidP="00AF16CC">
      <w:pPr>
        <w:rPr>
          <w:sz w:val="26"/>
          <w:szCs w:val="26"/>
        </w:rPr>
      </w:pPr>
      <w:r w:rsidRPr="00B5002B">
        <w:rPr>
          <w:sz w:val="26"/>
          <w:szCs w:val="26"/>
        </w:rPr>
        <w:tab/>
      </w:r>
      <w:r w:rsidRPr="00B5002B">
        <w:rPr>
          <w:sz w:val="26"/>
          <w:szCs w:val="26"/>
        </w:rPr>
        <w:tab/>
      </w:r>
      <w:r w:rsidRPr="00B5002B">
        <w:rPr>
          <w:sz w:val="26"/>
          <w:szCs w:val="26"/>
        </w:rPr>
        <w:tab/>
      </w:r>
      <w:r w:rsidRPr="00B5002B">
        <w:rPr>
          <w:sz w:val="26"/>
          <w:szCs w:val="26"/>
        </w:rPr>
        <w:tab/>
      </w:r>
      <w:r w:rsidRPr="00B5002B">
        <w:rPr>
          <w:sz w:val="26"/>
          <w:szCs w:val="26"/>
        </w:rPr>
        <w:tab/>
      </w:r>
      <w:r w:rsidRPr="00B5002B">
        <w:rPr>
          <w:sz w:val="26"/>
          <w:szCs w:val="26"/>
        </w:rPr>
        <w:tab/>
      </w:r>
      <w:r w:rsidRPr="00B5002B">
        <w:rPr>
          <w:sz w:val="26"/>
          <w:szCs w:val="26"/>
        </w:rPr>
        <w:tab/>
        <w:t>M. Carl Lesney, CPA</w:t>
      </w:r>
    </w:p>
    <w:p w:rsidR="005E1243" w:rsidRPr="00B5002B" w:rsidRDefault="005E1243" w:rsidP="00AF16CC">
      <w:pPr>
        <w:rPr>
          <w:sz w:val="26"/>
          <w:szCs w:val="26"/>
        </w:rPr>
      </w:pPr>
      <w:r w:rsidRPr="00B5002B">
        <w:rPr>
          <w:sz w:val="26"/>
          <w:szCs w:val="26"/>
        </w:rPr>
        <w:tab/>
      </w:r>
      <w:r w:rsidRPr="00B5002B">
        <w:rPr>
          <w:sz w:val="26"/>
          <w:szCs w:val="26"/>
        </w:rPr>
        <w:tab/>
      </w:r>
      <w:r w:rsidRPr="00B5002B">
        <w:rPr>
          <w:sz w:val="26"/>
          <w:szCs w:val="26"/>
        </w:rPr>
        <w:tab/>
      </w:r>
      <w:r w:rsidRPr="00B5002B">
        <w:rPr>
          <w:sz w:val="26"/>
          <w:szCs w:val="26"/>
        </w:rPr>
        <w:tab/>
      </w:r>
      <w:r w:rsidRPr="00B5002B">
        <w:rPr>
          <w:sz w:val="26"/>
          <w:szCs w:val="26"/>
        </w:rPr>
        <w:tab/>
      </w:r>
      <w:r w:rsidRPr="00B5002B">
        <w:rPr>
          <w:sz w:val="26"/>
          <w:szCs w:val="26"/>
        </w:rPr>
        <w:tab/>
      </w:r>
      <w:r w:rsidRPr="00B5002B">
        <w:rPr>
          <w:sz w:val="26"/>
          <w:szCs w:val="26"/>
        </w:rPr>
        <w:tab/>
        <w:t>Director</w:t>
      </w:r>
    </w:p>
    <w:p w:rsidR="005E1243" w:rsidRPr="00B5002B" w:rsidRDefault="005E1243" w:rsidP="00AF16CC">
      <w:pPr>
        <w:rPr>
          <w:sz w:val="26"/>
          <w:szCs w:val="26"/>
        </w:rPr>
      </w:pPr>
      <w:r w:rsidRPr="00B5002B">
        <w:rPr>
          <w:sz w:val="26"/>
          <w:szCs w:val="26"/>
        </w:rPr>
        <w:tab/>
      </w:r>
      <w:r w:rsidRPr="00B5002B">
        <w:rPr>
          <w:sz w:val="26"/>
          <w:szCs w:val="26"/>
        </w:rPr>
        <w:tab/>
      </w:r>
      <w:r w:rsidRPr="00B5002B">
        <w:rPr>
          <w:sz w:val="26"/>
          <w:szCs w:val="26"/>
        </w:rPr>
        <w:tab/>
      </w:r>
      <w:r w:rsidRPr="00B5002B">
        <w:rPr>
          <w:sz w:val="26"/>
          <w:szCs w:val="26"/>
        </w:rPr>
        <w:tab/>
      </w:r>
      <w:r w:rsidRPr="00B5002B">
        <w:rPr>
          <w:sz w:val="26"/>
          <w:szCs w:val="26"/>
        </w:rPr>
        <w:tab/>
      </w:r>
      <w:r w:rsidRPr="00B5002B">
        <w:rPr>
          <w:sz w:val="26"/>
          <w:szCs w:val="26"/>
        </w:rPr>
        <w:tab/>
      </w:r>
      <w:r w:rsidRPr="00B5002B">
        <w:rPr>
          <w:sz w:val="26"/>
          <w:szCs w:val="26"/>
        </w:rPr>
        <w:tab/>
        <w:t>Bureau of Audits</w:t>
      </w:r>
    </w:p>
    <w:p w:rsidR="005E1243" w:rsidRDefault="005E1243" w:rsidP="009F7B9F">
      <w:pPr>
        <w:ind w:right="353" w:firstLine="720"/>
        <w:rPr>
          <w:b/>
          <w:sz w:val="28"/>
        </w:rPr>
        <w:sectPr w:rsidR="005E1243" w:rsidSect="001113C1">
          <w:headerReference w:type="even" r:id="rId19"/>
          <w:headerReference w:type="default" r:id="rId20"/>
          <w:footerReference w:type="default" r:id="rId21"/>
          <w:headerReference w:type="first" r:id="rId22"/>
          <w:pgSz w:w="12240" w:h="15840"/>
          <w:pgMar w:top="432" w:right="1440" w:bottom="1152" w:left="1440" w:header="720" w:footer="720" w:gutter="0"/>
          <w:pgNumType w:start="1"/>
          <w:cols w:space="720"/>
          <w:docGrid w:linePitch="360"/>
        </w:sectPr>
      </w:pPr>
    </w:p>
    <w:p w:rsidR="005E1243" w:rsidRPr="00B5002B" w:rsidRDefault="005E1243" w:rsidP="00380DAA">
      <w:pPr>
        <w:rPr>
          <w:sz w:val="18"/>
          <w:szCs w:val="18"/>
        </w:rPr>
      </w:pPr>
    </w:p>
    <w:p w:rsidR="005E1243" w:rsidRPr="00B5002B" w:rsidRDefault="005E1243">
      <w:pPr>
        <w:jc w:val="center"/>
        <w:rPr>
          <w:b/>
          <w:sz w:val="28"/>
        </w:rPr>
      </w:pPr>
      <w:r w:rsidRPr="00B5002B">
        <w:rPr>
          <w:b/>
          <w:sz w:val="28"/>
        </w:rPr>
        <w:t>PECO ENERGY COMPANY</w:t>
      </w:r>
    </w:p>
    <w:p w:rsidR="005E1243" w:rsidRPr="00B5002B" w:rsidRDefault="005E1243">
      <w:pPr>
        <w:jc w:val="center"/>
      </w:pPr>
    </w:p>
    <w:p w:rsidR="005E1243" w:rsidRPr="00B5002B" w:rsidRDefault="005E1243">
      <w:pPr>
        <w:jc w:val="center"/>
        <w:rPr>
          <w:b/>
          <w:sz w:val="26"/>
          <w:u w:val="single"/>
        </w:rPr>
      </w:pPr>
      <w:r>
        <w:rPr>
          <w:b/>
          <w:sz w:val="26"/>
          <w:u w:val="single"/>
        </w:rPr>
        <w:t>Statement O</w:t>
      </w:r>
      <w:r w:rsidRPr="00B5002B">
        <w:rPr>
          <w:b/>
          <w:sz w:val="26"/>
          <w:u w:val="single"/>
        </w:rPr>
        <w:t xml:space="preserve">f </w:t>
      </w:r>
      <w:r w:rsidR="0048211D">
        <w:rPr>
          <w:b/>
          <w:sz w:val="26"/>
          <w:u w:val="single"/>
        </w:rPr>
        <w:t xml:space="preserve">Electric </w:t>
      </w:r>
      <w:r w:rsidRPr="00B5002B">
        <w:rPr>
          <w:b/>
          <w:sz w:val="26"/>
          <w:u w:val="single"/>
        </w:rPr>
        <w:t>U</w:t>
      </w:r>
      <w:r>
        <w:rPr>
          <w:b/>
          <w:sz w:val="26"/>
          <w:u w:val="single"/>
        </w:rPr>
        <w:t xml:space="preserve">niversal </w:t>
      </w:r>
      <w:r w:rsidRPr="00B5002B">
        <w:rPr>
          <w:b/>
          <w:sz w:val="26"/>
          <w:u w:val="single"/>
        </w:rPr>
        <w:t>S</w:t>
      </w:r>
      <w:r>
        <w:rPr>
          <w:b/>
          <w:sz w:val="26"/>
          <w:u w:val="single"/>
        </w:rPr>
        <w:t xml:space="preserve">ervice </w:t>
      </w:r>
      <w:r w:rsidRPr="00B5002B">
        <w:rPr>
          <w:b/>
          <w:sz w:val="26"/>
          <w:u w:val="single"/>
        </w:rPr>
        <w:t>F</w:t>
      </w:r>
      <w:r>
        <w:rPr>
          <w:b/>
          <w:sz w:val="26"/>
          <w:u w:val="single"/>
        </w:rPr>
        <w:t xml:space="preserve">und </w:t>
      </w:r>
      <w:r w:rsidRPr="00B5002B">
        <w:rPr>
          <w:b/>
          <w:sz w:val="26"/>
          <w:u w:val="single"/>
        </w:rPr>
        <w:t>C</w:t>
      </w:r>
      <w:r>
        <w:rPr>
          <w:b/>
          <w:sz w:val="26"/>
          <w:u w:val="single"/>
        </w:rPr>
        <w:t>harge</w:t>
      </w:r>
      <w:r w:rsidRPr="00B5002B">
        <w:rPr>
          <w:b/>
          <w:sz w:val="26"/>
          <w:u w:val="single"/>
        </w:rPr>
        <w:t xml:space="preserve"> </w:t>
      </w:r>
      <w:r>
        <w:rPr>
          <w:b/>
          <w:sz w:val="26"/>
          <w:u w:val="single"/>
        </w:rPr>
        <w:t xml:space="preserve">Over/(Under) </w:t>
      </w:r>
      <w:r w:rsidRPr="00B5002B">
        <w:rPr>
          <w:b/>
          <w:sz w:val="26"/>
          <w:u w:val="single"/>
        </w:rPr>
        <w:t>C</w:t>
      </w:r>
      <w:r>
        <w:rPr>
          <w:b/>
          <w:sz w:val="26"/>
          <w:u w:val="single"/>
        </w:rPr>
        <w:t>ollections</w:t>
      </w:r>
    </w:p>
    <w:p w:rsidR="005E1243" w:rsidRPr="00B5002B" w:rsidRDefault="005E1243">
      <w:pPr>
        <w:jc w:val="center"/>
        <w:rPr>
          <w:b/>
          <w:sz w:val="26"/>
          <w:u w:val="single"/>
        </w:rPr>
      </w:pPr>
      <w:r w:rsidRPr="00B5002B">
        <w:rPr>
          <w:b/>
          <w:sz w:val="26"/>
          <w:u w:val="single"/>
        </w:rPr>
        <w:t>(Section 1307(e)</w:t>
      </w:r>
      <w:r>
        <w:rPr>
          <w:b/>
          <w:sz w:val="26"/>
          <w:u w:val="single"/>
        </w:rPr>
        <w:t>)</w:t>
      </w:r>
      <w:r w:rsidRPr="00B5002B">
        <w:rPr>
          <w:b/>
          <w:sz w:val="26"/>
          <w:u w:val="single"/>
        </w:rPr>
        <w:t xml:space="preserve"> </w:t>
      </w:r>
      <w:r>
        <w:rPr>
          <w:b/>
          <w:sz w:val="26"/>
          <w:u w:val="single"/>
        </w:rPr>
        <w:t>For The Twelve Months Ended December 31, 2007</w:t>
      </w:r>
    </w:p>
    <w:p w:rsidR="005E1243" w:rsidRPr="00B5002B" w:rsidRDefault="005E1243">
      <w:pPr>
        <w:rPr>
          <w:sz w:val="26"/>
        </w:rPr>
      </w:pPr>
    </w:p>
    <w:tbl>
      <w:tblPr>
        <w:tblW w:w="9288" w:type="dxa"/>
        <w:tblLook w:val="01E0"/>
      </w:tblPr>
      <w:tblGrid>
        <w:gridCol w:w="1805"/>
        <w:gridCol w:w="1806"/>
        <w:gridCol w:w="1806"/>
        <w:gridCol w:w="2071"/>
        <w:gridCol w:w="1800"/>
      </w:tblGrid>
      <w:tr w:rsidR="005E1243" w:rsidRPr="003E519B" w:rsidTr="003E519B">
        <w:tc>
          <w:tcPr>
            <w:tcW w:w="1805" w:type="dxa"/>
          </w:tcPr>
          <w:p w:rsidR="005E1243" w:rsidRPr="003E519B" w:rsidRDefault="005E1243" w:rsidP="003E519B">
            <w:pPr>
              <w:jc w:val="center"/>
              <w:rPr>
                <w:b/>
                <w:sz w:val="26"/>
              </w:rPr>
            </w:pPr>
          </w:p>
        </w:tc>
        <w:tc>
          <w:tcPr>
            <w:tcW w:w="1806" w:type="dxa"/>
          </w:tcPr>
          <w:p w:rsidR="005E1243" w:rsidRPr="003E519B" w:rsidRDefault="005E1243" w:rsidP="003E519B">
            <w:pPr>
              <w:jc w:val="center"/>
              <w:rPr>
                <w:b/>
                <w:sz w:val="26"/>
              </w:rPr>
            </w:pPr>
          </w:p>
        </w:tc>
        <w:tc>
          <w:tcPr>
            <w:tcW w:w="1806" w:type="dxa"/>
          </w:tcPr>
          <w:p w:rsidR="005E1243" w:rsidRPr="003E519B" w:rsidRDefault="005E1243" w:rsidP="003E519B">
            <w:pPr>
              <w:jc w:val="center"/>
              <w:rPr>
                <w:b/>
                <w:sz w:val="26"/>
              </w:rPr>
            </w:pPr>
          </w:p>
        </w:tc>
        <w:tc>
          <w:tcPr>
            <w:tcW w:w="2071" w:type="dxa"/>
          </w:tcPr>
          <w:p w:rsidR="005E1243" w:rsidRPr="003E519B" w:rsidRDefault="005E1243" w:rsidP="003E519B">
            <w:pPr>
              <w:jc w:val="center"/>
              <w:rPr>
                <w:b/>
                <w:sz w:val="26"/>
              </w:rPr>
            </w:pPr>
          </w:p>
        </w:tc>
        <w:tc>
          <w:tcPr>
            <w:tcW w:w="1800" w:type="dxa"/>
          </w:tcPr>
          <w:p w:rsidR="005E1243" w:rsidRPr="003E519B" w:rsidRDefault="005E1243" w:rsidP="003E519B">
            <w:pPr>
              <w:jc w:val="center"/>
              <w:rPr>
                <w:b/>
                <w:sz w:val="26"/>
              </w:rPr>
            </w:pPr>
          </w:p>
        </w:tc>
      </w:tr>
      <w:tr w:rsidR="005E1243" w:rsidRPr="003E519B" w:rsidTr="003E519B">
        <w:tc>
          <w:tcPr>
            <w:tcW w:w="1805" w:type="dxa"/>
          </w:tcPr>
          <w:p w:rsidR="005E1243" w:rsidRPr="003E519B" w:rsidRDefault="005E1243" w:rsidP="003E519B">
            <w:pPr>
              <w:jc w:val="center"/>
              <w:rPr>
                <w:b/>
                <w:sz w:val="26"/>
              </w:rPr>
            </w:pPr>
          </w:p>
          <w:p w:rsidR="005E1243" w:rsidRPr="003E519B" w:rsidRDefault="005E1243" w:rsidP="003E519B">
            <w:pPr>
              <w:jc w:val="center"/>
              <w:rPr>
                <w:b/>
                <w:sz w:val="26"/>
              </w:rPr>
            </w:pPr>
          </w:p>
          <w:p w:rsidR="005E1243" w:rsidRPr="003E519B" w:rsidRDefault="005E1243" w:rsidP="003E519B">
            <w:pPr>
              <w:jc w:val="center"/>
              <w:rPr>
                <w:b/>
                <w:sz w:val="26"/>
              </w:rPr>
            </w:pPr>
          </w:p>
          <w:p w:rsidR="005E1243" w:rsidRPr="003E519B" w:rsidRDefault="005E1243" w:rsidP="003E519B">
            <w:pPr>
              <w:jc w:val="center"/>
              <w:rPr>
                <w:b/>
                <w:sz w:val="26"/>
              </w:rPr>
            </w:pPr>
          </w:p>
          <w:p w:rsidR="005E1243" w:rsidRPr="003E519B" w:rsidRDefault="005E1243" w:rsidP="003E519B">
            <w:pPr>
              <w:jc w:val="center"/>
              <w:rPr>
                <w:b/>
                <w:sz w:val="26"/>
                <w:u w:val="single"/>
              </w:rPr>
            </w:pPr>
            <w:r w:rsidRPr="003E519B">
              <w:rPr>
                <w:b/>
                <w:sz w:val="26"/>
                <w:u w:val="single"/>
              </w:rPr>
              <w:t>Month</w:t>
            </w:r>
          </w:p>
          <w:p w:rsidR="005E1243" w:rsidRPr="003E519B" w:rsidRDefault="005E1243" w:rsidP="003E519B">
            <w:pPr>
              <w:tabs>
                <w:tab w:val="left" w:pos="450"/>
                <w:tab w:val="left" w:pos="1155"/>
              </w:tabs>
              <w:rPr>
                <w:b/>
                <w:sz w:val="26"/>
                <w:u w:val="single"/>
              </w:rPr>
            </w:pPr>
            <w:r w:rsidRPr="003E519B">
              <w:rPr>
                <w:b/>
                <w:sz w:val="26"/>
              </w:rPr>
              <w:tab/>
            </w:r>
          </w:p>
        </w:tc>
        <w:tc>
          <w:tcPr>
            <w:tcW w:w="1806" w:type="dxa"/>
          </w:tcPr>
          <w:p w:rsidR="005E1243" w:rsidRPr="003E519B" w:rsidRDefault="005E1243" w:rsidP="003E519B">
            <w:pPr>
              <w:jc w:val="center"/>
              <w:rPr>
                <w:b/>
                <w:sz w:val="26"/>
              </w:rPr>
            </w:pPr>
          </w:p>
          <w:p w:rsidR="005E1243" w:rsidRPr="003E519B" w:rsidRDefault="005E1243" w:rsidP="003E519B">
            <w:pPr>
              <w:jc w:val="center"/>
              <w:rPr>
                <w:b/>
                <w:sz w:val="26"/>
              </w:rPr>
            </w:pPr>
          </w:p>
          <w:p w:rsidR="005E1243" w:rsidRPr="003E519B" w:rsidRDefault="005E1243" w:rsidP="003E519B">
            <w:pPr>
              <w:jc w:val="center"/>
              <w:rPr>
                <w:b/>
                <w:sz w:val="26"/>
              </w:rPr>
            </w:pPr>
            <w:r w:rsidRPr="003E519B">
              <w:rPr>
                <w:b/>
                <w:sz w:val="26"/>
              </w:rPr>
              <w:t xml:space="preserve">Total </w:t>
            </w:r>
          </w:p>
          <w:p w:rsidR="005E1243" w:rsidRPr="003E519B" w:rsidRDefault="005E1243" w:rsidP="003E519B">
            <w:pPr>
              <w:tabs>
                <w:tab w:val="left" w:pos="250"/>
              </w:tabs>
              <w:jc w:val="center"/>
              <w:rPr>
                <w:b/>
                <w:sz w:val="26"/>
              </w:rPr>
            </w:pPr>
            <w:r w:rsidRPr="003E519B">
              <w:rPr>
                <w:b/>
                <w:sz w:val="26"/>
              </w:rPr>
              <w:t>Revenues</w:t>
            </w:r>
          </w:p>
          <w:p w:rsidR="005E1243" w:rsidRPr="003E519B" w:rsidRDefault="005E1243" w:rsidP="00B3258C">
            <w:pPr>
              <w:tabs>
                <w:tab w:val="left" w:pos="280"/>
                <w:tab w:val="left" w:pos="1315"/>
              </w:tabs>
              <w:jc w:val="center"/>
              <w:rPr>
                <w:b/>
                <w:sz w:val="26"/>
                <w:u w:val="single"/>
              </w:rPr>
            </w:pPr>
            <w:r w:rsidRPr="003E519B">
              <w:rPr>
                <w:b/>
                <w:sz w:val="26"/>
                <w:u w:val="single"/>
              </w:rPr>
              <w:t>(Note 1)</w:t>
            </w:r>
          </w:p>
        </w:tc>
        <w:tc>
          <w:tcPr>
            <w:tcW w:w="1806" w:type="dxa"/>
          </w:tcPr>
          <w:p w:rsidR="005E1243" w:rsidRPr="003E519B" w:rsidRDefault="005E1243" w:rsidP="003E519B">
            <w:pPr>
              <w:jc w:val="center"/>
              <w:rPr>
                <w:b/>
                <w:sz w:val="26"/>
              </w:rPr>
            </w:pPr>
            <w:r w:rsidRPr="003E519B">
              <w:rPr>
                <w:b/>
                <w:sz w:val="26"/>
              </w:rPr>
              <w:t>No. of CAP</w:t>
            </w:r>
          </w:p>
          <w:p w:rsidR="005E1243" w:rsidRPr="003E519B" w:rsidRDefault="005E1243" w:rsidP="003E519B">
            <w:pPr>
              <w:jc w:val="center"/>
              <w:rPr>
                <w:b/>
                <w:sz w:val="26"/>
              </w:rPr>
            </w:pPr>
            <w:r w:rsidRPr="003E519B">
              <w:rPr>
                <w:b/>
                <w:sz w:val="26"/>
              </w:rPr>
              <w:t>Customers</w:t>
            </w:r>
          </w:p>
          <w:p w:rsidR="005E1243" w:rsidRPr="003E519B" w:rsidRDefault="005E1243" w:rsidP="003E519B">
            <w:pPr>
              <w:jc w:val="center"/>
              <w:rPr>
                <w:b/>
                <w:sz w:val="26"/>
              </w:rPr>
            </w:pPr>
            <w:r w:rsidRPr="003E519B">
              <w:rPr>
                <w:b/>
                <w:sz w:val="26"/>
              </w:rPr>
              <w:t>Exceeding 90,000</w:t>
            </w:r>
          </w:p>
          <w:p w:rsidR="005E1243" w:rsidRPr="003E519B" w:rsidRDefault="005E1243" w:rsidP="00F65EEB">
            <w:pPr>
              <w:tabs>
                <w:tab w:val="left" w:pos="184"/>
                <w:tab w:val="left" w:pos="1414"/>
              </w:tabs>
              <w:jc w:val="center"/>
              <w:rPr>
                <w:b/>
                <w:sz w:val="26"/>
                <w:u w:val="single"/>
              </w:rPr>
            </w:pPr>
            <w:r w:rsidRPr="003E519B">
              <w:rPr>
                <w:b/>
                <w:sz w:val="26"/>
                <w:u w:val="single"/>
              </w:rPr>
              <w:t>(Note 2)</w:t>
            </w:r>
          </w:p>
        </w:tc>
        <w:tc>
          <w:tcPr>
            <w:tcW w:w="2071" w:type="dxa"/>
          </w:tcPr>
          <w:p w:rsidR="005E1243" w:rsidRPr="003E519B" w:rsidRDefault="005E1243" w:rsidP="003E519B">
            <w:pPr>
              <w:jc w:val="center"/>
              <w:rPr>
                <w:b/>
                <w:sz w:val="26"/>
              </w:rPr>
            </w:pPr>
          </w:p>
          <w:p w:rsidR="005E1243" w:rsidRPr="003E519B" w:rsidRDefault="005E1243" w:rsidP="003E519B">
            <w:pPr>
              <w:jc w:val="center"/>
              <w:rPr>
                <w:b/>
                <w:sz w:val="26"/>
              </w:rPr>
            </w:pPr>
            <w:r w:rsidRPr="003E519B">
              <w:rPr>
                <w:b/>
                <w:sz w:val="26"/>
              </w:rPr>
              <w:t>Allowable</w:t>
            </w:r>
          </w:p>
          <w:p w:rsidR="005E1243" w:rsidRPr="003E519B" w:rsidRDefault="005E1243" w:rsidP="003E519B">
            <w:pPr>
              <w:jc w:val="center"/>
              <w:rPr>
                <w:b/>
                <w:sz w:val="26"/>
              </w:rPr>
            </w:pPr>
            <w:r w:rsidRPr="003E519B">
              <w:rPr>
                <w:b/>
                <w:sz w:val="26"/>
              </w:rPr>
              <w:t>Cost Recovery</w:t>
            </w:r>
          </w:p>
          <w:p w:rsidR="005E1243" w:rsidRPr="003E519B" w:rsidRDefault="005E1243" w:rsidP="003E519B">
            <w:pPr>
              <w:jc w:val="center"/>
              <w:rPr>
                <w:b/>
                <w:sz w:val="26"/>
              </w:rPr>
            </w:pPr>
            <w:r w:rsidRPr="003E519B">
              <w:rPr>
                <w:b/>
                <w:sz w:val="26"/>
              </w:rPr>
              <w:t>(4)=(3)x($31.92)</w:t>
            </w:r>
          </w:p>
          <w:p w:rsidR="005E1243" w:rsidRPr="003E519B" w:rsidRDefault="005E1243" w:rsidP="00F65EEB">
            <w:pPr>
              <w:tabs>
                <w:tab w:val="left" w:pos="0"/>
                <w:tab w:val="left" w:pos="1855"/>
              </w:tabs>
              <w:jc w:val="center"/>
              <w:rPr>
                <w:b/>
                <w:sz w:val="26"/>
                <w:u w:val="single"/>
              </w:rPr>
            </w:pPr>
            <w:r w:rsidRPr="003E519B">
              <w:rPr>
                <w:b/>
                <w:sz w:val="26"/>
                <w:u w:val="single"/>
              </w:rPr>
              <w:t>(Note 3)</w:t>
            </w:r>
          </w:p>
        </w:tc>
        <w:tc>
          <w:tcPr>
            <w:tcW w:w="1800" w:type="dxa"/>
          </w:tcPr>
          <w:p w:rsidR="005E1243" w:rsidRPr="003E519B" w:rsidRDefault="005E1243" w:rsidP="003E519B">
            <w:pPr>
              <w:jc w:val="center"/>
              <w:rPr>
                <w:b/>
                <w:sz w:val="26"/>
              </w:rPr>
            </w:pPr>
          </w:p>
          <w:p w:rsidR="005E1243" w:rsidRPr="003E519B" w:rsidRDefault="005E1243" w:rsidP="003E519B">
            <w:pPr>
              <w:jc w:val="center"/>
              <w:rPr>
                <w:b/>
                <w:sz w:val="26"/>
              </w:rPr>
            </w:pPr>
            <w:r w:rsidRPr="003E519B">
              <w:rPr>
                <w:b/>
                <w:sz w:val="26"/>
              </w:rPr>
              <w:t>Over/(Under)</w:t>
            </w:r>
          </w:p>
          <w:p w:rsidR="005E1243" w:rsidRPr="003E519B" w:rsidRDefault="005E1243" w:rsidP="003E519B">
            <w:pPr>
              <w:jc w:val="center"/>
              <w:rPr>
                <w:b/>
                <w:sz w:val="26"/>
              </w:rPr>
            </w:pPr>
            <w:r w:rsidRPr="003E519B">
              <w:rPr>
                <w:b/>
                <w:sz w:val="26"/>
              </w:rPr>
              <w:t>Recovery (D)=(A)-(C)</w:t>
            </w:r>
          </w:p>
          <w:p w:rsidR="005E1243" w:rsidRPr="003E519B" w:rsidRDefault="005E1243" w:rsidP="00F65EEB">
            <w:pPr>
              <w:tabs>
                <w:tab w:val="left" w:pos="72"/>
                <w:tab w:val="left" w:pos="1512"/>
              </w:tabs>
              <w:jc w:val="center"/>
              <w:rPr>
                <w:b/>
                <w:sz w:val="26"/>
                <w:u w:val="single"/>
              </w:rPr>
            </w:pPr>
            <w:r w:rsidRPr="003E519B">
              <w:rPr>
                <w:b/>
                <w:sz w:val="26"/>
                <w:u w:val="single"/>
              </w:rPr>
              <w:t>(Note 4)</w:t>
            </w:r>
          </w:p>
        </w:tc>
      </w:tr>
      <w:tr w:rsidR="005E1243" w:rsidRPr="003E519B" w:rsidTr="003E519B">
        <w:tc>
          <w:tcPr>
            <w:tcW w:w="1805" w:type="dxa"/>
          </w:tcPr>
          <w:p w:rsidR="005E1243" w:rsidRPr="003E519B" w:rsidRDefault="005E1243" w:rsidP="003E519B">
            <w:pPr>
              <w:jc w:val="center"/>
              <w:rPr>
                <w:b/>
                <w:sz w:val="26"/>
              </w:rPr>
            </w:pPr>
          </w:p>
        </w:tc>
        <w:tc>
          <w:tcPr>
            <w:tcW w:w="1806" w:type="dxa"/>
          </w:tcPr>
          <w:p w:rsidR="005E1243" w:rsidRPr="003E519B" w:rsidRDefault="005E1243" w:rsidP="003E519B">
            <w:pPr>
              <w:jc w:val="center"/>
              <w:rPr>
                <w:b/>
                <w:sz w:val="26"/>
              </w:rPr>
            </w:pPr>
            <w:r w:rsidRPr="003E519B">
              <w:rPr>
                <w:b/>
                <w:sz w:val="26"/>
              </w:rPr>
              <w:t>(A)</w:t>
            </w:r>
          </w:p>
        </w:tc>
        <w:tc>
          <w:tcPr>
            <w:tcW w:w="1806" w:type="dxa"/>
          </w:tcPr>
          <w:p w:rsidR="005E1243" w:rsidRPr="003E519B" w:rsidRDefault="005E1243" w:rsidP="003E519B">
            <w:pPr>
              <w:jc w:val="center"/>
              <w:rPr>
                <w:b/>
                <w:sz w:val="26"/>
              </w:rPr>
            </w:pPr>
            <w:r w:rsidRPr="003E519B">
              <w:rPr>
                <w:b/>
                <w:sz w:val="26"/>
              </w:rPr>
              <w:t>(B)</w:t>
            </w:r>
          </w:p>
        </w:tc>
        <w:tc>
          <w:tcPr>
            <w:tcW w:w="2071" w:type="dxa"/>
          </w:tcPr>
          <w:p w:rsidR="005E1243" w:rsidRPr="003E519B" w:rsidRDefault="005E1243" w:rsidP="003E519B">
            <w:pPr>
              <w:jc w:val="center"/>
              <w:rPr>
                <w:b/>
                <w:sz w:val="26"/>
              </w:rPr>
            </w:pPr>
            <w:r w:rsidRPr="003E519B">
              <w:rPr>
                <w:b/>
                <w:sz w:val="26"/>
              </w:rPr>
              <w:t>(C)</w:t>
            </w:r>
          </w:p>
        </w:tc>
        <w:tc>
          <w:tcPr>
            <w:tcW w:w="1800" w:type="dxa"/>
          </w:tcPr>
          <w:p w:rsidR="005E1243" w:rsidRPr="003E519B" w:rsidRDefault="005E1243" w:rsidP="003E519B">
            <w:pPr>
              <w:jc w:val="center"/>
              <w:rPr>
                <w:b/>
                <w:sz w:val="26"/>
              </w:rPr>
            </w:pPr>
            <w:r w:rsidRPr="003E519B">
              <w:rPr>
                <w:b/>
                <w:sz w:val="26"/>
              </w:rPr>
              <w:t>(D)</w:t>
            </w:r>
          </w:p>
        </w:tc>
      </w:tr>
      <w:tr w:rsidR="005E1243" w:rsidRPr="003E519B" w:rsidTr="003E519B">
        <w:tc>
          <w:tcPr>
            <w:tcW w:w="1805" w:type="dxa"/>
          </w:tcPr>
          <w:p w:rsidR="005E1243" w:rsidRPr="003E519B" w:rsidRDefault="005E1243">
            <w:pPr>
              <w:rPr>
                <w:sz w:val="26"/>
              </w:rPr>
            </w:pPr>
          </w:p>
        </w:tc>
        <w:tc>
          <w:tcPr>
            <w:tcW w:w="1806" w:type="dxa"/>
          </w:tcPr>
          <w:p w:rsidR="005E1243" w:rsidRPr="003E519B" w:rsidRDefault="005E1243">
            <w:pPr>
              <w:rPr>
                <w:sz w:val="26"/>
              </w:rPr>
            </w:pPr>
          </w:p>
        </w:tc>
        <w:tc>
          <w:tcPr>
            <w:tcW w:w="1806" w:type="dxa"/>
          </w:tcPr>
          <w:p w:rsidR="005E1243" w:rsidRPr="003E519B" w:rsidRDefault="005E1243">
            <w:pPr>
              <w:rPr>
                <w:sz w:val="26"/>
              </w:rPr>
            </w:pPr>
          </w:p>
        </w:tc>
        <w:tc>
          <w:tcPr>
            <w:tcW w:w="2071" w:type="dxa"/>
          </w:tcPr>
          <w:p w:rsidR="005E1243" w:rsidRPr="003E519B" w:rsidRDefault="005E1243">
            <w:pPr>
              <w:rPr>
                <w:sz w:val="26"/>
              </w:rPr>
            </w:pPr>
          </w:p>
        </w:tc>
        <w:tc>
          <w:tcPr>
            <w:tcW w:w="1800" w:type="dxa"/>
          </w:tcPr>
          <w:p w:rsidR="005E1243" w:rsidRPr="003E519B" w:rsidRDefault="005E1243">
            <w:pPr>
              <w:rPr>
                <w:sz w:val="26"/>
              </w:rPr>
            </w:pPr>
          </w:p>
        </w:tc>
      </w:tr>
      <w:tr w:rsidR="005E1243" w:rsidRPr="003E519B" w:rsidTr="003E519B">
        <w:tc>
          <w:tcPr>
            <w:tcW w:w="1805" w:type="dxa"/>
          </w:tcPr>
          <w:p w:rsidR="005E1243" w:rsidRPr="003E519B" w:rsidRDefault="005E1243">
            <w:pPr>
              <w:rPr>
                <w:sz w:val="26"/>
              </w:rPr>
            </w:pPr>
            <w:r w:rsidRPr="003E519B">
              <w:rPr>
                <w:sz w:val="26"/>
              </w:rPr>
              <w:t>January</w:t>
            </w:r>
          </w:p>
        </w:tc>
        <w:tc>
          <w:tcPr>
            <w:tcW w:w="1806" w:type="dxa"/>
          </w:tcPr>
          <w:p w:rsidR="005E1243" w:rsidRPr="003E519B" w:rsidRDefault="005E1243" w:rsidP="003E519B">
            <w:pPr>
              <w:tabs>
                <w:tab w:val="decimal" w:pos="1423"/>
              </w:tabs>
              <w:rPr>
                <w:sz w:val="26"/>
              </w:rPr>
            </w:pPr>
            <w:r w:rsidRPr="003E519B">
              <w:rPr>
                <w:sz w:val="26"/>
              </w:rPr>
              <w:t>$335,019</w:t>
            </w:r>
          </w:p>
        </w:tc>
        <w:tc>
          <w:tcPr>
            <w:tcW w:w="1806" w:type="dxa"/>
          </w:tcPr>
          <w:p w:rsidR="005E1243" w:rsidRPr="003E519B" w:rsidRDefault="005E1243" w:rsidP="003E519B">
            <w:pPr>
              <w:tabs>
                <w:tab w:val="decimal" w:pos="1069"/>
              </w:tabs>
              <w:rPr>
                <w:sz w:val="26"/>
              </w:rPr>
            </w:pPr>
            <w:r w:rsidRPr="003E519B">
              <w:rPr>
                <w:sz w:val="26"/>
              </w:rPr>
              <w:t>21,934</w:t>
            </w:r>
          </w:p>
        </w:tc>
        <w:tc>
          <w:tcPr>
            <w:tcW w:w="2071" w:type="dxa"/>
          </w:tcPr>
          <w:p w:rsidR="005E1243" w:rsidRPr="003E519B" w:rsidRDefault="005E1243" w:rsidP="003E519B">
            <w:pPr>
              <w:tabs>
                <w:tab w:val="decimal" w:pos="1423"/>
              </w:tabs>
              <w:rPr>
                <w:sz w:val="26"/>
              </w:rPr>
            </w:pPr>
            <w:r w:rsidRPr="003E519B">
              <w:rPr>
                <w:sz w:val="26"/>
              </w:rPr>
              <w:t>$ 700,133</w:t>
            </w:r>
          </w:p>
        </w:tc>
        <w:tc>
          <w:tcPr>
            <w:tcW w:w="1800" w:type="dxa"/>
          </w:tcPr>
          <w:p w:rsidR="005E1243" w:rsidRPr="003E519B" w:rsidRDefault="005E1243" w:rsidP="003E519B">
            <w:pPr>
              <w:tabs>
                <w:tab w:val="decimal" w:pos="1237"/>
              </w:tabs>
              <w:rPr>
                <w:sz w:val="26"/>
              </w:rPr>
            </w:pPr>
            <w:r w:rsidRPr="003E519B">
              <w:rPr>
                <w:sz w:val="26"/>
              </w:rPr>
              <w:t>$ (365,115)</w:t>
            </w:r>
          </w:p>
        </w:tc>
      </w:tr>
      <w:tr w:rsidR="005E1243" w:rsidRPr="003E519B" w:rsidTr="003E519B">
        <w:tc>
          <w:tcPr>
            <w:tcW w:w="1805" w:type="dxa"/>
          </w:tcPr>
          <w:p w:rsidR="005E1243" w:rsidRPr="003E519B" w:rsidRDefault="005E1243">
            <w:pPr>
              <w:rPr>
                <w:sz w:val="26"/>
              </w:rPr>
            </w:pPr>
          </w:p>
        </w:tc>
        <w:tc>
          <w:tcPr>
            <w:tcW w:w="1806" w:type="dxa"/>
          </w:tcPr>
          <w:p w:rsidR="005E1243" w:rsidRPr="003E519B" w:rsidRDefault="005E1243" w:rsidP="003E519B">
            <w:pPr>
              <w:tabs>
                <w:tab w:val="left" w:pos="535"/>
                <w:tab w:val="decimal" w:pos="895"/>
              </w:tabs>
              <w:jc w:val="center"/>
              <w:rPr>
                <w:sz w:val="26"/>
              </w:rPr>
            </w:pPr>
          </w:p>
        </w:tc>
        <w:tc>
          <w:tcPr>
            <w:tcW w:w="1806" w:type="dxa"/>
          </w:tcPr>
          <w:p w:rsidR="005E1243" w:rsidRPr="003E519B" w:rsidRDefault="005E1243" w:rsidP="003E519B">
            <w:pPr>
              <w:tabs>
                <w:tab w:val="decimal" w:pos="1069"/>
              </w:tabs>
              <w:rPr>
                <w:sz w:val="26"/>
              </w:rPr>
            </w:pPr>
          </w:p>
        </w:tc>
        <w:tc>
          <w:tcPr>
            <w:tcW w:w="2071" w:type="dxa"/>
          </w:tcPr>
          <w:p w:rsidR="005E1243" w:rsidRPr="003E519B" w:rsidRDefault="005E1243" w:rsidP="003E519B">
            <w:pPr>
              <w:tabs>
                <w:tab w:val="decimal" w:pos="1423"/>
              </w:tabs>
              <w:rPr>
                <w:sz w:val="26"/>
              </w:rPr>
            </w:pPr>
          </w:p>
        </w:tc>
        <w:tc>
          <w:tcPr>
            <w:tcW w:w="1800" w:type="dxa"/>
          </w:tcPr>
          <w:p w:rsidR="005E1243" w:rsidRPr="003E519B" w:rsidRDefault="005E1243" w:rsidP="003E519B">
            <w:pPr>
              <w:tabs>
                <w:tab w:val="decimal" w:pos="1237"/>
              </w:tabs>
              <w:rPr>
                <w:sz w:val="26"/>
              </w:rPr>
            </w:pPr>
          </w:p>
        </w:tc>
      </w:tr>
      <w:tr w:rsidR="005E1243" w:rsidRPr="003E519B" w:rsidTr="003E519B">
        <w:tc>
          <w:tcPr>
            <w:tcW w:w="1805" w:type="dxa"/>
          </w:tcPr>
          <w:p w:rsidR="005E1243" w:rsidRPr="003E519B" w:rsidRDefault="005E1243">
            <w:pPr>
              <w:rPr>
                <w:sz w:val="26"/>
              </w:rPr>
            </w:pPr>
            <w:r w:rsidRPr="003E519B">
              <w:rPr>
                <w:sz w:val="26"/>
              </w:rPr>
              <w:t>February</w:t>
            </w:r>
          </w:p>
        </w:tc>
        <w:tc>
          <w:tcPr>
            <w:tcW w:w="1806" w:type="dxa"/>
          </w:tcPr>
          <w:p w:rsidR="005E1243" w:rsidRPr="003E519B" w:rsidRDefault="005E1243" w:rsidP="003E519B">
            <w:pPr>
              <w:tabs>
                <w:tab w:val="decimal" w:pos="1423"/>
              </w:tabs>
              <w:rPr>
                <w:sz w:val="26"/>
              </w:rPr>
            </w:pPr>
            <w:r w:rsidRPr="003E519B">
              <w:rPr>
                <w:sz w:val="26"/>
              </w:rPr>
              <w:t>1,241,799</w:t>
            </w:r>
          </w:p>
        </w:tc>
        <w:tc>
          <w:tcPr>
            <w:tcW w:w="1806" w:type="dxa"/>
          </w:tcPr>
          <w:p w:rsidR="005E1243" w:rsidRPr="003E519B" w:rsidRDefault="005E1243" w:rsidP="003E519B">
            <w:pPr>
              <w:tabs>
                <w:tab w:val="decimal" w:pos="1069"/>
              </w:tabs>
              <w:rPr>
                <w:sz w:val="26"/>
              </w:rPr>
            </w:pPr>
            <w:r w:rsidRPr="003E519B">
              <w:rPr>
                <w:sz w:val="26"/>
              </w:rPr>
              <w:t>22,027</w:t>
            </w:r>
          </w:p>
        </w:tc>
        <w:tc>
          <w:tcPr>
            <w:tcW w:w="2071" w:type="dxa"/>
          </w:tcPr>
          <w:p w:rsidR="005E1243" w:rsidRPr="003E519B" w:rsidRDefault="005E1243" w:rsidP="003E519B">
            <w:pPr>
              <w:tabs>
                <w:tab w:val="decimal" w:pos="1423"/>
              </w:tabs>
              <w:rPr>
                <w:sz w:val="26"/>
              </w:rPr>
            </w:pPr>
            <w:r w:rsidRPr="003E519B">
              <w:rPr>
                <w:sz w:val="26"/>
              </w:rPr>
              <w:t>703,102</w:t>
            </w:r>
          </w:p>
        </w:tc>
        <w:tc>
          <w:tcPr>
            <w:tcW w:w="1800" w:type="dxa"/>
          </w:tcPr>
          <w:p w:rsidR="005E1243" w:rsidRPr="003E519B" w:rsidRDefault="005E1243" w:rsidP="003E519B">
            <w:pPr>
              <w:tabs>
                <w:tab w:val="decimal" w:pos="1237"/>
              </w:tabs>
              <w:rPr>
                <w:sz w:val="26"/>
              </w:rPr>
            </w:pPr>
            <w:r w:rsidRPr="003E519B">
              <w:rPr>
                <w:sz w:val="26"/>
              </w:rPr>
              <w:t>538,697</w:t>
            </w:r>
          </w:p>
        </w:tc>
      </w:tr>
      <w:tr w:rsidR="005E1243" w:rsidRPr="003E519B" w:rsidTr="003E519B">
        <w:tc>
          <w:tcPr>
            <w:tcW w:w="1805" w:type="dxa"/>
          </w:tcPr>
          <w:p w:rsidR="005E1243" w:rsidRPr="003E519B" w:rsidRDefault="005E1243">
            <w:pPr>
              <w:rPr>
                <w:sz w:val="26"/>
              </w:rPr>
            </w:pPr>
          </w:p>
        </w:tc>
        <w:tc>
          <w:tcPr>
            <w:tcW w:w="1806" w:type="dxa"/>
          </w:tcPr>
          <w:p w:rsidR="005E1243" w:rsidRPr="003E519B" w:rsidRDefault="005E1243" w:rsidP="003E519B">
            <w:pPr>
              <w:tabs>
                <w:tab w:val="decimal" w:pos="1423"/>
              </w:tabs>
              <w:rPr>
                <w:sz w:val="26"/>
              </w:rPr>
            </w:pPr>
          </w:p>
        </w:tc>
        <w:tc>
          <w:tcPr>
            <w:tcW w:w="1806" w:type="dxa"/>
          </w:tcPr>
          <w:p w:rsidR="005E1243" w:rsidRPr="003E519B" w:rsidRDefault="005E1243" w:rsidP="003E519B">
            <w:pPr>
              <w:tabs>
                <w:tab w:val="decimal" w:pos="1069"/>
              </w:tabs>
              <w:rPr>
                <w:sz w:val="26"/>
              </w:rPr>
            </w:pPr>
          </w:p>
        </w:tc>
        <w:tc>
          <w:tcPr>
            <w:tcW w:w="2071" w:type="dxa"/>
          </w:tcPr>
          <w:p w:rsidR="005E1243" w:rsidRPr="003E519B" w:rsidRDefault="005E1243" w:rsidP="003E519B">
            <w:pPr>
              <w:tabs>
                <w:tab w:val="decimal" w:pos="1423"/>
              </w:tabs>
              <w:rPr>
                <w:sz w:val="26"/>
              </w:rPr>
            </w:pPr>
          </w:p>
        </w:tc>
        <w:tc>
          <w:tcPr>
            <w:tcW w:w="1800" w:type="dxa"/>
          </w:tcPr>
          <w:p w:rsidR="005E1243" w:rsidRPr="003E519B" w:rsidRDefault="005E1243" w:rsidP="003E519B">
            <w:pPr>
              <w:tabs>
                <w:tab w:val="decimal" w:pos="1237"/>
              </w:tabs>
              <w:rPr>
                <w:sz w:val="26"/>
              </w:rPr>
            </w:pPr>
          </w:p>
        </w:tc>
      </w:tr>
      <w:tr w:rsidR="005E1243" w:rsidRPr="003E519B" w:rsidTr="003E519B">
        <w:tc>
          <w:tcPr>
            <w:tcW w:w="1805" w:type="dxa"/>
          </w:tcPr>
          <w:p w:rsidR="005E1243" w:rsidRPr="003E519B" w:rsidRDefault="005E1243">
            <w:pPr>
              <w:rPr>
                <w:sz w:val="26"/>
              </w:rPr>
            </w:pPr>
            <w:r w:rsidRPr="003E519B">
              <w:rPr>
                <w:sz w:val="26"/>
              </w:rPr>
              <w:t>March</w:t>
            </w:r>
          </w:p>
        </w:tc>
        <w:tc>
          <w:tcPr>
            <w:tcW w:w="1806" w:type="dxa"/>
          </w:tcPr>
          <w:p w:rsidR="005E1243" w:rsidRPr="003E519B" w:rsidRDefault="005E1243" w:rsidP="003E519B">
            <w:pPr>
              <w:tabs>
                <w:tab w:val="decimal" w:pos="1423"/>
              </w:tabs>
              <w:rPr>
                <w:sz w:val="26"/>
              </w:rPr>
            </w:pPr>
            <w:r w:rsidRPr="003E519B">
              <w:rPr>
                <w:sz w:val="26"/>
              </w:rPr>
              <w:t>1,132,240</w:t>
            </w:r>
          </w:p>
        </w:tc>
        <w:tc>
          <w:tcPr>
            <w:tcW w:w="1806" w:type="dxa"/>
          </w:tcPr>
          <w:p w:rsidR="005E1243" w:rsidRPr="003E519B" w:rsidRDefault="005E1243" w:rsidP="003E519B">
            <w:pPr>
              <w:tabs>
                <w:tab w:val="decimal" w:pos="1069"/>
              </w:tabs>
              <w:rPr>
                <w:sz w:val="26"/>
              </w:rPr>
            </w:pPr>
            <w:r w:rsidRPr="003E519B">
              <w:rPr>
                <w:sz w:val="26"/>
              </w:rPr>
              <w:t>23,166</w:t>
            </w:r>
          </w:p>
        </w:tc>
        <w:tc>
          <w:tcPr>
            <w:tcW w:w="2071" w:type="dxa"/>
          </w:tcPr>
          <w:p w:rsidR="005E1243" w:rsidRPr="003E519B" w:rsidRDefault="005E1243" w:rsidP="003E519B">
            <w:pPr>
              <w:tabs>
                <w:tab w:val="decimal" w:pos="1423"/>
              </w:tabs>
              <w:rPr>
                <w:sz w:val="26"/>
              </w:rPr>
            </w:pPr>
            <w:r w:rsidRPr="003E519B">
              <w:rPr>
                <w:sz w:val="26"/>
              </w:rPr>
              <w:t>739,459</w:t>
            </w:r>
          </w:p>
        </w:tc>
        <w:tc>
          <w:tcPr>
            <w:tcW w:w="1800" w:type="dxa"/>
          </w:tcPr>
          <w:p w:rsidR="005E1243" w:rsidRPr="003E519B" w:rsidRDefault="005E1243" w:rsidP="003E519B">
            <w:pPr>
              <w:tabs>
                <w:tab w:val="decimal" w:pos="1237"/>
              </w:tabs>
              <w:rPr>
                <w:sz w:val="26"/>
              </w:rPr>
            </w:pPr>
            <w:r w:rsidRPr="003E519B">
              <w:rPr>
                <w:sz w:val="26"/>
              </w:rPr>
              <w:t>392,781</w:t>
            </w:r>
          </w:p>
        </w:tc>
      </w:tr>
      <w:tr w:rsidR="005E1243" w:rsidRPr="003E519B" w:rsidTr="003E519B">
        <w:tc>
          <w:tcPr>
            <w:tcW w:w="1805" w:type="dxa"/>
          </w:tcPr>
          <w:p w:rsidR="005E1243" w:rsidRPr="003E519B" w:rsidRDefault="005E1243">
            <w:pPr>
              <w:rPr>
                <w:sz w:val="26"/>
              </w:rPr>
            </w:pPr>
          </w:p>
        </w:tc>
        <w:tc>
          <w:tcPr>
            <w:tcW w:w="1806" w:type="dxa"/>
          </w:tcPr>
          <w:p w:rsidR="005E1243" w:rsidRPr="003E519B" w:rsidRDefault="005E1243" w:rsidP="003E519B">
            <w:pPr>
              <w:tabs>
                <w:tab w:val="decimal" w:pos="1423"/>
              </w:tabs>
              <w:rPr>
                <w:sz w:val="26"/>
              </w:rPr>
            </w:pPr>
          </w:p>
        </w:tc>
        <w:tc>
          <w:tcPr>
            <w:tcW w:w="1806" w:type="dxa"/>
          </w:tcPr>
          <w:p w:rsidR="005E1243" w:rsidRPr="003E519B" w:rsidRDefault="005E1243" w:rsidP="003E519B">
            <w:pPr>
              <w:tabs>
                <w:tab w:val="decimal" w:pos="1069"/>
              </w:tabs>
              <w:rPr>
                <w:sz w:val="26"/>
              </w:rPr>
            </w:pPr>
          </w:p>
        </w:tc>
        <w:tc>
          <w:tcPr>
            <w:tcW w:w="2071" w:type="dxa"/>
          </w:tcPr>
          <w:p w:rsidR="005E1243" w:rsidRPr="003E519B" w:rsidRDefault="005E1243" w:rsidP="003E519B">
            <w:pPr>
              <w:tabs>
                <w:tab w:val="decimal" w:pos="1423"/>
              </w:tabs>
              <w:rPr>
                <w:sz w:val="26"/>
              </w:rPr>
            </w:pPr>
          </w:p>
        </w:tc>
        <w:tc>
          <w:tcPr>
            <w:tcW w:w="1800" w:type="dxa"/>
          </w:tcPr>
          <w:p w:rsidR="005E1243" w:rsidRPr="003E519B" w:rsidRDefault="005E1243" w:rsidP="003E519B">
            <w:pPr>
              <w:tabs>
                <w:tab w:val="decimal" w:pos="1237"/>
              </w:tabs>
              <w:rPr>
                <w:sz w:val="26"/>
              </w:rPr>
            </w:pPr>
          </w:p>
        </w:tc>
      </w:tr>
      <w:tr w:rsidR="005E1243" w:rsidRPr="003E519B" w:rsidTr="003E519B">
        <w:tc>
          <w:tcPr>
            <w:tcW w:w="1805" w:type="dxa"/>
          </w:tcPr>
          <w:p w:rsidR="005E1243" w:rsidRPr="003E519B" w:rsidRDefault="005E1243">
            <w:pPr>
              <w:rPr>
                <w:sz w:val="26"/>
              </w:rPr>
            </w:pPr>
            <w:r w:rsidRPr="003E519B">
              <w:rPr>
                <w:sz w:val="26"/>
              </w:rPr>
              <w:t>April</w:t>
            </w:r>
          </w:p>
        </w:tc>
        <w:tc>
          <w:tcPr>
            <w:tcW w:w="1806" w:type="dxa"/>
          </w:tcPr>
          <w:p w:rsidR="005E1243" w:rsidRPr="003E519B" w:rsidRDefault="005E1243" w:rsidP="003E519B">
            <w:pPr>
              <w:tabs>
                <w:tab w:val="decimal" w:pos="1423"/>
              </w:tabs>
              <w:rPr>
                <w:sz w:val="26"/>
              </w:rPr>
            </w:pPr>
            <w:r w:rsidRPr="003E519B">
              <w:rPr>
                <w:sz w:val="26"/>
              </w:rPr>
              <w:t>936,679</w:t>
            </w:r>
          </w:p>
        </w:tc>
        <w:tc>
          <w:tcPr>
            <w:tcW w:w="1806" w:type="dxa"/>
          </w:tcPr>
          <w:p w:rsidR="005E1243" w:rsidRPr="003E519B" w:rsidRDefault="005E1243" w:rsidP="003E519B">
            <w:pPr>
              <w:tabs>
                <w:tab w:val="decimal" w:pos="1069"/>
              </w:tabs>
              <w:rPr>
                <w:sz w:val="26"/>
              </w:rPr>
            </w:pPr>
            <w:r w:rsidRPr="003E519B">
              <w:rPr>
                <w:sz w:val="26"/>
              </w:rPr>
              <w:t>23,702</w:t>
            </w:r>
          </w:p>
        </w:tc>
        <w:tc>
          <w:tcPr>
            <w:tcW w:w="2071" w:type="dxa"/>
          </w:tcPr>
          <w:p w:rsidR="005E1243" w:rsidRPr="003E519B" w:rsidRDefault="005E1243" w:rsidP="003E519B">
            <w:pPr>
              <w:tabs>
                <w:tab w:val="decimal" w:pos="1423"/>
              </w:tabs>
              <w:rPr>
                <w:sz w:val="26"/>
              </w:rPr>
            </w:pPr>
            <w:r w:rsidRPr="003E519B">
              <w:rPr>
                <w:sz w:val="26"/>
              </w:rPr>
              <w:t>756,568</w:t>
            </w:r>
          </w:p>
        </w:tc>
        <w:tc>
          <w:tcPr>
            <w:tcW w:w="1800" w:type="dxa"/>
          </w:tcPr>
          <w:p w:rsidR="005E1243" w:rsidRPr="003E519B" w:rsidRDefault="005E1243" w:rsidP="003E519B">
            <w:pPr>
              <w:tabs>
                <w:tab w:val="decimal" w:pos="1237"/>
              </w:tabs>
              <w:rPr>
                <w:sz w:val="26"/>
              </w:rPr>
            </w:pPr>
            <w:r w:rsidRPr="003E519B">
              <w:rPr>
                <w:sz w:val="26"/>
              </w:rPr>
              <w:t xml:space="preserve">180,111 </w:t>
            </w:r>
          </w:p>
        </w:tc>
      </w:tr>
      <w:tr w:rsidR="005E1243" w:rsidRPr="003E519B" w:rsidTr="003E519B">
        <w:tc>
          <w:tcPr>
            <w:tcW w:w="1805" w:type="dxa"/>
          </w:tcPr>
          <w:p w:rsidR="005E1243" w:rsidRPr="003E519B" w:rsidRDefault="005E1243">
            <w:pPr>
              <w:rPr>
                <w:sz w:val="26"/>
              </w:rPr>
            </w:pPr>
          </w:p>
        </w:tc>
        <w:tc>
          <w:tcPr>
            <w:tcW w:w="1806" w:type="dxa"/>
          </w:tcPr>
          <w:p w:rsidR="005E1243" w:rsidRPr="003E519B" w:rsidRDefault="005E1243" w:rsidP="003E519B">
            <w:pPr>
              <w:tabs>
                <w:tab w:val="decimal" w:pos="1423"/>
              </w:tabs>
              <w:rPr>
                <w:sz w:val="26"/>
              </w:rPr>
            </w:pPr>
          </w:p>
        </w:tc>
        <w:tc>
          <w:tcPr>
            <w:tcW w:w="1806" w:type="dxa"/>
          </w:tcPr>
          <w:p w:rsidR="005E1243" w:rsidRPr="003E519B" w:rsidRDefault="005E1243" w:rsidP="003E519B">
            <w:pPr>
              <w:tabs>
                <w:tab w:val="decimal" w:pos="1069"/>
              </w:tabs>
              <w:rPr>
                <w:sz w:val="26"/>
              </w:rPr>
            </w:pPr>
          </w:p>
        </w:tc>
        <w:tc>
          <w:tcPr>
            <w:tcW w:w="2071" w:type="dxa"/>
          </w:tcPr>
          <w:p w:rsidR="005E1243" w:rsidRPr="003E519B" w:rsidRDefault="005E1243" w:rsidP="003E519B">
            <w:pPr>
              <w:tabs>
                <w:tab w:val="decimal" w:pos="1423"/>
              </w:tabs>
              <w:rPr>
                <w:sz w:val="26"/>
              </w:rPr>
            </w:pPr>
          </w:p>
        </w:tc>
        <w:tc>
          <w:tcPr>
            <w:tcW w:w="1800" w:type="dxa"/>
          </w:tcPr>
          <w:p w:rsidR="005E1243" w:rsidRPr="003E519B" w:rsidRDefault="005E1243" w:rsidP="003E519B">
            <w:pPr>
              <w:tabs>
                <w:tab w:val="decimal" w:pos="1237"/>
              </w:tabs>
              <w:rPr>
                <w:sz w:val="26"/>
              </w:rPr>
            </w:pPr>
          </w:p>
        </w:tc>
      </w:tr>
      <w:tr w:rsidR="005E1243" w:rsidRPr="003E519B" w:rsidTr="003E519B">
        <w:tc>
          <w:tcPr>
            <w:tcW w:w="1805" w:type="dxa"/>
          </w:tcPr>
          <w:p w:rsidR="005E1243" w:rsidRPr="003E519B" w:rsidRDefault="005E1243">
            <w:pPr>
              <w:rPr>
                <w:sz w:val="26"/>
              </w:rPr>
            </w:pPr>
            <w:r w:rsidRPr="003E519B">
              <w:rPr>
                <w:sz w:val="26"/>
              </w:rPr>
              <w:t>May</w:t>
            </w:r>
          </w:p>
        </w:tc>
        <w:tc>
          <w:tcPr>
            <w:tcW w:w="1806" w:type="dxa"/>
          </w:tcPr>
          <w:p w:rsidR="005E1243" w:rsidRPr="003E519B" w:rsidRDefault="005E1243" w:rsidP="003E519B">
            <w:pPr>
              <w:tabs>
                <w:tab w:val="decimal" w:pos="1423"/>
              </w:tabs>
              <w:rPr>
                <w:sz w:val="26"/>
              </w:rPr>
            </w:pPr>
            <w:r w:rsidRPr="003E519B">
              <w:rPr>
                <w:sz w:val="26"/>
              </w:rPr>
              <w:t>804,047</w:t>
            </w:r>
          </w:p>
        </w:tc>
        <w:tc>
          <w:tcPr>
            <w:tcW w:w="1806" w:type="dxa"/>
          </w:tcPr>
          <w:p w:rsidR="005E1243" w:rsidRPr="003E519B" w:rsidRDefault="005E1243" w:rsidP="003E519B">
            <w:pPr>
              <w:tabs>
                <w:tab w:val="decimal" w:pos="1069"/>
              </w:tabs>
              <w:rPr>
                <w:sz w:val="26"/>
              </w:rPr>
            </w:pPr>
            <w:r w:rsidRPr="003E519B">
              <w:rPr>
                <w:sz w:val="26"/>
              </w:rPr>
              <w:t>26,263</w:t>
            </w:r>
          </w:p>
        </w:tc>
        <w:tc>
          <w:tcPr>
            <w:tcW w:w="2071" w:type="dxa"/>
          </w:tcPr>
          <w:p w:rsidR="005E1243" w:rsidRPr="003E519B" w:rsidRDefault="005E1243" w:rsidP="003E519B">
            <w:pPr>
              <w:tabs>
                <w:tab w:val="decimal" w:pos="1423"/>
              </w:tabs>
              <w:rPr>
                <w:sz w:val="26"/>
              </w:rPr>
            </w:pPr>
            <w:r w:rsidRPr="003E519B">
              <w:rPr>
                <w:sz w:val="26"/>
              </w:rPr>
              <w:t>838,315</w:t>
            </w:r>
          </w:p>
        </w:tc>
        <w:tc>
          <w:tcPr>
            <w:tcW w:w="1800" w:type="dxa"/>
          </w:tcPr>
          <w:p w:rsidR="005E1243" w:rsidRPr="003E519B" w:rsidRDefault="005E1243" w:rsidP="003E519B">
            <w:pPr>
              <w:tabs>
                <w:tab w:val="decimal" w:pos="1237"/>
              </w:tabs>
              <w:rPr>
                <w:sz w:val="26"/>
              </w:rPr>
            </w:pPr>
            <w:r w:rsidRPr="003E519B">
              <w:rPr>
                <w:sz w:val="26"/>
              </w:rPr>
              <w:t>(34,268)</w:t>
            </w:r>
          </w:p>
        </w:tc>
      </w:tr>
      <w:tr w:rsidR="005E1243" w:rsidRPr="003E519B" w:rsidTr="003E519B">
        <w:tc>
          <w:tcPr>
            <w:tcW w:w="1805" w:type="dxa"/>
          </w:tcPr>
          <w:p w:rsidR="005E1243" w:rsidRPr="003E519B" w:rsidRDefault="005E1243">
            <w:pPr>
              <w:rPr>
                <w:sz w:val="26"/>
              </w:rPr>
            </w:pPr>
          </w:p>
        </w:tc>
        <w:tc>
          <w:tcPr>
            <w:tcW w:w="1806" w:type="dxa"/>
          </w:tcPr>
          <w:p w:rsidR="005E1243" w:rsidRPr="003E519B" w:rsidRDefault="005E1243" w:rsidP="003E519B">
            <w:pPr>
              <w:tabs>
                <w:tab w:val="decimal" w:pos="1423"/>
              </w:tabs>
              <w:rPr>
                <w:sz w:val="26"/>
              </w:rPr>
            </w:pPr>
          </w:p>
        </w:tc>
        <w:tc>
          <w:tcPr>
            <w:tcW w:w="1806" w:type="dxa"/>
          </w:tcPr>
          <w:p w:rsidR="005E1243" w:rsidRPr="003E519B" w:rsidRDefault="005E1243" w:rsidP="003E519B">
            <w:pPr>
              <w:tabs>
                <w:tab w:val="decimal" w:pos="1069"/>
              </w:tabs>
              <w:rPr>
                <w:sz w:val="26"/>
              </w:rPr>
            </w:pPr>
          </w:p>
        </w:tc>
        <w:tc>
          <w:tcPr>
            <w:tcW w:w="2071" w:type="dxa"/>
          </w:tcPr>
          <w:p w:rsidR="005E1243" w:rsidRPr="003E519B" w:rsidRDefault="005E1243" w:rsidP="003E519B">
            <w:pPr>
              <w:tabs>
                <w:tab w:val="decimal" w:pos="1423"/>
              </w:tabs>
              <w:rPr>
                <w:sz w:val="26"/>
              </w:rPr>
            </w:pPr>
          </w:p>
        </w:tc>
        <w:tc>
          <w:tcPr>
            <w:tcW w:w="1800" w:type="dxa"/>
          </w:tcPr>
          <w:p w:rsidR="005E1243" w:rsidRPr="003E519B" w:rsidRDefault="005E1243" w:rsidP="003E519B">
            <w:pPr>
              <w:tabs>
                <w:tab w:val="decimal" w:pos="1237"/>
              </w:tabs>
              <w:rPr>
                <w:sz w:val="26"/>
              </w:rPr>
            </w:pPr>
          </w:p>
        </w:tc>
      </w:tr>
      <w:tr w:rsidR="005E1243" w:rsidRPr="003E519B" w:rsidTr="003E519B">
        <w:tc>
          <w:tcPr>
            <w:tcW w:w="1805" w:type="dxa"/>
          </w:tcPr>
          <w:p w:rsidR="005E1243" w:rsidRPr="003E519B" w:rsidRDefault="005E1243">
            <w:pPr>
              <w:rPr>
                <w:sz w:val="26"/>
              </w:rPr>
            </w:pPr>
            <w:r w:rsidRPr="003E519B">
              <w:rPr>
                <w:sz w:val="26"/>
              </w:rPr>
              <w:t>June</w:t>
            </w:r>
          </w:p>
        </w:tc>
        <w:tc>
          <w:tcPr>
            <w:tcW w:w="1806" w:type="dxa"/>
          </w:tcPr>
          <w:p w:rsidR="005E1243" w:rsidRPr="003E519B" w:rsidRDefault="005E1243" w:rsidP="003E519B">
            <w:pPr>
              <w:tabs>
                <w:tab w:val="decimal" w:pos="1423"/>
              </w:tabs>
              <w:rPr>
                <w:sz w:val="26"/>
              </w:rPr>
            </w:pPr>
            <w:r w:rsidRPr="003E519B">
              <w:rPr>
                <w:sz w:val="26"/>
              </w:rPr>
              <w:t>1,036,700</w:t>
            </w:r>
          </w:p>
        </w:tc>
        <w:tc>
          <w:tcPr>
            <w:tcW w:w="1806" w:type="dxa"/>
          </w:tcPr>
          <w:p w:rsidR="005E1243" w:rsidRPr="003E519B" w:rsidRDefault="005E1243" w:rsidP="003E519B">
            <w:pPr>
              <w:tabs>
                <w:tab w:val="decimal" w:pos="1069"/>
              </w:tabs>
              <w:rPr>
                <w:sz w:val="26"/>
              </w:rPr>
            </w:pPr>
            <w:r w:rsidRPr="003E519B">
              <w:rPr>
                <w:sz w:val="26"/>
              </w:rPr>
              <w:t>28,915</w:t>
            </w:r>
          </w:p>
        </w:tc>
        <w:tc>
          <w:tcPr>
            <w:tcW w:w="2071" w:type="dxa"/>
          </w:tcPr>
          <w:p w:rsidR="005E1243" w:rsidRPr="003E519B" w:rsidRDefault="005E1243" w:rsidP="003E519B">
            <w:pPr>
              <w:tabs>
                <w:tab w:val="decimal" w:pos="1423"/>
              </w:tabs>
              <w:rPr>
                <w:sz w:val="26"/>
              </w:rPr>
            </w:pPr>
            <w:r w:rsidRPr="003E519B">
              <w:rPr>
                <w:sz w:val="26"/>
              </w:rPr>
              <w:t>922,967</w:t>
            </w:r>
          </w:p>
        </w:tc>
        <w:tc>
          <w:tcPr>
            <w:tcW w:w="1800" w:type="dxa"/>
          </w:tcPr>
          <w:p w:rsidR="005E1243" w:rsidRPr="003E519B" w:rsidRDefault="005E1243" w:rsidP="003E519B">
            <w:pPr>
              <w:tabs>
                <w:tab w:val="decimal" w:pos="1237"/>
              </w:tabs>
              <w:rPr>
                <w:sz w:val="26"/>
              </w:rPr>
            </w:pPr>
            <w:r w:rsidRPr="003E519B">
              <w:rPr>
                <w:sz w:val="26"/>
              </w:rPr>
              <w:t xml:space="preserve"> 113,734 </w:t>
            </w:r>
          </w:p>
        </w:tc>
      </w:tr>
      <w:tr w:rsidR="005E1243" w:rsidRPr="003E519B" w:rsidTr="003E519B">
        <w:tc>
          <w:tcPr>
            <w:tcW w:w="1805" w:type="dxa"/>
          </w:tcPr>
          <w:p w:rsidR="005E1243" w:rsidRPr="003E519B" w:rsidRDefault="005E1243">
            <w:pPr>
              <w:rPr>
                <w:sz w:val="26"/>
              </w:rPr>
            </w:pPr>
          </w:p>
        </w:tc>
        <w:tc>
          <w:tcPr>
            <w:tcW w:w="1806" w:type="dxa"/>
          </w:tcPr>
          <w:p w:rsidR="005E1243" w:rsidRPr="003E519B" w:rsidRDefault="005E1243" w:rsidP="003E519B">
            <w:pPr>
              <w:tabs>
                <w:tab w:val="decimal" w:pos="1423"/>
              </w:tabs>
              <w:rPr>
                <w:sz w:val="26"/>
              </w:rPr>
            </w:pPr>
          </w:p>
        </w:tc>
        <w:tc>
          <w:tcPr>
            <w:tcW w:w="1806" w:type="dxa"/>
          </w:tcPr>
          <w:p w:rsidR="005E1243" w:rsidRPr="003E519B" w:rsidRDefault="005E1243" w:rsidP="003E519B">
            <w:pPr>
              <w:tabs>
                <w:tab w:val="decimal" w:pos="1069"/>
              </w:tabs>
              <w:rPr>
                <w:sz w:val="26"/>
              </w:rPr>
            </w:pPr>
          </w:p>
        </w:tc>
        <w:tc>
          <w:tcPr>
            <w:tcW w:w="2071" w:type="dxa"/>
          </w:tcPr>
          <w:p w:rsidR="005E1243" w:rsidRPr="003E519B" w:rsidRDefault="005E1243" w:rsidP="003E519B">
            <w:pPr>
              <w:tabs>
                <w:tab w:val="decimal" w:pos="1423"/>
              </w:tabs>
              <w:rPr>
                <w:sz w:val="26"/>
              </w:rPr>
            </w:pPr>
          </w:p>
        </w:tc>
        <w:tc>
          <w:tcPr>
            <w:tcW w:w="1800" w:type="dxa"/>
          </w:tcPr>
          <w:p w:rsidR="005E1243" w:rsidRPr="003E519B" w:rsidRDefault="005E1243" w:rsidP="003E519B">
            <w:pPr>
              <w:tabs>
                <w:tab w:val="decimal" w:pos="1237"/>
              </w:tabs>
              <w:rPr>
                <w:sz w:val="26"/>
              </w:rPr>
            </w:pPr>
          </w:p>
        </w:tc>
      </w:tr>
      <w:tr w:rsidR="005E1243" w:rsidRPr="003E519B" w:rsidTr="003E519B">
        <w:tc>
          <w:tcPr>
            <w:tcW w:w="1805" w:type="dxa"/>
          </w:tcPr>
          <w:p w:rsidR="005E1243" w:rsidRPr="003E519B" w:rsidRDefault="005E1243">
            <w:pPr>
              <w:rPr>
                <w:sz w:val="26"/>
              </w:rPr>
            </w:pPr>
            <w:r w:rsidRPr="003E519B">
              <w:rPr>
                <w:sz w:val="26"/>
              </w:rPr>
              <w:t>July</w:t>
            </w:r>
          </w:p>
        </w:tc>
        <w:tc>
          <w:tcPr>
            <w:tcW w:w="1806" w:type="dxa"/>
          </w:tcPr>
          <w:p w:rsidR="005E1243" w:rsidRPr="003E519B" w:rsidRDefault="005E1243" w:rsidP="003E519B">
            <w:pPr>
              <w:tabs>
                <w:tab w:val="decimal" w:pos="1423"/>
              </w:tabs>
              <w:rPr>
                <w:sz w:val="26"/>
              </w:rPr>
            </w:pPr>
            <w:r w:rsidRPr="003E519B">
              <w:rPr>
                <w:sz w:val="26"/>
              </w:rPr>
              <w:t>1,270,814</w:t>
            </w:r>
          </w:p>
        </w:tc>
        <w:tc>
          <w:tcPr>
            <w:tcW w:w="1806" w:type="dxa"/>
          </w:tcPr>
          <w:p w:rsidR="005E1243" w:rsidRPr="003E519B" w:rsidRDefault="005E1243" w:rsidP="003E519B">
            <w:pPr>
              <w:tabs>
                <w:tab w:val="decimal" w:pos="1069"/>
              </w:tabs>
              <w:rPr>
                <w:sz w:val="26"/>
              </w:rPr>
            </w:pPr>
            <w:r w:rsidRPr="003E519B">
              <w:rPr>
                <w:sz w:val="26"/>
              </w:rPr>
              <w:t>30,384</w:t>
            </w:r>
          </w:p>
        </w:tc>
        <w:tc>
          <w:tcPr>
            <w:tcW w:w="2071" w:type="dxa"/>
          </w:tcPr>
          <w:p w:rsidR="005E1243" w:rsidRPr="003E519B" w:rsidRDefault="005E1243" w:rsidP="003E519B">
            <w:pPr>
              <w:tabs>
                <w:tab w:val="decimal" w:pos="1423"/>
              </w:tabs>
              <w:rPr>
                <w:sz w:val="26"/>
              </w:rPr>
            </w:pPr>
            <w:r w:rsidRPr="003E519B">
              <w:rPr>
                <w:sz w:val="26"/>
              </w:rPr>
              <w:t>969,857</w:t>
            </w:r>
          </w:p>
        </w:tc>
        <w:tc>
          <w:tcPr>
            <w:tcW w:w="1800" w:type="dxa"/>
          </w:tcPr>
          <w:p w:rsidR="005E1243" w:rsidRPr="003E519B" w:rsidRDefault="005E1243" w:rsidP="003E519B">
            <w:pPr>
              <w:tabs>
                <w:tab w:val="decimal" w:pos="1237"/>
              </w:tabs>
              <w:rPr>
                <w:sz w:val="26"/>
              </w:rPr>
            </w:pPr>
            <w:r w:rsidRPr="003E519B">
              <w:rPr>
                <w:sz w:val="26"/>
              </w:rPr>
              <w:t xml:space="preserve">300,956 </w:t>
            </w:r>
          </w:p>
        </w:tc>
      </w:tr>
      <w:tr w:rsidR="005E1243" w:rsidRPr="003E519B" w:rsidTr="003E519B">
        <w:tc>
          <w:tcPr>
            <w:tcW w:w="1805" w:type="dxa"/>
          </w:tcPr>
          <w:p w:rsidR="005E1243" w:rsidRPr="003E519B" w:rsidRDefault="005E1243">
            <w:pPr>
              <w:rPr>
                <w:sz w:val="26"/>
              </w:rPr>
            </w:pPr>
          </w:p>
        </w:tc>
        <w:tc>
          <w:tcPr>
            <w:tcW w:w="1806" w:type="dxa"/>
          </w:tcPr>
          <w:p w:rsidR="005E1243" w:rsidRPr="003E519B" w:rsidRDefault="005E1243" w:rsidP="003E519B">
            <w:pPr>
              <w:tabs>
                <w:tab w:val="decimal" w:pos="1423"/>
              </w:tabs>
              <w:rPr>
                <w:sz w:val="26"/>
              </w:rPr>
            </w:pPr>
          </w:p>
        </w:tc>
        <w:tc>
          <w:tcPr>
            <w:tcW w:w="1806" w:type="dxa"/>
          </w:tcPr>
          <w:p w:rsidR="005E1243" w:rsidRPr="003E519B" w:rsidRDefault="005E1243" w:rsidP="003E519B">
            <w:pPr>
              <w:tabs>
                <w:tab w:val="decimal" w:pos="1069"/>
              </w:tabs>
              <w:rPr>
                <w:sz w:val="26"/>
              </w:rPr>
            </w:pPr>
          </w:p>
        </w:tc>
        <w:tc>
          <w:tcPr>
            <w:tcW w:w="2071" w:type="dxa"/>
          </w:tcPr>
          <w:p w:rsidR="005E1243" w:rsidRPr="003E519B" w:rsidRDefault="005E1243" w:rsidP="003E519B">
            <w:pPr>
              <w:tabs>
                <w:tab w:val="decimal" w:pos="1423"/>
              </w:tabs>
              <w:rPr>
                <w:sz w:val="26"/>
              </w:rPr>
            </w:pPr>
          </w:p>
        </w:tc>
        <w:tc>
          <w:tcPr>
            <w:tcW w:w="1800" w:type="dxa"/>
          </w:tcPr>
          <w:p w:rsidR="005E1243" w:rsidRPr="003E519B" w:rsidRDefault="005E1243" w:rsidP="003E519B">
            <w:pPr>
              <w:tabs>
                <w:tab w:val="decimal" w:pos="1237"/>
              </w:tabs>
              <w:rPr>
                <w:sz w:val="26"/>
              </w:rPr>
            </w:pPr>
          </w:p>
        </w:tc>
      </w:tr>
      <w:tr w:rsidR="005E1243" w:rsidRPr="003E519B" w:rsidTr="003E519B">
        <w:tc>
          <w:tcPr>
            <w:tcW w:w="1805" w:type="dxa"/>
          </w:tcPr>
          <w:p w:rsidR="005E1243" w:rsidRPr="003E519B" w:rsidRDefault="005E1243">
            <w:pPr>
              <w:rPr>
                <w:sz w:val="26"/>
              </w:rPr>
            </w:pPr>
            <w:r w:rsidRPr="003E519B">
              <w:rPr>
                <w:sz w:val="26"/>
              </w:rPr>
              <w:t>August</w:t>
            </w:r>
          </w:p>
        </w:tc>
        <w:tc>
          <w:tcPr>
            <w:tcW w:w="1806" w:type="dxa"/>
          </w:tcPr>
          <w:p w:rsidR="005E1243" w:rsidRPr="003E519B" w:rsidRDefault="005E1243" w:rsidP="003E519B">
            <w:pPr>
              <w:tabs>
                <w:tab w:val="decimal" w:pos="1423"/>
              </w:tabs>
              <w:rPr>
                <w:sz w:val="26"/>
              </w:rPr>
            </w:pPr>
            <w:r w:rsidRPr="003E519B">
              <w:rPr>
                <w:sz w:val="26"/>
              </w:rPr>
              <w:t>1,429,267</w:t>
            </w:r>
          </w:p>
        </w:tc>
        <w:tc>
          <w:tcPr>
            <w:tcW w:w="1806" w:type="dxa"/>
          </w:tcPr>
          <w:p w:rsidR="005E1243" w:rsidRPr="003E519B" w:rsidRDefault="005E1243" w:rsidP="003E519B">
            <w:pPr>
              <w:tabs>
                <w:tab w:val="decimal" w:pos="1069"/>
              </w:tabs>
              <w:rPr>
                <w:sz w:val="26"/>
              </w:rPr>
            </w:pPr>
            <w:r w:rsidRPr="003E519B">
              <w:rPr>
                <w:sz w:val="26"/>
              </w:rPr>
              <w:t>29,382</w:t>
            </w:r>
          </w:p>
        </w:tc>
        <w:tc>
          <w:tcPr>
            <w:tcW w:w="2071" w:type="dxa"/>
          </w:tcPr>
          <w:p w:rsidR="005E1243" w:rsidRPr="003E519B" w:rsidRDefault="005E1243" w:rsidP="003E519B">
            <w:pPr>
              <w:tabs>
                <w:tab w:val="decimal" w:pos="1423"/>
              </w:tabs>
              <w:rPr>
                <w:sz w:val="26"/>
              </w:rPr>
            </w:pPr>
            <w:r w:rsidRPr="003E519B">
              <w:rPr>
                <w:sz w:val="26"/>
              </w:rPr>
              <w:t>937,873</w:t>
            </w:r>
          </w:p>
        </w:tc>
        <w:tc>
          <w:tcPr>
            <w:tcW w:w="1800" w:type="dxa"/>
          </w:tcPr>
          <w:p w:rsidR="005E1243" w:rsidRPr="003E519B" w:rsidRDefault="005E1243" w:rsidP="003E519B">
            <w:pPr>
              <w:tabs>
                <w:tab w:val="decimal" w:pos="1237"/>
              </w:tabs>
              <w:rPr>
                <w:sz w:val="26"/>
              </w:rPr>
            </w:pPr>
            <w:r w:rsidRPr="003E519B">
              <w:rPr>
                <w:sz w:val="26"/>
              </w:rPr>
              <w:t xml:space="preserve">491,394 </w:t>
            </w:r>
          </w:p>
        </w:tc>
      </w:tr>
      <w:tr w:rsidR="005E1243" w:rsidRPr="003E519B" w:rsidTr="003E519B">
        <w:tc>
          <w:tcPr>
            <w:tcW w:w="1805" w:type="dxa"/>
          </w:tcPr>
          <w:p w:rsidR="005E1243" w:rsidRPr="003E519B" w:rsidRDefault="005E1243">
            <w:pPr>
              <w:rPr>
                <w:sz w:val="26"/>
              </w:rPr>
            </w:pPr>
          </w:p>
        </w:tc>
        <w:tc>
          <w:tcPr>
            <w:tcW w:w="1806" w:type="dxa"/>
          </w:tcPr>
          <w:p w:rsidR="005E1243" w:rsidRPr="003E519B" w:rsidRDefault="005E1243" w:rsidP="003E519B">
            <w:pPr>
              <w:tabs>
                <w:tab w:val="decimal" w:pos="1423"/>
              </w:tabs>
              <w:rPr>
                <w:sz w:val="26"/>
              </w:rPr>
            </w:pPr>
          </w:p>
        </w:tc>
        <w:tc>
          <w:tcPr>
            <w:tcW w:w="1806" w:type="dxa"/>
          </w:tcPr>
          <w:p w:rsidR="005E1243" w:rsidRPr="003E519B" w:rsidRDefault="005E1243" w:rsidP="003E519B">
            <w:pPr>
              <w:tabs>
                <w:tab w:val="decimal" w:pos="1069"/>
              </w:tabs>
              <w:rPr>
                <w:sz w:val="26"/>
              </w:rPr>
            </w:pPr>
          </w:p>
        </w:tc>
        <w:tc>
          <w:tcPr>
            <w:tcW w:w="2071" w:type="dxa"/>
          </w:tcPr>
          <w:p w:rsidR="005E1243" w:rsidRPr="003E519B" w:rsidRDefault="005E1243" w:rsidP="003E519B">
            <w:pPr>
              <w:tabs>
                <w:tab w:val="decimal" w:pos="1423"/>
              </w:tabs>
              <w:rPr>
                <w:sz w:val="26"/>
              </w:rPr>
            </w:pPr>
          </w:p>
        </w:tc>
        <w:tc>
          <w:tcPr>
            <w:tcW w:w="1800" w:type="dxa"/>
          </w:tcPr>
          <w:p w:rsidR="005E1243" w:rsidRPr="003E519B" w:rsidRDefault="005E1243" w:rsidP="003E519B">
            <w:pPr>
              <w:tabs>
                <w:tab w:val="decimal" w:pos="1237"/>
              </w:tabs>
              <w:rPr>
                <w:sz w:val="26"/>
              </w:rPr>
            </w:pPr>
          </w:p>
        </w:tc>
      </w:tr>
      <w:tr w:rsidR="005E1243" w:rsidRPr="003E519B" w:rsidTr="003E519B">
        <w:tc>
          <w:tcPr>
            <w:tcW w:w="1805" w:type="dxa"/>
          </w:tcPr>
          <w:p w:rsidR="005E1243" w:rsidRPr="003E519B" w:rsidRDefault="005E1243">
            <w:pPr>
              <w:rPr>
                <w:sz w:val="26"/>
              </w:rPr>
            </w:pPr>
            <w:r w:rsidRPr="003E519B">
              <w:rPr>
                <w:sz w:val="26"/>
              </w:rPr>
              <w:t>September</w:t>
            </w:r>
          </w:p>
        </w:tc>
        <w:tc>
          <w:tcPr>
            <w:tcW w:w="1806" w:type="dxa"/>
          </w:tcPr>
          <w:p w:rsidR="005E1243" w:rsidRPr="003E519B" w:rsidRDefault="005E1243" w:rsidP="003E519B">
            <w:pPr>
              <w:tabs>
                <w:tab w:val="decimal" w:pos="1423"/>
              </w:tabs>
              <w:rPr>
                <w:sz w:val="26"/>
              </w:rPr>
            </w:pPr>
            <w:r w:rsidRPr="003E519B">
              <w:rPr>
                <w:sz w:val="26"/>
              </w:rPr>
              <w:t>1,264,371</w:t>
            </w:r>
          </w:p>
        </w:tc>
        <w:tc>
          <w:tcPr>
            <w:tcW w:w="1806" w:type="dxa"/>
          </w:tcPr>
          <w:p w:rsidR="005E1243" w:rsidRPr="003E519B" w:rsidRDefault="005E1243" w:rsidP="003E519B">
            <w:pPr>
              <w:tabs>
                <w:tab w:val="decimal" w:pos="1069"/>
              </w:tabs>
              <w:rPr>
                <w:sz w:val="26"/>
              </w:rPr>
            </w:pPr>
            <w:r w:rsidRPr="003E519B">
              <w:rPr>
                <w:sz w:val="26"/>
              </w:rPr>
              <w:t>31,542</w:t>
            </w:r>
          </w:p>
        </w:tc>
        <w:tc>
          <w:tcPr>
            <w:tcW w:w="2071" w:type="dxa"/>
          </w:tcPr>
          <w:p w:rsidR="005E1243" w:rsidRPr="003E519B" w:rsidRDefault="005E1243" w:rsidP="003E519B">
            <w:pPr>
              <w:tabs>
                <w:tab w:val="decimal" w:pos="1423"/>
              </w:tabs>
              <w:rPr>
                <w:sz w:val="26"/>
              </w:rPr>
            </w:pPr>
            <w:r w:rsidRPr="003E519B">
              <w:rPr>
                <w:sz w:val="26"/>
              </w:rPr>
              <w:t>1,006,821</w:t>
            </w:r>
          </w:p>
        </w:tc>
        <w:tc>
          <w:tcPr>
            <w:tcW w:w="1800" w:type="dxa"/>
          </w:tcPr>
          <w:p w:rsidR="005E1243" w:rsidRPr="003E519B" w:rsidRDefault="005E1243" w:rsidP="003E519B">
            <w:pPr>
              <w:tabs>
                <w:tab w:val="decimal" w:pos="1237"/>
              </w:tabs>
              <w:rPr>
                <w:sz w:val="26"/>
              </w:rPr>
            </w:pPr>
            <w:r w:rsidRPr="003E519B">
              <w:rPr>
                <w:sz w:val="26"/>
              </w:rPr>
              <w:t xml:space="preserve">257,550 </w:t>
            </w:r>
          </w:p>
        </w:tc>
      </w:tr>
      <w:tr w:rsidR="005E1243" w:rsidRPr="003E519B" w:rsidTr="003E519B">
        <w:tc>
          <w:tcPr>
            <w:tcW w:w="1805" w:type="dxa"/>
          </w:tcPr>
          <w:p w:rsidR="005E1243" w:rsidRPr="003E519B" w:rsidRDefault="005E1243">
            <w:pPr>
              <w:rPr>
                <w:sz w:val="26"/>
              </w:rPr>
            </w:pPr>
          </w:p>
        </w:tc>
        <w:tc>
          <w:tcPr>
            <w:tcW w:w="1806" w:type="dxa"/>
          </w:tcPr>
          <w:p w:rsidR="005E1243" w:rsidRPr="003E519B" w:rsidRDefault="005E1243" w:rsidP="003E519B">
            <w:pPr>
              <w:tabs>
                <w:tab w:val="decimal" w:pos="1423"/>
              </w:tabs>
              <w:rPr>
                <w:sz w:val="26"/>
              </w:rPr>
            </w:pPr>
          </w:p>
        </w:tc>
        <w:tc>
          <w:tcPr>
            <w:tcW w:w="1806" w:type="dxa"/>
          </w:tcPr>
          <w:p w:rsidR="005E1243" w:rsidRPr="003E519B" w:rsidRDefault="005E1243" w:rsidP="003E519B">
            <w:pPr>
              <w:tabs>
                <w:tab w:val="decimal" w:pos="1069"/>
              </w:tabs>
              <w:rPr>
                <w:sz w:val="26"/>
              </w:rPr>
            </w:pPr>
          </w:p>
        </w:tc>
        <w:tc>
          <w:tcPr>
            <w:tcW w:w="2071" w:type="dxa"/>
          </w:tcPr>
          <w:p w:rsidR="005E1243" w:rsidRPr="003E519B" w:rsidRDefault="005E1243" w:rsidP="003E519B">
            <w:pPr>
              <w:tabs>
                <w:tab w:val="decimal" w:pos="1423"/>
              </w:tabs>
              <w:rPr>
                <w:sz w:val="26"/>
              </w:rPr>
            </w:pPr>
          </w:p>
        </w:tc>
        <w:tc>
          <w:tcPr>
            <w:tcW w:w="1800" w:type="dxa"/>
          </w:tcPr>
          <w:p w:rsidR="005E1243" w:rsidRPr="003E519B" w:rsidRDefault="005E1243" w:rsidP="003E519B">
            <w:pPr>
              <w:tabs>
                <w:tab w:val="decimal" w:pos="1237"/>
              </w:tabs>
              <w:rPr>
                <w:sz w:val="26"/>
              </w:rPr>
            </w:pPr>
          </w:p>
        </w:tc>
      </w:tr>
      <w:tr w:rsidR="005E1243" w:rsidRPr="003E519B" w:rsidTr="003E519B">
        <w:tc>
          <w:tcPr>
            <w:tcW w:w="1805" w:type="dxa"/>
          </w:tcPr>
          <w:p w:rsidR="005E1243" w:rsidRPr="003E519B" w:rsidRDefault="005E1243">
            <w:pPr>
              <w:rPr>
                <w:sz w:val="26"/>
              </w:rPr>
            </w:pPr>
            <w:r w:rsidRPr="003E519B">
              <w:rPr>
                <w:sz w:val="26"/>
              </w:rPr>
              <w:t>October</w:t>
            </w:r>
          </w:p>
        </w:tc>
        <w:tc>
          <w:tcPr>
            <w:tcW w:w="1806" w:type="dxa"/>
          </w:tcPr>
          <w:p w:rsidR="005E1243" w:rsidRPr="003E519B" w:rsidRDefault="005E1243" w:rsidP="003E519B">
            <w:pPr>
              <w:tabs>
                <w:tab w:val="decimal" w:pos="1423"/>
              </w:tabs>
              <w:rPr>
                <w:sz w:val="26"/>
              </w:rPr>
            </w:pPr>
            <w:r w:rsidRPr="003E519B">
              <w:rPr>
                <w:sz w:val="26"/>
              </w:rPr>
              <w:t>989,656</w:t>
            </w:r>
          </w:p>
        </w:tc>
        <w:tc>
          <w:tcPr>
            <w:tcW w:w="1806" w:type="dxa"/>
          </w:tcPr>
          <w:p w:rsidR="005E1243" w:rsidRPr="003E519B" w:rsidRDefault="005E1243" w:rsidP="003E519B">
            <w:pPr>
              <w:tabs>
                <w:tab w:val="decimal" w:pos="1069"/>
              </w:tabs>
              <w:rPr>
                <w:sz w:val="26"/>
              </w:rPr>
            </w:pPr>
            <w:r w:rsidRPr="003E519B">
              <w:rPr>
                <w:sz w:val="26"/>
              </w:rPr>
              <w:t>30,885</w:t>
            </w:r>
          </w:p>
        </w:tc>
        <w:tc>
          <w:tcPr>
            <w:tcW w:w="2071" w:type="dxa"/>
          </w:tcPr>
          <w:p w:rsidR="005E1243" w:rsidRPr="003E519B" w:rsidRDefault="005E1243" w:rsidP="003E519B">
            <w:pPr>
              <w:tabs>
                <w:tab w:val="decimal" w:pos="1423"/>
              </w:tabs>
              <w:rPr>
                <w:sz w:val="26"/>
              </w:rPr>
            </w:pPr>
            <w:r w:rsidRPr="003E519B">
              <w:rPr>
                <w:sz w:val="26"/>
              </w:rPr>
              <w:t>985,849</w:t>
            </w:r>
          </w:p>
        </w:tc>
        <w:tc>
          <w:tcPr>
            <w:tcW w:w="1800" w:type="dxa"/>
          </w:tcPr>
          <w:p w:rsidR="005E1243" w:rsidRPr="003E519B" w:rsidRDefault="005E1243" w:rsidP="003E519B">
            <w:pPr>
              <w:tabs>
                <w:tab w:val="decimal" w:pos="1237"/>
              </w:tabs>
              <w:rPr>
                <w:sz w:val="26"/>
              </w:rPr>
            </w:pPr>
            <w:r w:rsidRPr="003E519B">
              <w:rPr>
                <w:sz w:val="26"/>
              </w:rPr>
              <w:t xml:space="preserve">   3,807 </w:t>
            </w:r>
          </w:p>
        </w:tc>
      </w:tr>
      <w:tr w:rsidR="005E1243" w:rsidRPr="003E519B" w:rsidTr="003E519B">
        <w:tc>
          <w:tcPr>
            <w:tcW w:w="1805" w:type="dxa"/>
          </w:tcPr>
          <w:p w:rsidR="005E1243" w:rsidRPr="003E519B" w:rsidRDefault="005E1243">
            <w:pPr>
              <w:rPr>
                <w:sz w:val="26"/>
              </w:rPr>
            </w:pPr>
          </w:p>
        </w:tc>
        <w:tc>
          <w:tcPr>
            <w:tcW w:w="1806" w:type="dxa"/>
          </w:tcPr>
          <w:p w:rsidR="005E1243" w:rsidRPr="003E519B" w:rsidRDefault="005E1243" w:rsidP="003E519B">
            <w:pPr>
              <w:tabs>
                <w:tab w:val="decimal" w:pos="1423"/>
              </w:tabs>
              <w:rPr>
                <w:sz w:val="26"/>
              </w:rPr>
            </w:pPr>
          </w:p>
        </w:tc>
        <w:tc>
          <w:tcPr>
            <w:tcW w:w="1806" w:type="dxa"/>
          </w:tcPr>
          <w:p w:rsidR="005E1243" w:rsidRPr="003E519B" w:rsidRDefault="005E1243" w:rsidP="003E519B">
            <w:pPr>
              <w:tabs>
                <w:tab w:val="decimal" w:pos="1069"/>
              </w:tabs>
              <w:rPr>
                <w:sz w:val="26"/>
              </w:rPr>
            </w:pPr>
          </w:p>
        </w:tc>
        <w:tc>
          <w:tcPr>
            <w:tcW w:w="2071" w:type="dxa"/>
          </w:tcPr>
          <w:p w:rsidR="005E1243" w:rsidRPr="003E519B" w:rsidRDefault="005E1243" w:rsidP="003E519B">
            <w:pPr>
              <w:tabs>
                <w:tab w:val="decimal" w:pos="1423"/>
              </w:tabs>
              <w:rPr>
                <w:sz w:val="26"/>
              </w:rPr>
            </w:pPr>
          </w:p>
        </w:tc>
        <w:tc>
          <w:tcPr>
            <w:tcW w:w="1800" w:type="dxa"/>
          </w:tcPr>
          <w:p w:rsidR="005E1243" w:rsidRPr="003E519B" w:rsidRDefault="005E1243" w:rsidP="003E519B">
            <w:pPr>
              <w:tabs>
                <w:tab w:val="decimal" w:pos="1237"/>
              </w:tabs>
              <w:rPr>
                <w:sz w:val="26"/>
              </w:rPr>
            </w:pPr>
          </w:p>
        </w:tc>
      </w:tr>
      <w:tr w:rsidR="005E1243" w:rsidRPr="003E519B" w:rsidTr="003E519B">
        <w:tc>
          <w:tcPr>
            <w:tcW w:w="1805" w:type="dxa"/>
          </w:tcPr>
          <w:p w:rsidR="005E1243" w:rsidRPr="003E519B" w:rsidRDefault="005E1243">
            <w:pPr>
              <w:rPr>
                <w:sz w:val="26"/>
              </w:rPr>
            </w:pPr>
            <w:r w:rsidRPr="003E519B">
              <w:rPr>
                <w:sz w:val="26"/>
              </w:rPr>
              <w:t>November</w:t>
            </w:r>
          </w:p>
        </w:tc>
        <w:tc>
          <w:tcPr>
            <w:tcW w:w="1806" w:type="dxa"/>
          </w:tcPr>
          <w:p w:rsidR="005E1243" w:rsidRPr="003E519B" w:rsidRDefault="005E1243" w:rsidP="003E519B">
            <w:pPr>
              <w:tabs>
                <w:tab w:val="decimal" w:pos="1423"/>
              </w:tabs>
              <w:rPr>
                <w:sz w:val="26"/>
              </w:rPr>
            </w:pPr>
            <w:r w:rsidRPr="003E519B">
              <w:rPr>
                <w:sz w:val="26"/>
              </w:rPr>
              <w:t>895,152</w:t>
            </w:r>
          </w:p>
        </w:tc>
        <w:tc>
          <w:tcPr>
            <w:tcW w:w="1806" w:type="dxa"/>
          </w:tcPr>
          <w:p w:rsidR="005E1243" w:rsidRPr="003E519B" w:rsidRDefault="005E1243" w:rsidP="003E519B">
            <w:pPr>
              <w:tabs>
                <w:tab w:val="decimal" w:pos="1069"/>
              </w:tabs>
              <w:rPr>
                <w:sz w:val="26"/>
              </w:rPr>
            </w:pPr>
            <w:r w:rsidRPr="003E519B">
              <w:rPr>
                <w:sz w:val="26"/>
              </w:rPr>
              <w:t>32,203</w:t>
            </w:r>
          </w:p>
        </w:tc>
        <w:tc>
          <w:tcPr>
            <w:tcW w:w="2071" w:type="dxa"/>
          </w:tcPr>
          <w:p w:rsidR="005E1243" w:rsidRPr="003E519B" w:rsidRDefault="005E1243" w:rsidP="003E519B">
            <w:pPr>
              <w:tabs>
                <w:tab w:val="decimal" w:pos="1423"/>
              </w:tabs>
              <w:rPr>
                <w:sz w:val="26"/>
              </w:rPr>
            </w:pPr>
            <w:r w:rsidRPr="003E519B">
              <w:rPr>
                <w:sz w:val="26"/>
              </w:rPr>
              <w:t>1,027,920</w:t>
            </w:r>
          </w:p>
        </w:tc>
        <w:tc>
          <w:tcPr>
            <w:tcW w:w="1800" w:type="dxa"/>
          </w:tcPr>
          <w:p w:rsidR="005E1243" w:rsidRPr="003E519B" w:rsidRDefault="005E1243" w:rsidP="003E519B">
            <w:pPr>
              <w:tabs>
                <w:tab w:val="decimal" w:pos="1237"/>
              </w:tabs>
              <w:rPr>
                <w:sz w:val="26"/>
              </w:rPr>
            </w:pPr>
            <w:r w:rsidRPr="003E519B">
              <w:rPr>
                <w:sz w:val="26"/>
              </w:rPr>
              <w:t xml:space="preserve"> (132,768)</w:t>
            </w:r>
          </w:p>
        </w:tc>
      </w:tr>
      <w:tr w:rsidR="005E1243" w:rsidRPr="003E519B" w:rsidTr="003E519B">
        <w:tc>
          <w:tcPr>
            <w:tcW w:w="1805" w:type="dxa"/>
          </w:tcPr>
          <w:p w:rsidR="005E1243" w:rsidRPr="003E519B" w:rsidRDefault="005E1243">
            <w:pPr>
              <w:rPr>
                <w:sz w:val="26"/>
              </w:rPr>
            </w:pPr>
          </w:p>
        </w:tc>
        <w:tc>
          <w:tcPr>
            <w:tcW w:w="1806" w:type="dxa"/>
          </w:tcPr>
          <w:p w:rsidR="005E1243" w:rsidRPr="003E519B" w:rsidRDefault="005E1243" w:rsidP="003E519B">
            <w:pPr>
              <w:tabs>
                <w:tab w:val="decimal" w:pos="1423"/>
              </w:tabs>
              <w:rPr>
                <w:sz w:val="26"/>
              </w:rPr>
            </w:pPr>
          </w:p>
        </w:tc>
        <w:tc>
          <w:tcPr>
            <w:tcW w:w="1806" w:type="dxa"/>
          </w:tcPr>
          <w:p w:rsidR="005E1243" w:rsidRPr="003E519B" w:rsidRDefault="005E1243" w:rsidP="003E519B">
            <w:pPr>
              <w:tabs>
                <w:tab w:val="decimal" w:pos="1069"/>
              </w:tabs>
              <w:rPr>
                <w:sz w:val="26"/>
              </w:rPr>
            </w:pPr>
          </w:p>
        </w:tc>
        <w:tc>
          <w:tcPr>
            <w:tcW w:w="2071" w:type="dxa"/>
          </w:tcPr>
          <w:p w:rsidR="005E1243" w:rsidRPr="003E519B" w:rsidRDefault="005E1243" w:rsidP="003E519B">
            <w:pPr>
              <w:tabs>
                <w:tab w:val="decimal" w:pos="1423"/>
              </w:tabs>
              <w:rPr>
                <w:sz w:val="26"/>
              </w:rPr>
            </w:pPr>
          </w:p>
        </w:tc>
        <w:tc>
          <w:tcPr>
            <w:tcW w:w="1800" w:type="dxa"/>
          </w:tcPr>
          <w:p w:rsidR="005E1243" w:rsidRPr="003E519B" w:rsidRDefault="005E1243" w:rsidP="003E519B">
            <w:pPr>
              <w:tabs>
                <w:tab w:val="decimal" w:pos="1237"/>
              </w:tabs>
              <w:rPr>
                <w:sz w:val="26"/>
              </w:rPr>
            </w:pPr>
          </w:p>
        </w:tc>
      </w:tr>
      <w:tr w:rsidR="005E1243" w:rsidRPr="003E519B" w:rsidTr="003E519B">
        <w:tc>
          <w:tcPr>
            <w:tcW w:w="1805" w:type="dxa"/>
          </w:tcPr>
          <w:p w:rsidR="005E1243" w:rsidRPr="003E519B" w:rsidRDefault="005E1243">
            <w:pPr>
              <w:rPr>
                <w:sz w:val="26"/>
              </w:rPr>
            </w:pPr>
            <w:r w:rsidRPr="003E519B">
              <w:rPr>
                <w:sz w:val="26"/>
              </w:rPr>
              <w:t>December</w:t>
            </w:r>
          </w:p>
        </w:tc>
        <w:tc>
          <w:tcPr>
            <w:tcW w:w="1806" w:type="dxa"/>
          </w:tcPr>
          <w:p w:rsidR="005E1243" w:rsidRPr="003E519B" w:rsidRDefault="005E1243" w:rsidP="003E519B">
            <w:pPr>
              <w:tabs>
                <w:tab w:val="decimal" w:pos="1423"/>
              </w:tabs>
              <w:rPr>
                <w:sz w:val="26"/>
                <w:u w:val="single"/>
              </w:rPr>
            </w:pPr>
            <w:r w:rsidRPr="003E519B">
              <w:rPr>
                <w:sz w:val="26"/>
                <w:u w:val="single"/>
              </w:rPr>
              <w:t xml:space="preserve">  1,157,409</w:t>
            </w:r>
          </w:p>
        </w:tc>
        <w:tc>
          <w:tcPr>
            <w:tcW w:w="1806" w:type="dxa"/>
          </w:tcPr>
          <w:p w:rsidR="005E1243" w:rsidRPr="003E519B" w:rsidRDefault="005E1243" w:rsidP="003E519B">
            <w:pPr>
              <w:tabs>
                <w:tab w:val="decimal" w:pos="1069"/>
              </w:tabs>
              <w:rPr>
                <w:sz w:val="26"/>
              </w:rPr>
            </w:pPr>
            <w:r w:rsidRPr="003E519B">
              <w:rPr>
                <w:sz w:val="26"/>
              </w:rPr>
              <w:t>32,314</w:t>
            </w:r>
          </w:p>
        </w:tc>
        <w:tc>
          <w:tcPr>
            <w:tcW w:w="2071" w:type="dxa"/>
          </w:tcPr>
          <w:p w:rsidR="005E1243" w:rsidRPr="003E519B" w:rsidRDefault="005E1243" w:rsidP="003E519B">
            <w:pPr>
              <w:tabs>
                <w:tab w:val="decimal" w:pos="1423"/>
              </w:tabs>
              <w:rPr>
                <w:sz w:val="26"/>
                <w:u w:val="single"/>
              </w:rPr>
            </w:pPr>
            <w:r w:rsidRPr="003E519B">
              <w:rPr>
                <w:sz w:val="26"/>
                <w:u w:val="single"/>
              </w:rPr>
              <w:t xml:space="preserve">  1,031,463</w:t>
            </w:r>
          </w:p>
        </w:tc>
        <w:tc>
          <w:tcPr>
            <w:tcW w:w="1800" w:type="dxa"/>
          </w:tcPr>
          <w:p w:rsidR="005E1243" w:rsidRPr="003E519B" w:rsidRDefault="005E1243" w:rsidP="003E519B">
            <w:pPr>
              <w:tabs>
                <w:tab w:val="decimal" w:pos="1237"/>
              </w:tabs>
              <w:rPr>
                <w:sz w:val="26"/>
                <w:u w:val="single"/>
              </w:rPr>
            </w:pPr>
            <w:r w:rsidRPr="003E519B">
              <w:rPr>
                <w:sz w:val="26"/>
                <w:u w:val="single"/>
              </w:rPr>
              <w:t xml:space="preserve">   125,947</w:t>
            </w:r>
          </w:p>
        </w:tc>
      </w:tr>
      <w:tr w:rsidR="005E1243" w:rsidRPr="003E519B" w:rsidTr="003E519B">
        <w:tc>
          <w:tcPr>
            <w:tcW w:w="1805" w:type="dxa"/>
          </w:tcPr>
          <w:p w:rsidR="005E1243" w:rsidRPr="003E519B" w:rsidRDefault="005E1243">
            <w:pPr>
              <w:rPr>
                <w:sz w:val="26"/>
              </w:rPr>
            </w:pPr>
          </w:p>
        </w:tc>
        <w:tc>
          <w:tcPr>
            <w:tcW w:w="1806" w:type="dxa"/>
          </w:tcPr>
          <w:p w:rsidR="005E1243" w:rsidRPr="003E519B" w:rsidRDefault="005E1243" w:rsidP="003E519B">
            <w:pPr>
              <w:tabs>
                <w:tab w:val="left" w:pos="535"/>
                <w:tab w:val="decimal" w:pos="895"/>
              </w:tabs>
              <w:jc w:val="center"/>
              <w:rPr>
                <w:sz w:val="26"/>
              </w:rPr>
            </w:pPr>
          </w:p>
        </w:tc>
        <w:tc>
          <w:tcPr>
            <w:tcW w:w="1806" w:type="dxa"/>
          </w:tcPr>
          <w:p w:rsidR="005E1243" w:rsidRPr="003E519B" w:rsidRDefault="005E1243" w:rsidP="003E519B">
            <w:pPr>
              <w:tabs>
                <w:tab w:val="decimal" w:pos="1069"/>
              </w:tabs>
              <w:rPr>
                <w:sz w:val="26"/>
              </w:rPr>
            </w:pPr>
          </w:p>
        </w:tc>
        <w:tc>
          <w:tcPr>
            <w:tcW w:w="2071" w:type="dxa"/>
          </w:tcPr>
          <w:p w:rsidR="005E1243" w:rsidRPr="003E519B" w:rsidRDefault="005E1243" w:rsidP="003E519B">
            <w:pPr>
              <w:tabs>
                <w:tab w:val="decimal" w:pos="1423"/>
              </w:tabs>
              <w:rPr>
                <w:sz w:val="26"/>
              </w:rPr>
            </w:pPr>
          </w:p>
        </w:tc>
        <w:tc>
          <w:tcPr>
            <w:tcW w:w="1800" w:type="dxa"/>
          </w:tcPr>
          <w:p w:rsidR="005E1243" w:rsidRPr="003E519B" w:rsidRDefault="005E1243" w:rsidP="003E519B">
            <w:pPr>
              <w:tabs>
                <w:tab w:val="decimal" w:pos="1237"/>
              </w:tabs>
              <w:rPr>
                <w:sz w:val="26"/>
              </w:rPr>
            </w:pPr>
          </w:p>
        </w:tc>
      </w:tr>
      <w:tr w:rsidR="005E1243" w:rsidRPr="003E519B" w:rsidTr="003E519B">
        <w:tc>
          <w:tcPr>
            <w:tcW w:w="1805" w:type="dxa"/>
          </w:tcPr>
          <w:p w:rsidR="005E1243" w:rsidRPr="003E519B" w:rsidRDefault="005E1243">
            <w:pPr>
              <w:rPr>
                <w:sz w:val="26"/>
              </w:rPr>
            </w:pPr>
            <w:r w:rsidRPr="003E519B">
              <w:rPr>
                <w:sz w:val="26"/>
              </w:rPr>
              <w:t>Total</w:t>
            </w:r>
          </w:p>
        </w:tc>
        <w:tc>
          <w:tcPr>
            <w:tcW w:w="1806" w:type="dxa"/>
          </w:tcPr>
          <w:p w:rsidR="005E1243" w:rsidRPr="003E519B" w:rsidRDefault="005E1243" w:rsidP="003E519B">
            <w:pPr>
              <w:tabs>
                <w:tab w:val="decimal" w:pos="1423"/>
              </w:tabs>
              <w:rPr>
                <w:sz w:val="26"/>
              </w:rPr>
            </w:pPr>
            <w:r w:rsidRPr="003E519B">
              <w:rPr>
                <w:sz w:val="26"/>
              </w:rPr>
              <w:t>$</w:t>
            </w:r>
            <w:r w:rsidRPr="003E519B">
              <w:rPr>
                <w:sz w:val="26"/>
                <w:u w:val="double"/>
              </w:rPr>
              <w:t>12,493,152</w:t>
            </w:r>
          </w:p>
        </w:tc>
        <w:tc>
          <w:tcPr>
            <w:tcW w:w="1806" w:type="dxa"/>
          </w:tcPr>
          <w:p w:rsidR="005E1243" w:rsidRPr="003E519B" w:rsidRDefault="005E1243" w:rsidP="003E519B">
            <w:pPr>
              <w:tabs>
                <w:tab w:val="decimal" w:pos="1069"/>
              </w:tabs>
              <w:rPr>
                <w:sz w:val="26"/>
              </w:rPr>
            </w:pPr>
          </w:p>
        </w:tc>
        <w:tc>
          <w:tcPr>
            <w:tcW w:w="2071" w:type="dxa"/>
          </w:tcPr>
          <w:p w:rsidR="005E1243" w:rsidRPr="003E519B" w:rsidRDefault="005E1243" w:rsidP="003E519B">
            <w:pPr>
              <w:tabs>
                <w:tab w:val="decimal" w:pos="1423"/>
              </w:tabs>
              <w:rPr>
                <w:sz w:val="26"/>
                <w:u w:val="double"/>
              </w:rPr>
            </w:pPr>
            <w:r w:rsidRPr="003E519B">
              <w:rPr>
                <w:sz w:val="26"/>
              </w:rPr>
              <w:t>$</w:t>
            </w:r>
            <w:r w:rsidRPr="003E519B">
              <w:rPr>
                <w:sz w:val="26"/>
                <w:u w:val="double"/>
              </w:rPr>
              <w:t>10,620,327</w:t>
            </w:r>
          </w:p>
        </w:tc>
        <w:tc>
          <w:tcPr>
            <w:tcW w:w="1800" w:type="dxa"/>
          </w:tcPr>
          <w:p w:rsidR="005E1243" w:rsidRPr="003E519B" w:rsidRDefault="005E1243" w:rsidP="003E519B">
            <w:pPr>
              <w:tabs>
                <w:tab w:val="decimal" w:pos="1237"/>
              </w:tabs>
              <w:rPr>
                <w:sz w:val="26"/>
                <w:u w:val="double"/>
              </w:rPr>
            </w:pPr>
            <w:r w:rsidRPr="003E519B">
              <w:rPr>
                <w:sz w:val="26"/>
              </w:rPr>
              <w:t>$</w:t>
            </w:r>
            <w:r w:rsidRPr="003E519B">
              <w:rPr>
                <w:sz w:val="26"/>
                <w:u w:val="double"/>
              </w:rPr>
              <w:t>1,872,825</w:t>
            </w:r>
          </w:p>
        </w:tc>
      </w:tr>
    </w:tbl>
    <w:p w:rsidR="005E1243" w:rsidRPr="00B5002B" w:rsidRDefault="005E1243" w:rsidP="00F001AC">
      <w:pPr>
        <w:jc w:val="center"/>
        <w:rPr>
          <w:b/>
          <w:sz w:val="28"/>
          <w:u w:val="single"/>
        </w:rPr>
      </w:pPr>
    </w:p>
    <w:p w:rsidR="005E1243" w:rsidRDefault="005E1243" w:rsidP="00F001AC">
      <w:pPr>
        <w:jc w:val="center"/>
        <w:rPr>
          <w:b/>
          <w:sz w:val="28"/>
          <w:u w:val="single"/>
        </w:rPr>
      </w:pPr>
    </w:p>
    <w:p w:rsidR="005E1243" w:rsidRDefault="005E1243" w:rsidP="00F001AC">
      <w:pPr>
        <w:jc w:val="center"/>
        <w:rPr>
          <w:b/>
          <w:sz w:val="28"/>
          <w:u w:val="single"/>
        </w:rPr>
      </w:pPr>
    </w:p>
    <w:p w:rsidR="005E1243" w:rsidRDefault="005E1243" w:rsidP="00F001AC">
      <w:pPr>
        <w:jc w:val="center"/>
        <w:rPr>
          <w:b/>
          <w:sz w:val="28"/>
          <w:u w:val="single"/>
        </w:rPr>
        <w:sectPr w:rsidR="005E1243" w:rsidSect="00736442">
          <w:headerReference w:type="even" r:id="rId23"/>
          <w:headerReference w:type="default" r:id="rId24"/>
          <w:footerReference w:type="default" r:id="rId25"/>
          <w:headerReference w:type="first" r:id="rId26"/>
          <w:pgSz w:w="12240" w:h="15840"/>
          <w:pgMar w:top="1440" w:right="1440" w:bottom="1152" w:left="1440" w:header="720" w:footer="720" w:gutter="0"/>
          <w:pgNumType w:start="1"/>
          <w:cols w:space="720"/>
          <w:docGrid w:linePitch="360"/>
        </w:sectPr>
      </w:pPr>
    </w:p>
    <w:p w:rsidR="005E1243" w:rsidRPr="00B5002B" w:rsidRDefault="005E1243" w:rsidP="00F001AC">
      <w:pPr>
        <w:jc w:val="center"/>
        <w:rPr>
          <w:b/>
          <w:sz w:val="28"/>
        </w:rPr>
      </w:pPr>
      <w:r w:rsidRPr="00B5002B">
        <w:rPr>
          <w:b/>
          <w:sz w:val="28"/>
        </w:rPr>
        <w:lastRenderedPageBreak/>
        <w:t>PECO ENERGY COMPANY</w:t>
      </w:r>
    </w:p>
    <w:p w:rsidR="005E1243" w:rsidRPr="00B5002B" w:rsidRDefault="005E1243" w:rsidP="00F001AC">
      <w:pPr>
        <w:jc w:val="center"/>
        <w:rPr>
          <w:b/>
          <w:sz w:val="26"/>
          <w:szCs w:val="26"/>
        </w:rPr>
      </w:pPr>
    </w:p>
    <w:p w:rsidR="005E1243" w:rsidRPr="00B5002B" w:rsidRDefault="005E1243" w:rsidP="00F001AC">
      <w:pPr>
        <w:jc w:val="center"/>
        <w:rPr>
          <w:b/>
          <w:sz w:val="26"/>
          <w:szCs w:val="26"/>
          <w:u w:val="single"/>
        </w:rPr>
      </w:pPr>
      <w:r w:rsidRPr="00B5002B">
        <w:rPr>
          <w:b/>
          <w:sz w:val="26"/>
          <w:szCs w:val="26"/>
          <w:u w:val="single"/>
        </w:rPr>
        <w:t>Notes To The Financial Statement</w:t>
      </w:r>
    </w:p>
    <w:p w:rsidR="005E1243" w:rsidRPr="00B5002B" w:rsidRDefault="005E1243">
      <w:pPr>
        <w:rPr>
          <w:sz w:val="26"/>
          <w:szCs w:val="26"/>
        </w:rPr>
      </w:pPr>
    </w:p>
    <w:p w:rsidR="005E1243" w:rsidRPr="00B5002B" w:rsidRDefault="005E1243">
      <w:pPr>
        <w:rPr>
          <w:sz w:val="26"/>
          <w:szCs w:val="26"/>
        </w:rPr>
      </w:pPr>
    </w:p>
    <w:p w:rsidR="005E1243" w:rsidRPr="00B5002B" w:rsidRDefault="005E1243">
      <w:pPr>
        <w:rPr>
          <w:b/>
          <w:sz w:val="26"/>
          <w:szCs w:val="26"/>
          <w:u w:val="single"/>
        </w:rPr>
      </w:pPr>
      <w:r w:rsidRPr="00B5002B">
        <w:rPr>
          <w:b/>
          <w:sz w:val="26"/>
          <w:szCs w:val="26"/>
          <w:u w:val="single"/>
        </w:rPr>
        <w:t>1 – Total Revenues</w:t>
      </w:r>
    </w:p>
    <w:p w:rsidR="005E1243" w:rsidRPr="00B5002B" w:rsidRDefault="005E1243">
      <w:pPr>
        <w:rPr>
          <w:sz w:val="26"/>
          <w:szCs w:val="26"/>
        </w:rPr>
      </w:pPr>
    </w:p>
    <w:p w:rsidR="005E1243" w:rsidRPr="00B5002B" w:rsidRDefault="005E1243" w:rsidP="00066228">
      <w:pPr>
        <w:tabs>
          <w:tab w:val="left" w:pos="360"/>
        </w:tabs>
        <w:ind w:left="360" w:hanging="360"/>
        <w:rPr>
          <w:sz w:val="26"/>
          <w:szCs w:val="26"/>
        </w:rPr>
      </w:pPr>
      <w:r w:rsidRPr="00B5002B">
        <w:rPr>
          <w:sz w:val="26"/>
          <w:szCs w:val="26"/>
        </w:rPr>
        <w:tab/>
        <w:t xml:space="preserve">Total Revenues are derived by multiplying the </w:t>
      </w:r>
      <w:r w:rsidR="0048211D">
        <w:rPr>
          <w:sz w:val="26"/>
          <w:szCs w:val="26"/>
        </w:rPr>
        <w:t xml:space="preserve">Electric </w:t>
      </w:r>
      <w:r w:rsidRPr="00B5002B">
        <w:rPr>
          <w:sz w:val="26"/>
          <w:szCs w:val="26"/>
        </w:rPr>
        <w:t>USFC rate by the KWH of electric service billed under Rate Schedules R, RH and RT.  The</w:t>
      </w:r>
      <w:r>
        <w:rPr>
          <w:sz w:val="26"/>
          <w:szCs w:val="26"/>
        </w:rPr>
        <w:t xml:space="preserve"> </w:t>
      </w:r>
      <w:r w:rsidR="0048211D">
        <w:rPr>
          <w:sz w:val="26"/>
          <w:szCs w:val="26"/>
        </w:rPr>
        <w:t xml:space="preserve">Electric </w:t>
      </w:r>
      <w:r>
        <w:rPr>
          <w:sz w:val="26"/>
          <w:szCs w:val="26"/>
        </w:rPr>
        <w:t xml:space="preserve">USFC rate billed during the twelve </w:t>
      </w:r>
      <w:r w:rsidRPr="00B5002B">
        <w:rPr>
          <w:sz w:val="26"/>
          <w:szCs w:val="26"/>
        </w:rPr>
        <w:t xml:space="preserve">month period January 1 through December 31, 2007, was $0.0011 per KWH.  The </w:t>
      </w:r>
      <w:r w:rsidR="0048211D">
        <w:rPr>
          <w:sz w:val="26"/>
          <w:szCs w:val="26"/>
        </w:rPr>
        <w:t xml:space="preserve">Electric </w:t>
      </w:r>
      <w:r w:rsidRPr="00B5002B">
        <w:rPr>
          <w:sz w:val="26"/>
          <w:szCs w:val="26"/>
        </w:rPr>
        <w:t>USFC rate is updated January 1 of each year.</w:t>
      </w:r>
    </w:p>
    <w:p w:rsidR="005E1243" w:rsidRPr="00B5002B" w:rsidRDefault="005E1243" w:rsidP="00066228">
      <w:pPr>
        <w:tabs>
          <w:tab w:val="left" w:pos="360"/>
        </w:tabs>
        <w:rPr>
          <w:sz w:val="26"/>
          <w:szCs w:val="26"/>
        </w:rPr>
      </w:pPr>
    </w:p>
    <w:p w:rsidR="005E1243" w:rsidRPr="00B5002B" w:rsidRDefault="005E1243" w:rsidP="00066228">
      <w:pPr>
        <w:tabs>
          <w:tab w:val="left" w:pos="360"/>
        </w:tabs>
        <w:rPr>
          <w:b/>
          <w:sz w:val="26"/>
          <w:szCs w:val="26"/>
          <w:u w:val="single"/>
        </w:rPr>
      </w:pPr>
      <w:r w:rsidRPr="00B5002B">
        <w:rPr>
          <w:b/>
          <w:sz w:val="26"/>
          <w:szCs w:val="26"/>
          <w:u w:val="single"/>
        </w:rPr>
        <w:t>2 – Number of CAP Customers Exceeding 90,000</w:t>
      </w:r>
    </w:p>
    <w:p w:rsidR="005E1243" w:rsidRPr="00B5002B" w:rsidRDefault="005E1243" w:rsidP="00066228">
      <w:pPr>
        <w:tabs>
          <w:tab w:val="left" w:pos="360"/>
        </w:tabs>
        <w:rPr>
          <w:sz w:val="26"/>
          <w:szCs w:val="26"/>
        </w:rPr>
      </w:pPr>
    </w:p>
    <w:p w:rsidR="005E1243" w:rsidRPr="00B5002B" w:rsidRDefault="005E1243" w:rsidP="00066228">
      <w:pPr>
        <w:tabs>
          <w:tab w:val="left" w:pos="360"/>
        </w:tabs>
        <w:ind w:left="360" w:hanging="360"/>
        <w:rPr>
          <w:sz w:val="26"/>
          <w:szCs w:val="26"/>
        </w:rPr>
      </w:pPr>
      <w:r w:rsidRPr="00B5002B">
        <w:rPr>
          <w:sz w:val="26"/>
          <w:szCs w:val="26"/>
        </w:rPr>
        <w:tab/>
        <w:t xml:space="preserve">Number of CAP Customers Exceeding 90,000 is, in any given month, the incremental number of customers beyond the first 90,000 customers receiving electric service at the discounted CAP Rate.  </w:t>
      </w:r>
    </w:p>
    <w:p w:rsidR="005E1243" w:rsidRPr="00B5002B" w:rsidRDefault="005E1243" w:rsidP="00066228">
      <w:pPr>
        <w:tabs>
          <w:tab w:val="left" w:pos="360"/>
        </w:tabs>
        <w:ind w:left="360" w:hanging="360"/>
        <w:rPr>
          <w:sz w:val="26"/>
          <w:szCs w:val="26"/>
        </w:rPr>
      </w:pPr>
    </w:p>
    <w:p w:rsidR="005E1243" w:rsidRPr="00B5002B" w:rsidRDefault="005E1243" w:rsidP="00066228">
      <w:pPr>
        <w:tabs>
          <w:tab w:val="left" w:pos="360"/>
        </w:tabs>
        <w:ind w:left="360" w:hanging="360"/>
        <w:rPr>
          <w:b/>
          <w:sz w:val="26"/>
          <w:szCs w:val="26"/>
          <w:u w:val="single"/>
        </w:rPr>
      </w:pPr>
      <w:r w:rsidRPr="00B5002B">
        <w:rPr>
          <w:b/>
          <w:sz w:val="26"/>
          <w:szCs w:val="26"/>
          <w:u w:val="single"/>
        </w:rPr>
        <w:t>3 – Allowable Cost Recovery</w:t>
      </w:r>
    </w:p>
    <w:p w:rsidR="005E1243" w:rsidRPr="00B5002B" w:rsidRDefault="005E1243" w:rsidP="00066228">
      <w:pPr>
        <w:tabs>
          <w:tab w:val="left" w:pos="360"/>
        </w:tabs>
        <w:ind w:left="360" w:hanging="360"/>
        <w:rPr>
          <w:sz w:val="26"/>
          <w:szCs w:val="26"/>
        </w:rPr>
      </w:pPr>
    </w:p>
    <w:p w:rsidR="005E1243" w:rsidRPr="00B5002B" w:rsidRDefault="005E1243" w:rsidP="00066228">
      <w:pPr>
        <w:tabs>
          <w:tab w:val="left" w:pos="360"/>
        </w:tabs>
        <w:ind w:left="360" w:hanging="360"/>
        <w:rPr>
          <w:sz w:val="26"/>
          <w:szCs w:val="26"/>
        </w:rPr>
      </w:pPr>
      <w:r w:rsidRPr="00B5002B">
        <w:rPr>
          <w:sz w:val="26"/>
          <w:szCs w:val="26"/>
        </w:rPr>
        <w:tab/>
        <w:t>Allowable Cost Recovery is derived by multiplying the respective monthly number of CAP customers exceeding 90,000 by $31.92, one-twelfth of the $383 annual amount</w:t>
      </w:r>
      <w:r>
        <w:rPr>
          <w:sz w:val="26"/>
          <w:szCs w:val="26"/>
        </w:rPr>
        <w:t>,</w:t>
      </w:r>
      <w:r w:rsidRPr="00B5002B">
        <w:rPr>
          <w:sz w:val="26"/>
          <w:szCs w:val="26"/>
        </w:rPr>
        <w:t xml:space="preserve"> to be recovered per incremental</w:t>
      </w:r>
      <w:r>
        <w:rPr>
          <w:sz w:val="26"/>
          <w:szCs w:val="26"/>
        </w:rPr>
        <w:t xml:space="preserve"> CAP Rate customer above 90,000 enrolled customers. </w:t>
      </w:r>
    </w:p>
    <w:p w:rsidR="005E1243" w:rsidRPr="00B5002B" w:rsidRDefault="005E1243" w:rsidP="00066228">
      <w:pPr>
        <w:tabs>
          <w:tab w:val="left" w:pos="360"/>
        </w:tabs>
        <w:ind w:left="360" w:hanging="360"/>
        <w:rPr>
          <w:sz w:val="26"/>
          <w:szCs w:val="26"/>
        </w:rPr>
      </w:pPr>
    </w:p>
    <w:p w:rsidR="005E1243" w:rsidRPr="00B5002B" w:rsidRDefault="005E1243" w:rsidP="00066228">
      <w:pPr>
        <w:tabs>
          <w:tab w:val="left" w:pos="360"/>
        </w:tabs>
        <w:ind w:left="360" w:hanging="360"/>
        <w:rPr>
          <w:b/>
          <w:sz w:val="26"/>
          <w:szCs w:val="26"/>
          <w:u w:val="single"/>
        </w:rPr>
      </w:pPr>
      <w:r w:rsidRPr="00B5002B">
        <w:rPr>
          <w:b/>
          <w:sz w:val="26"/>
          <w:szCs w:val="26"/>
          <w:u w:val="single"/>
        </w:rPr>
        <w:t>4 – Over/(Under) Recovery</w:t>
      </w:r>
    </w:p>
    <w:p w:rsidR="005E1243" w:rsidRPr="00B5002B" w:rsidRDefault="005E1243" w:rsidP="00066228">
      <w:pPr>
        <w:tabs>
          <w:tab w:val="left" w:pos="360"/>
        </w:tabs>
        <w:ind w:left="360" w:hanging="360"/>
        <w:rPr>
          <w:sz w:val="26"/>
          <w:szCs w:val="26"/>
        </w:rPr>
      </w:pPr>
    </w:p>
    <w:p w:rsidR="005E1243" w:rsidRPr="00B5002B" w:rsidRDefault="005E1243" w:rsidP="00066228">
      <w:pPr>
        <w:tabs>
          <w:tab w:val="left" w:pos="360"/>
        </w:tabs>
        <w:ind w:left="360" w:hanging="360"/>
        <w:rPr>
          <w:sz w:val="26"/>
          <w:szCs w:val="26"/>
        </w:rPr>
      </w:pPr>
      <w:r w:rsidRPr="00B5002B">
        <w:rPr>
          <w:sz w:val="26"/>
          <w:szCs w:val="26"/>
        </w:rPr>
        <w:tab/>
        <w:t xml:space="preserve">Over/(Under) Recovery amounts are the differences between </w:t>
      </w:r>
      <w:r w:rsidR="0048211D">
        <w:rPr>
          <w:sz w:val="26"/>
          <w:szCs w:val="26"/>
        </w:rPr>
        <w:t xml:space="preserve">Electric </w:t>
      </w:r>
      <w:r w:rsidRPr="00B5002B">
        <w:rPr>
          <w:sz w:val="26"/>
          <w:szCs w:val="26"/>
        </w:rPr>
        <w:t xml:space="preserve">USFC revenues and allowable costs that are either refundable, with interest, </w:t>
      </w:r>
      <w:r>
        <w:rPr>
          <w:sz w:val="26"/>
          <w:szCs w:val="26"/>
        </w:rPr>
        <w:t xml:space="preserve">or recoverable by the Company. </w:t>
      </w:r>
      <w:r w:rsidR="00F40722">
        <w:rPr>
          <w:sz w:val="26"/>
          <w:szCs w:val="26"/>
        </w:rPr>
        <w:t xml:space="preserve"> </w:t>
      </w:r>
      <w:r w:rsidRPr="00A93749">
        <w:rPr>
          <w:sz w:val="26"/>
          <w:szCs w:val="26"/>
        </w:rPr>
        <w:t>Customers are not liable for net interest due the Company.</w:t>
      </w:r>
      <w:r>
        <w:rPr>
          <w:sz w:val="26"/>
          <w:szCs w:val="26"/>
        </w:rPr>
        <w:t xml:space="preserve"> </w:t>
      </w:r>
      <w:r w:rsidR="00F40722">
        <w:rPr>
          <w:sz w:val="26"/>
          <w:szCs w:val="26"/>
        </w:rPr>
        <w:t xml:space="preserve"> </w:t>
      </w:r>
      <w:r w:rsidRPr="00B5002B">
        <w:rPr>
          <w:sz w:val="26"/>
          <w:szCs w:val="26"/>
        </w:rPr>
        <w:t xml:space="preserve">Over/(Under) recoveries for the twelve months ending December 31 of each year are reported to the Commission on Statement 1307(e), and are included in subsequent </w:t>
      </w:r>
      <w:r w:rsidR="0048211D">
        <w:rPr>
          <w:sz w:val="26"/>
          <w:szCs w:val="26"/>
        </w:rPr>
        <w:t xml:space="preserve">Electric </w:t>
      </w:r>
      <w:r w:rsidRPr="00B5002B">
        <w:rPr>
          <w:sz w:val="26"/>
          <w:szCs w:val="26"/>
        </w:rPr>
        <w:t>USFC computations and refunded or recouped over a one-year application period commencing January 1 of each year</w:t>
      </w:r>
      <w:r>
        <w:rPr>
          <w:sz w:val="26"/>
          <w:szCs w:val="26"/>
        </w:rPr>
        <w:t>.</w:t>
      </w:r>
    </w:p>
    <w:p w:rsidR="005E1243" w:rsidRPr="00B5002B" w:rsidRDefault="005E1243" w:rsidP="008A1D20">
      <w:pPr>
        <w:jc w:val="center"/>
        <w:rPr>
          <w:b/>
          <w:sz w:val="26"/>
          <w:szCs w:val="26"/>
          <w:u w:val="single"/>
        </w:rPr>
      </w:pPr>
    </w:p>
    <w:p w:rsidR="005E1243" w:rsidRPr="00B5002B" w:rsidRDefault="005E1243" w:rsidP="008A1D20">
      <w:pPr>
        <w:jc w:val="center"/>
        <w:rPr>
          <w:b/>
          <w:sz w:val="26"/>
          <w:szCs w:val="26"/>
          <w:u w:val="single"/>
        </w:rPr>
      </w:pPr>
    </w:p>
    <w:p w:rsidR="005E1243" w:rsidRPr="00B5002B" w:rsidRDefault="005E1243" w:rsidP="008A1D20">
      <w:pPr>
        <w:jc w:val="center"/>
        <w:rPr>
          <w:b/>
          <w:sz w:val="26"/>
          <w:szCs w:val="26"/>
          <w:u w:val="single"/>
        </w:rPr>
      </w:pPr>
    </w:p>
    <w:p w:rsidR="005E1243" w:rsidRPr="00B5002B" w:rsidRDefault="005E1243" w:rsidP="008A1D20">
      <w:pPr>
        <w:jc w:val="center"/>
        <w:rPr>
          <w:b/>
          <w:sz w:val="26"/>
          <w:szCs w:val="26"/>
          <w:u w:val="single"/>
        </w:rPr>
      </w:pPr>
    </w:p>
    <w:p w:rsidR="005E1243" w:rsidRPr="00B5002B" w:rsidRDefault="005E1243" w:rsidP="008A1D20">
      <w:pPr>
        <w:jc w:val="center"/>
        <w:rPr>
          <w:b/>
          <w:sz w:val="26"/>
          <w:szCs w:val="26"/>
          <w:u w:val="single"/>
        </w:rPr>
      </w:pPr>
    </w:p>
    <w:p w:rsidR="005E1243" w:rsidRPr="00B5002B" w:rsidRDefault="005E1243" w:rsidP="008A1D20">
      <w:pPr>
        <w:jc w:val="center"/>
        <w:rPr>
          <w:b/>
          <w:sz w:val="26"/>
          <w:szCs w:val="26"/>
          <w:u w:val="single"/>
        </w:rPr>
      </w:pPr>
    </w:p>
    <w:p w:rsidR="005E1243" w:rsidRDefault="005E1243" w:rsidP="008A1D20">
      <w:pPr>
        <w:jc w:val="center"/>
        <w:rPr>
          <w:b/>
          <w:sz w:val="26"/>
          <w:szCs w:val="26"/>
          <w:u w:val="single"/>
        </w:rPr>
        <w:sectPr w:rsidR="005E1243" w:rsidSect="00736442">
          <w:headerReference w:type="even" r:id="rId27"/>
          <w:headerReference w:type="default" r:id="rId28"/>
          <w:footerReference w:type="default" r:id="rId29"/>
          <w:headerReference w:type="first" r:id="rId30"/>
          <w:pgSz w:w="12240" w:h="15840"/>
          <w:pgMar w:top="1440" w:right="1440" w:bottom="1152" w:left="1440" w:header="720" w:footer="720" w:gutter="0"/>
          <w:pgNumType w:start="1"/>
          <w:cols w:space="720"/>
          <w:docGrid w:linePitch="360"/>
        </w:sectPr>
      </w:pPr>
    </w:p>
    <w:p w:rsidR="005E1243" w:rsidRPr="00B5002B" w:rsidRDefault="005E1243" w:rsidP="00284A3A">
      <w:pPr>
        <w:pStyle w:val="Heading1"/>
        <w:tabs>
          <w:tab w:val="left" w:pos="360"/>
        </w:tabs>
        <w:jc w:val="center"/>
        <w:rPr>
          <w:b w:val="0"/>
          <w:sz w:val="26"/>
          <w:szCs w:val="26"/>
          <w:u w:val="none"/>
        </w:rPr>
      </w:pPr>
    </w:p>
    <w:p w:rsidR="005E1243" w:rsidRPr="00B5002B" w:rsidRDefault="005E1243" w:rsidP="00284A3A">
      <w:pPr>
        <w:pStyle w:val="Heading1"/>
        <w:tabs>
          <w:tab w:val="left" w:pos="360"/>
        </w:tabs>
        <w:jc w:val="center"/>
        <w:rPr>
          <w:b w:val="0"/>
          <w:sz w:val="26"/>
          <w:szCs w:val="26"/>
        </w:rPr>
      </w:pPr>
    </w:p>
    <w:p w:rsidR="005E1243" w:rsidRPr="00B5002B" w:rsidRDefault="005E1243" w:rsidP="00284A3A">
      <w:pPr>
        <w:pStyle w:val="Heading1"/>
        <w:tabs>
          <w:tab w:val="left" w:pos="360"/>
        </w:tabs>
        <w:jc w:val="center"/>
        <w:rPr>
          <w:b w:val="0"/>
          <w:sz w:val="26"/>
          <w:szCs w:val="26"/>
        </w:rPr>
      </w:pPr>
    </w:p>
    <w:p w:rsidR="005E1243" w:rsidRPr="00B5002B" w:rsidRDefault="005E1243" w:rsidP="00284A3A">
      <w:pPr>
        <w:pStyle w:val="Heading1"/>
        <w:tabs>
          <w:tab w:val="left" w:pos="360"/>
        </w:tabs>
        <w:jc w:val="center"/>
        <w:rPr>
          <w:b w:val="0"/>
          <w:sz w:val="26"/>
          <w:szCs w:val="26"/>
        </w:rPr>
      </w:pPr>
    </w:p>
    <w:p w:rsidR="005E1243" w:rsidRPr="00B5002B" w:rsidRDefault="005E1243" w:rsidP="00284A3A">
      <w:pPr>
        <w:pStyle w:val="Heading1"/>
        <w:tabs>
          <w:tab w:val="left" w:pos="360"/>
        </w:tabs>
        <w:jc w:val="center"/>
        <w:rPr>
          <w:b w:val="0"/>
          <w:sz w:val="26"/>
          <w:szCs w:val="26"/>
        </w:rPr>
      </w:pPr>
    </w:p>
    <w:p w:rsidR="005E1243" w:rsidRPr="00B5002B" w:rsidRDefault="005E1243" w:rsidP="00284A3A"/>
    <w:p w:rsidR="005E1243" w:rsidRPr="00B5002B" w:rsidRDefault="005E1243" w:rsidP="00284A3A"/>
    <w:p w:rsidR="005E1243" w:rsidRPr="00B5002B" w:rsidRDefault="005E1243" w:rsidP="00284A3A"/>
    <w:p w:rsidR="005E1243" w:rsidRPr="00B5002B" w:rsidRDefault="005E1243" w:rsidP="00284A3A"/>
    <w:p w:rsidR="005E1243" w:rsidRPr="00B5002B" w:rsidRDefault="005E1243" w:rsidP="00284A3A"/>
    <w:p w:rsidR="005E1243" w:rsidRPr="00B5002B" w:rsidRDefault="005E1243" w:rsidP="00284A3A"/>
    <w:p w:rsidR="005E1243" w:rsidRPr="00B5002B" w:rsidRDefault="005E1243" w:rsidP="00284A3A"/>
    <w:p w:rsidR="005E1243" w:rsidRPr="00B5002B" w:rsidRDefault="005E1243" w:rsidP="00284A3A"/>
    <w:p w:rsidR="005E1243" w:rsidRPr="00B5002B" w:rsidRDefault="005E1243" w:rsidP="00284A3A"/>
    <w:p w:rsidR="005E1243" w:rsidRPr="00B5002B" w:rsidRDefault="005E1243" w:rsidP="00284A3A"/>
    <w:p w:rsidR="005E1243" w:rsidRPr="00B5002B" w:rsidRDefault="005E1243" w:rsidP="00284A3A"/>
    <w:p w:rsidR="005E1243" w:rsidRPr="00B5002B" w:rsidRDefault="005E1243" w:rsidP="00284A3A"/>
    <w:p w:rsidR="005E1243" w:rsidRPr="0089212B" w:rsidRDefault="005E1243" w:rsidP="00284A3A">
      <w:pPr>
        <w:pStyle w:val="Heading1"/>
        <w:tabs>
          <w:tab w:val="left" w:pos="360"/>
        </w:tabs>
        <w:jc w:val="center"/>
        <w:rPr>
          <w:sz w:val="36"/>
          <w:szCs w:val="36"/>
          <w:u w:val="none"/>
        </w:rPr>
      </w:pPr>
      <w:r w:rsidRPr="0089212B">
        <w:rPr>
          <w:sz w:val="36"/>
          <w:szCs w:val="36"/>
          <w:u w:val="none"/>
        </w:rPr>
        <w:t>BACKGROUND</w:t>
      </w:r>
    </w:p>
    <w:p w:rsidR="005E1243" w:rsidRPr="0089212B" w:rsidRDefault="005E1243" w:rsidP="00284A3A">
      <w:pPr>
        <w:pStyle w:val="Heading1"/>
        <w:tabs>
          <w:tab w:val="left" w:pos="360"/>
        </w:tabs>
        <w:jc w:val="center"/>
        <w:rPr>
          <w:sz w:val="36"/>
          <w:szCs w:val="36"/>
          <w:u w:val="none"/>
        </w:rPr>
      </w:pPr>
      <w:r w:rsidRPr="0089212B">
        <w:rPr>
          <w:sz w:val="36"/>
          <w:szCs w:val="36"/>
          <w:u w:val="none"/>
        </w:rPr>
        <w:t>AND</w:t>
      </w:r>
    </w:p>
    <w:p w:rsidR="005E1243" w:rsidRPr="0089212B" w:rsidRDefault="005E1243" w:rsidP="00284A3A">
      <w:pPr>
        <w:pStyle w:val="Heading1"/>
        <w:tabs>
          <w:tab w:val="left" w:pos="360"/>
        </w:tabs>
        <w:jc w:val="center"/>
        <w:rPr>
          <w:sz w:val="36"/>
          <w:szCs w:val="36"/>
          <w:u w:val="none"/>
        </w:rPr>
      </w:pPr>
      <w:r w:rsidRPr="0089212B">
        <w:rPr>
          <w:sz w:val="36"/>
          <w:szCs w:val="36"/>
          <w:u w:val="none"/>
        </w:rPr>
        <w:t>OPERATIONAL REVIEW</w:t>
      </w:r>
    </w:p>
    <w:p w:rsidR="005E1243" w:rsidRDefault="005E1243" w:rsidP="00284A3A">
      <w:pPr>
        <w:jc w:val="center"/>
        <w:rPr>
          <w:b/>
          <w:sz w:val="26"/>
          <w:szCs w:val="26"/>
          <w:u w:val="single"/>
        </w:rPr>
        <w:sectPr w:rsidR="005E1243" w:rsidSect="00736442">
          <w:headerReference w:type="even" r:id="rId31"/>
          <w:headerReference w:type="default" r:id="rId32"/>
          <w:footerReference w:type="default" r:id="rId33"/>
          <w:headerReference w:type="first" r:id="rId34"/>
          <w:pgSz w:w="12240" w:h="15840"/>
          <w:pgMar w:top="1440" w:right="1440" w:bottom="1152" w:left="1440" w:header="720" w:footer="720" w:gutter="0"/>
          <w:pgNumType w:start="1"/>
          <w:cols w:space="720"/>
          <w:docGrid w:linePitch="360"/>
        </w:sectPr>
      </w:pPr>
    </w:p>
    <w:p w:rsidR="005E1243" w:rsidRPr="00B5002B" w:rsidRDefault="005E1243" w:rsidP="00284A3A">
      <w:pPr>
        <w:jc w:val="center"/>
        <w:rPr>
          <w:b/>
          <w:sz w:val="28"/>
        </w:rPr>
      </w:pPr>
      <w:r w:rsidRPr="00B5002B">
        <w:rPr>
          <w:b/>
          <w:sz w:val="28"/>
        </w:rPr>
        <w:lastRenderedPageBreak/>
        <w:t>PECO ENERGY COMPANY</w:t>
      </w:r>
    </w:p>
    <w:p w:rsidR="005E1243" w:rsidRPr="00B5002B" w:rsidRDefault="005E1243" w:rsidP="008A1D20">
      <w:pPr>
        <w:rPr>
          <w:sz w:val="20"/>
          <w:szCs w:val="20"/>
        </w:rPr>
      </w:pPr>
    </w:p>
    <w:p w:rsidR="005E1243" w:rsidRPr="00B5002B" w:rsidRDefault="005E1243" w:rsidP="008A1D20">
      <w:pPr>
        <w:jc w:val="center"/>
        <w:rPr>
          <w:b/>
          <w:sz w:val="26"/>
          <w:u w:val="single"/>
        </w:rPr>
      </w:pPr>
      <w:r w:rsidRPr="00B5002B">
        <w:rPr>
          <w:b/>
          <w:sz w:val="26"/>
          <w:u w:val="single"/>
        </w:rPr>
        <w:t>Background</w:t>
      </w:r>
    </w:p>
    <w:p w:rsidR="005E1243" w:rsidRPr="00B5002B" w:rsidRDefault="005E1243" w:rsidP="008A1D20">
      <w:pPr>
        <w:rPr>
          <w:sz w:val="18"/>
          <w:szCs w:val="18"/>
        </w:rPr>
      </w:pPr>
    </w:p>
    <w:p w:rsidR="005E1243" w:rsidRPr="00B5002B" w:rsidRDefault="005E1243" w:rsidP="008A1D20">
      <w:pPr>
        <w:rPr>
          <w:sz w:val="18"/>
          <w:szCs w:val="18"/>
        </w:rPr>
      </w:pPr>
    </w:p>
    <w:p w:rsidR="005E1243" w:rsidRPr="00B5002B" w:rsidRDefault="005E1243" w:rsidP="008A1D20">
      <w:pPr>
        <w:ind w:firstLine="720"/>
        <w:rPr>
          <w:sz w:val="26"/>
        </w:rPr>
      </w:pPr>
      <w:r w:rsidRPr="00B5002B">
        <w:rPr>
          <w:sz w:val="26"/>
        </w:rPr>
        <w:t>The Public Utility Commission (Commission) has a long history of involvement with universal service and energy conservation programs that help utility consumers obtain and keep utility service and conserve energy.  PECO Energy Company’s (PECO or Company) Universal Service programs are designed for low-income, residential customers who demonstrate or express difficulty in paying their monthly energy bills.</w:t>
      </w:r>
    </w:p>
    <w:p w:rsidR="005E1243" w:rsidRPr="00B5002B" w:rsidRDefault="005E1243" w:rsidP="008A1D20">
      <w:pPr>
        <w:rPr>
          <w:sz w:val="18"/>
          <w:szCs w:val="18"/>
        </w:rPr>
      </w:pPr>
    </w:p>
    <w:p w:rsidR="005E1243" w:rsidRPr="00B5002B" w:rsidRDefault="005E1243" w:rsidP="008A1D20">
      <w:pPr>
        <w:ind w:firstLine="720"/>
        <w:rPr>
          <w:sz w:val="26"/>
        </w:rPr>
      </w:pPr>
      <w:r w:rsidRPr="00B5002B">
        <w:rPr>
          <w:sz w:val="26"/>
        </w:rPr>
        <w:t>One of PECO’s Universal Service programs is the Customer Assistance Program (CAP or Program).  The income eligibility for the Program is set at 150% of the Federal poverty income guidelines.  To be considered payment</w:t>
      </w:r>
      <w:r>
        <w:rPr>
          <w:sz w:val="26"/>
        </w:rPr>
        <w:t xml:space="preserve"> </w:t>
      </w:r>
      <w:r w:rsidRPr="00B5002B">
        <w:rPr>
          <w:sz w:val="26"/>
        </w:rPr>
        <w:t>troubled, a customer must have made late, insufficient or no payments toward the</w:t>
      </w:r>
      <w:r>
        <w:rPr>
          <w:sz w:val="26"/>
        </w:rPr>
        <w:t>ir</w:t>
      </w:r>
      <w:r w:rsidRPr="00B5002B">
        <w:rPr>
          <w:sz w:val="26"/>
        </w:rPr>
        <w:t xml:space="preserve"> bill; been consistently in arrears; or broken two or more payment plan agreements.  Eligible Program customers are billed for service under a CAP Rate, a discounted residential tariff rate.</w:t>
      </w:r>
    </w:p>
    <w:p w:rsidR="005E1243" w:rsidRPr="00B5002B" w:rsidRDefault="005E1243" w:rsidP="008A1D20">
      <w:pPr>
        <w:rPr>
          <w:sz w:val="18"/>
          <w:szCs w:val="18"/>
        </w:rPr>
      </w:pPr>
    </w:p>
    <w:p w:rsidR="005E1243" w:rsidRPr="00B5002B" w:rsidRDefault="005E1243" w:rsidP="008A1D20">
      <w:pPr>
        <w:ind w:firstLine="720"/>
        <w:rPr>
          <w:sz w:val="26"/>
        </w:rPr>
      </w:pPr>
      <w:r w:rsidRPr="00B5002B">
        <w:rPr>
          <w:sz w:val="26"/>
        </w:rPr>
        <w:t>To be considered for the CAP Rate, the customer is required to complete an application process.  The customer must grant PECO permission to contact State agencies to verify reported income, and agree to participate in various energy education and conservation programs facilitated by the Company.  PECO has a dedicated Universal Service call center to handle customer inquiries for the purpose of determining income eligibility, processing applications, making referrals, disseminating information and processing payment agreements.</w:t>
      </w:r>
    </w:p>
    <w:p w:rsidR="005E1243" w:rsidRPr="00B5002B" w:rsidRDefault="005E1243" w:rsidP="008A1D20">
      <w:pPr>
        <w:rPr>
          <w:sz w:val="18"/>
          <w:szCs w:val="18"/>
        </w:rPr>
      </w:pPr>
    </w:p>
    <w:p w:rsidR="005E1243" w:rsidRPr="00B5002B" w:rsidRDefault="005E1243" w:rsidP="008A1D20">
      <w:pPr>
        <w:ind w:firstLine="720"/>
        <w:rPr>
          <w:sz w:val="26"/>
        </w:rPr>
      </w:pPr>
      <w:r w:rsidRPr="00B5002B">
        <w:rPr>
          <w:sz w:val="26"/>
        </w:rPr>
        <w:t xml:space="preserve">On </w:t>
      </w:r>
      <w:smartTag w:uri="urn:schemas-microsoft-com:office:smarttags" w:element="date">
        <w:smartTagPr>
          <w:attr w:name="Month" w:val="12"/>
          <w:attr w:name="Day" w:val="3"/>
          <w:attr w:name="Year" w:val="1996"/>
        </w:smartTagPr>
        <w:r w:rsidRPr="00B5002B">
          <w:rPr>
            <w:sz w:val="26"/>
          </w:rPr>
          <w:t>December 3, 1996</w:t>
        </w:r>
      </w:smartTag>
      <w:r w:rsidRPr="00B5002B">
        <w:rPr>
          <w:sz w:val="26"/>
        </w:rPr>
        <w:t>, the Electricity Generation Customer Choice and Competition Act (Act) was enacted.  While opening up the electric generation market to competition, the Act also requires the Commission to ensure that universal service and energy conservation programs are appropriately funded and available in each service territory of the utility companies covered by the Act.</w:t>
      </w:r>
    </w:p>
    <w:p w:rsidR="005E1243" w:rsidRPr="00B5002B" w:rsidRDefault="005E1243" w:rsidP="008A1D20">
      <w:pPr>
        <w:rPr>
          <w:sz w:val="18"/>
          <w:szCs w:val="18"/>
        </w:rPr>
      </w:pPr>
    </w:p>
    <w:p w:rsidR="005E1243" w:rsidRDefault="005E1243" w:rsidP="008A1D20">
      <w:pPr>
        <w:ind w:firstLine="720"/>
        <w:rPr>
          <w:sz w:val="26"/>
        </w:rPr>
      </w:pPr>
      <w:r w:rsidRPr="00B5002B">
        <w:rPr>
          <w:sz w:val="26"/>
        </w:rPr>
        <w:t xml:space="preserve">By Order entered July 17, 2003 at Docket No. R-00038535, the Commission approved, effective August 5, 2003, a Tariff Supplement submitted by PECO to establish a </w:t>
      </w:r>
      <w:r w:rsidR="00304C62">
        <w:rPr>
          <w:sz w:val="26"/>
        </w:rPr>
        <w:t xml:space="preserve">Electric </w:t>
      </w:r>
      <w:r w:rsidRPr="00B5002B">
        <w:rPr>
          <w:sz w:val="26"/>
        </w:rPr>
        <w:t xml:space="preserve">Universal Service Fund Charge (USFC) for recovery of the universal service fund costs associated with operation of its Program.  The Supplement was filed to place into effect the </w:t>
      </w:r>
      <w:r w:rsidR="00304C62">
        <w:rPr>
          <w:sz w:val="26"/>
        </w:rPr>
        <w:t xml:space="preserve">Electric </w:t>
      </w:r>
      <w:r w:rsidRPr="00B5002B">
        <w:rPr>
          <w:sz w:val="26"/>
        </w:rPr>
        <w:t xml:space="preserve">USFC provisions of the Joint Petition for Full Settlement of PECO’s Restructuring Proceeding (R-00973953) under the Act, as modified by the PECO-Unicom Merger Settlement (A-110550F0147).  </w:t>
      </w:r>
      <w:r w:rsidRPr="0009687D">
        <w:rPr>
          <w:sz w:val="26"/>
        </w:rPr>
        <w:t>The</w:t>
      </w:r>
      <w:r w:rsidR="00304C62">
        <w:rPr>
          <w:sz w:val="26"/>
        </w:rPr>
        <w:t xml:space="preserve"> Electric</w:t>
      </w:r>
      <w:r w:rsidRPr="0009687D">
        <w:rPr>
          <w:sz w:val="26"/>
        </w:rPr>
        <w:t xml:space="preserve"> USFC is designed to recover $383 per year for every CAP Rate customer over and above 90,000 such customers.</w:t>
      </w:r>
      <w:r w:rsidRPr="00B5002B">
        <w:rPr>
          <w:sz w:val="26"/>
        </w:rPr>
        <w:t xml:space="preserve">  Included in the</w:t>
      </w:r>
      <w:r w:rsidR="00304C62">
        <w:rPr>
          <w:sz w:val="26"/>
        </w:rPr>
        <w:t xml:space="preserve"> Electric</w:t>
      </w:r>
      <w:r w:rsidRPr="00B5002B">
        <w:rPr>
          <w:sz w:val="26"/>
        </w:rPr>
        <w:t xml:space="preserve"> USFC mechanism is a Title 66 (Public Utility Code) §1307(e) reconciliation provision to ensure dollar for dollar recovery of the eligible CAP costs.</w:t>
      </w:r>
    </w:p>
    <w:p w:rsidR="005E1243" w:rsidRDefault="005E1243" w:rsidP="008A1D20">
      <w:pPr>
        <w:ind w:firstLine="720"/>
        <w:rPr>
          <w:b/>
          <w:sz w:val="28"/>
          <w:szCs w:val="28"/>
        </w:rPr>
        <w:sectPr w:rsidR="005E1243" w:rsidSect="002C45A2">
          <w:headerReference w:type="even" r:id="rId35"/>
          <w:headerReference w:type="default" r:id="rId36"/>
          <w:footerReference w:type="default" r:id="rId37"/>
          <w:headerReference w:type="first" r:id="rId38"/>
          <w:pgSz w:w="12240" w:h="15840"/>
          <w:pgMar w:top="1440" w:right="1440" w:bottom="1152" w:left="1440" w:header="720" w:footer="720" w:gutter="0"/>
          <w:pgNumType w:start="1"/>
          <w:cols w:space="720"/>
          <w:docGrid w:linePitch="360"/>
        </w:sectPr>
      </w:pPr>
    </w:p>
    <w:p w:rsidR="005E1243" w:rsidRPr="00AA163D" w:rsidRDefault="005E1243" w:rsidP="00304C62">
      <w:pPr>
        <w:jc w:val="center"/>
        <w:rPr>
          <w:b/>
          <w:sz w:val="28"/>
          <w:szCs w:val="28"/>
        </w:rPr>
      </w:pPr>
      <w:r w:rsidRPr="00AA163D">
        <w:rPr>
          <w:b/>
          <w:sz w:val="28"/>
          <w:szCs w:val="28"/>
        </w:rPr>
        <w:lastRenderedPageBreak/>
        <w:t xml:space="preserve">PECO </w:t>
      </w:r>
      <w:r>
        <w:rPr>
          <w:b/>
          <w:sz w:val="28"/>
          <w:szCs w:val="28"/>
        </w:rPr>
        <w:t>ENERGY COMPANY</w:t>
      </w:r>
    </w:p>
    <w:p w:rsidR="005E1243" w:rsidRDefault="005E1243">
      <w:pPr>
        <w:rPr>
          <w:b/>
          <w:sz w:val="26"/>
          <w:szCs w:val="26"/>
          <w:u w:val="single"/>
        </w:rPr>
      </w:pPr>
    </w:p>
    <w:p w:rsidR="005E1243" w:rsidRDefault="005E1243" w:rsidP="00AA163D">
      <w:pPr>
        <w:jc w:val="center"/>
        <w:rPr>
          <w:b/>
          <w:sz w:val="26"/>
          <w:szCs w:val="26"/>
          <w:u w:val="single"/>
        </w:rPr>
      </w:pPr>
      <w:r>
        <w:rPr>
          <w:b/>
          <w:sz w:val="26"/>
          <w:szCs w:val="26"/>
          <w:u w:val="single"/>
        </w:rPr>
        <w:t>Disposition Of Prior Year’s Findings</w:t>
      </w:r>
    </w:p>
    <w:p w:rsidR="005E1243" w:rsidRDefault="005E1243" w:rsidP="00AA163D">
      <w:pPr>
        <w:rPr>
          <w:b/>
          <w:sz w:val="26"/>
          <w:szCs w:val="26"/>
          <w:u w:val="single"/>
        </w:rPr>
      </w:pPr>
    </w:p>
    <w:p w:rsidR="005E1243" w:rsidRPr="00F001AC" w:rsidRDefault="005E1243">
      <w:pPr>
        <w:rPr>
          <w:b/>
          <w:sz w:val="26"/>
          <w:szCs w:val="26"/>
          <w:u w:val="single"/>
        </w:rPr>
      </w:pPr>
    </w:p>
    <w:p w:rsidR="005E1243" w:rsidRPr="00AA163D" w:rsidRDefault="005E1243" w:rsidP="00304C62">
      <w:pPr>
        <w:tabs>
          <w:tab w:val="left" w:pos="1800"/>
        </w:tabs>
        <w:ind w:left="1800" w:hanging="1800"/>
        <w:rPr>
          <w:b/>
          <w:sz w:val="26"/>
          <w:szCs w:val="26"/>
          <w:u w:val="single"/>
        </w:rPr>
      </w:pPr>
      <w:r w:rsidRPr="00AA163D">
        <w:rPr>
          <w:b/>
          <w:sz w:val="26"/>
          <w:szCs w:val="26"/>
          <w:u w:val="single"/>
        </w:rPr>
        <w:t xml:space="preserve">Finding No. 1 – PECO’s Initial </w:t>
      </w:r>
      <w:r w:rsidR="00304C62">
        <w:rPr>
          <w:b/>
          <w:sz w:val="26"/>
          <w:szCs w:val="26"/>
          <w:u w:val="single"/>
        </w:rPr>
        <w:t xml:space="preserve">Electric </w:t>
      </w:r>
      <w:r w:rsidRPr="00AA163D">
        <w:rPr>
          <w:b/>
          <w:sz w:val="26"/>
          <w:szCs w:val="26"/>
          <w:u w:val="single"/>
        </w:rPr>
        <w:t xml:space="preserve">Universal Service Fund Charge </w:t>
      </w:r>
      <w:r>
        <w:rPr>
          <w:b/>
          <w:sz w:val="26"/>
          <w:szCs w:val="26"/>
          <w:u w:val="single"/>
        </w:rPr>
        <w:t xml:space="preserve">Filing Submitted On </w:t>
      </w:r>
      <w:r w:rsidRPr="00AA163D">
        <w:rPr>
          <w:b/>
          <w:sz w:val="26"/>
          <w:szCs w:val="26"/>
          <w:u w:val="single"/>
        </w:rPr>
        <w:t>October 15,</w:t>
      </w:r>
      <w:r>
        <w:rPr>
          <w:b/>
          <w:sz w:val="26"/>
          <w:szCs w:val="26"/>
          <w:u w:val="single"/>
        </w:rPr>
        <w:t xml:space="preserve"> 2003 At M-FACE0310 Included Customers That Did Not Qualify For The CAP Program.</w:t>
      </w:r>
    </w:p>
    <w:p w:rsidR="005E1243" w:rsidRDefault="005E1243">
      <w:pPr>
        <w:rPr>
          <w:b/>
          <w:sz w:val="26"/>
          <w:szCs w:val="26"/>
          <w:u w:val="single"/>
        </w:rPr>
      </w:pPr>
    </w:p>
    <w:p w:rsidR="005E1243" w:rsidRPr="00AA163D" w:rsidRDefault="005E1243" w:rsidP="001E011A">
      <w:pPr>
        <w:pStyle w:val="BodyText"/>
        <w:rPr>
          <w:b/>
          <w:sz w:val="26"/>
          <w:szCs w:val="26"/>
          <w:u w:val="single"/>
        </w:rPr>
      </w:pPr>
      <w:r>
        <w:rPr>
          <w:b/>
          <w:sz w:val="26"/>
          <w:szCs w:val="26"/>
          <w:u w:val="single"/>
        </w:rPr>
        <w:t>Recommendation:</w:t>
      </w:r>
    </w:p>
    <w:p w:rsidR="005E1243" w:rsidRPr="00AA163D" w:rsidRDefault="005E1243" w:rsidP="001E011A">
      <w:pPr>
        <w:pStyle w:val="BodyText"/>
        <w:rPr>
          <w:sz w:val="26"/>
          <w:szCs w:val="26"/>
        </w:rPr>
      </w:pPr>
    </w:p>
    <w:p w:rsidR="005E1243" w:rsidRPr="00AA163D" w:rsidRDefault="005E1243" w:rsidP="001E011A">
      <w:pPr>
        <w:pStyle w:val="BodyText"/>
        <w:ind w:firstLine="720"/>
        <w:rPr>
          <w:b/>
          <w:sz w:val="26"/>
          <w:szCs w:val="26"/>
          <w:u w:val="single"/>
        </w:rPr>
      </w:pPr>
      <w:r w:rsidRPr="00AA163D">
        <w:rPr>
          <w:sz w:val="26"/>
          <w:szCs w:val="26"/>
        </w:rPr>
        <w:t>We recommend</w:t>
      </w:r>
      <w:r>
        <w:rPr>
          <w:sz w:val="26"/>
          <w:szCs w:val="26"/>
        </w:rPr>
        <w:t>ed</w:t>
      </w:r>
      <w:r w:rsidRPr="00AA163D">
        <w:rPr>
          <w:sz w:val="26"/>
          <w:szCs w:val="26"/>
        </w:rPr>
        <w:t xml:space="preserve"> that the Company </w:t>
      </w:r>
      <w:r>
        <w:rPr>
          <w:sz w:val="26"/>
          <w:szCs w:val="26"/>
        </w:rPr>
        <w:t xml:space="preserve">continue to </w:t>
      </w:r>
      <w:r w:rsidRPr="00AA163D">
        <w:rPr>
          <w:sz w:val="26"/>
          <w:szCs w:val="26"/>
        </w:rPr>
        <w:t xml:space="preserve">strengthen its internal controls </w:t>
      </w:r>
      <w:r>
        <w:rPr>
          <w:sz w:val="26"/>
          <w:szCs w:val="26"/>
        </w:rPr>
        <w:t xml:space="preserve">over the Customer Assistance Program and its oversight of the contractor providing call center services.  </w:t>
      </w:r>
    </w:p>
    <w:p w:rsidR="005E1243" w:rsidRDefault="005E1243">
      <w:pPr>
        <w:rPr>
          <w:b/>
          <w:sz w:val="26"/>
          <w:szCs w:val="26"/>
          <w:u w:val="single"/>
        </w:rPr>
      </w:pPr>
    </w:p>
    <w:p w:rsidR="005E1243" w:rsidRPr="005825C1" w:rsidRDefault="005E1243" w:rsidP="003D40F9">
      <w:pPr>
        <w:tabs>
          <w:tab w:val="left" w:pos="4500"/>
          <w:tab w:val="center" w:pos="4680"/>
        </w:tabs>
        <w:suppressAutoHyphens/>
        <w:outlineLvl w:val="0"/>
        <w:rPr>
          <w:b/>
          <w:sz w:val="26"/>
          <w:szCs w:val="26"/>
          <w:u w:val="single"/>
        </w:rPr>
      </w:pPr>
      <w:r w:rsidRPr="005825C1">
        <w:rPr>
          <w:b/>
          <w:sz w:val="26"/>
          <w:szCs w:val="26"/>
          <w:u w:val="single"/>
        </w:rPr>
        <w:t>Disposition:</w:t>
      </w:r>
    </w:p>
    <w:p w:rsidR="005E1243" w:rsidRPr="00AA163D" w:rsidRDefault="005E1243">
      <w:pPr>
        <w:rPr>
          <w:b/>
          <w:sz w:val="26"/>
          <w:szCs w:val="26"/>
          <w:u w:val="single"/>
        </w:rPr>
      </w:pPr>
    </w:p>
    <w:p w:rsidR="005E1243" w:rsidRDefault="005E1243" w:rsidP="00A80336">
      <w:pPr>
        <w:pStyle w:val="BodyText"/>
        <w:ind w:firstLine="720"/>
        <w:rPr>
          <w:sz w:val="26"/>
          <w:szCs w:val="26"/>
        </w:rPr>
      </w:pPr>
      <w:r w:rsidRPr="00A80336">
        <w:rPr>
          <w:sz w:val="26"/>
          <w:szCs w:val="26"/>
        </w:rPr>
        <w:t xml:space="preserve">PECO adjusted its recoverable CAP costs for the inappropriately-enrolled CAP customers in its </w:t>
      </w:r>
      <w:r w:rsidR="00304C62">
        <w:rPr>
          <w:sz w:val="26"/>
          <w:szCs w:val="26"/>
        </w:rPr>
        <w:t xml:space="preserve">Electric </w:t>
      </w:r>
      <w:r w:rsidRPr="00A80336">
        <w:rPr>
          <w:sz w:val="26"/>
          <w:szCs w:val="26"/>
        </w:rPr>
        <w:t>USFC filing submitted on October 14, 2004 at M-FACE0410.  The Company also implemented controls and oversight to ensure that NCO</w:t>
      </w:r>
      <w:r w:rsidR="003E297E">
        <w:rPr>
          <w:sz w:val="26"/>
          <w:szCs w:val="26"/>
        </w:rPr>
        <w:t xml:space="preserve"> Group, Inc. (NCO),</w:t>
      </w:r>
      <w:r w:rsidRPr="00A80336">
        <w:rPr>
          <w:sz w:val="26"/>
          <w:szCs w:val="26"/>
        </w:rPr>
        <w:t xml:space="preserve"> the outside vendor that initially screens applicants, properly performs its work.</w:t>
      </w:r>
      <w:r>
        <w:rPr>
          <w:sz w:val="26"/>
          <w:szCs w:val="26"/>
        </w:rPr>
        <w:t xml:space="preserve"> </w:t>
      </w:r>
      <w:r w:rsidRPr="00A80336">
        <w:rPr>
          <w:sz w:val="26"/>
          <w:szCs w:val="26"/>
        </w:rPr>
        <w:t xml:space="preserve"> O</w:t>
      </w:r>
      <w:r>
        <w:rPr>
          <w:sz w:val="26"/>
          <w:szCs w:val="26"/>
        </w:rPr>
        <w:t>nly employees approved by the Credit Department Manager are able to place a customer on the CAP Rate.</w:t>
      </w:r>
      <w:r w:rsidRPr="00A80336">
        <w:rPr>
          <w:sz w:val="26"/>
          <w:szCs w:val="26"/>
        </w:rPr>
        <w:t xml:space="preserve"> </w:t>
      </w:r>
      <w:r w:rsidR="00F40722">
        <w:rPr>
          <w:sz w:val="26"/>
          <w:szCs w:val="26"/>
        </w:rPr>
        <w:t xml:space="preserve"> </w:t>
      </w:r>
      <w:r>
        <w:rPr>
          <w:sz w:val="26"/>
          <w:szCs w:val="26"/>
        </w:rPr>
        <w:t xml:space="preserve">NCO is no longer authorized to enroll a PECO customer into the CAP Program. </w:t>
      </w:r>
      <w:r w:rsidR="00F65EEB">
        <w:rPr>
          <w:sz w:val="26"/>
          <w:szCs w:val="26"/>
        </w:rPr>
        <w:t xml:space="preserve"> </w:t>
      </w:r>
      <w:r>
        <w:rPr>
          <w:sz w:val="26"/>
          <w:szCs w:val="26"/>
        </w:rPr>
        <w:t>Customers requesting enrollment are sent an application by the NCO call taker.  The application forms, however, are now returned to and processed by a group completely separate from the call takers.</w:t>
      </w:r>
    </w:p>
    <w:p w:rsidR="005E1243" w:rsidRDefault="005E1243" w:rsidP="00EA7047">
      <w:pPr>
        <w:pStyle w:val="BodyText"/>
      </w:pPr>
    </w:p>
    <w:p w:rsidR="005E1243" w:rsidRDefault="005E1243" w:rsidP="00EA7047">
      <w:pPr>
        <w:pStyle w:val="BodyText"/>
        <w:sectPr w:rsidR="005E1243" w:rsidSect="002C45A2">
          <w:headerReference w:type="even" r:id="rId39"/>
          <w:headerReference w:type="default" r:id="rId40"/>
          <w:footerReference w:type="default" r:id="rId41"/>
          <w:headerReference w:type="first" r:id="rId42"/>
          <w:pgSz w:w="12240" w:h="15840"/>
          <w:pgMar w:top="1440" w:right="1440" w:bottom="1152" w:left="1440" w:header="720" w:footer="720" w:gutter="0"/>
          <w:pgNumType w:start="1"/>
          <w:cols w:space="720"/>
          <w:docGrid w:linePitch="360"/>
        </w:sectPr>
      </w:pPr>
      <w:r>
        <w:tab/>
        <w:t xml:space="preserve"> </w:t>
      </w:r>
    </w:p>
    <w:p w:rsidR="005E1243" w:rsidRPr="00AA163D" w:rsidRDefault="005E1243" w:rsidP="00AA163D">
      <w:pPr>
        <w:jc w:val="center"/>
        <w:rPr>
          <w:b/>
          <w:sz w:val="28"/>
          <w:szCs w:val="28"/>
        </w:rPr>
      </w:pPr>
      <w:r w:rsidRPr="00AA163D">
        <w:rPr>
          <w:b/>
          <w:sz w:val="28"/>
          <w:szCs w:val="28"/>
        </w:rPr>
        <w:lastRenderedPageBreak/>
        <w:t xml:space="preserve">PECO </w:t>
      </w:r>
      <w:r>
        <w:rPr>
          <w:b/>
          <w:sz w:val="28"/>
          <w:szCs w:val="28"/>
        </w:rPr>
        <w:t>ENERGY COMPANY</w:t>
      </w:r>
    </w:p>
    <w:p w:rsidR="005E1243" w:rsidRDefault="005E1243" w:rsidP="00AA163D">
      <w:pPr>
        <w:rPr>
          <w:b/>
          <w:sz w:val="26"/>
          <w:szCs w:val="26"/>
          <w:u w:val="single"/>
        </w:rPr>
      </w:pPr>
    </w:p>
    <w:p w:rsidR="005E1243" w:rsidRDefault="005E1243" w:rsidP="00AA163D">
      <w:pPr>
        <w:jc w:val="center"/>
        <w:rPr>
          <w:b/>
          <w:sz w:val="26"/>
          <w:szCs w:val="26"/>
          <w:u w:val="single"/>
        </w:rPr>
      </w:pPr>
      <w:r>
        <w:rPr>
          <w:b/>
          <w:sz w:val="26"/>
          <w:szCs w:val="26"/>
          <w:u w:val="single"/>
        </w:rPr>
        <w:t>Disposition Of Prior Year’s Findings (continued)</w:t>
      </w:r>
    </w:p>
    <w:p w:rsidR="005E1243" w:rsidRPr="00AA163D" w:rsidRDefault="005E1243">
      <w:pPr>
        <w:rPr>
          <w:b/>
          <w:sz w:val="26"/>
          <w:szCs w:val="26"/>
          <w:u w:val="single"/>
        </w:rPr>
      </w:pPr>
    </w:p>
    <w:p w:rsidR="005E1243" w:rsidRPr="00AA163D" w:rsidRDefault="005E1243">
      <w:pPr>
        <w:rPr>
          <w:b/>
          <w:sz w:val="26"/>
          <w:szCs w:val="26"/>
          <w:u w:val="single"/>
        </w:rPr>
      </w:pPr>
    </w:p>
    <w:p w:rsidR="005E1243" w:rsidRDefault="005E1243" w:rsidP="00AA163D">
      <w:pPr>
        <w:pStyle w:val="Heading1"/>
        <w:tabs>
          <w:tab w:val="left" w:pos="1800"/>
        </w:tabs>
        <w:rPr>
          <w:sz w:val="26"/>
          <w:szCs w:val="26"/>
        </w:rPr>
      </w:pPr>
      <w:r w:rsidRPr="00AA163D">
        <w:rPr>
          <w:sz w:val="26"/>
          <w:szCs w:val="26"/>
        </w:rPr>
        <w:t xml:space="preserve">Finding No. 2 – </w:t>
      </w:r>
      <w:r>
        <w:rPr>
          <w:sz w:val="26"/>
          <w:szCs w:val="26"/>
        </w:rPr>
        <w:t>The Company’s Re</w:t>
      </w:r>
      <w:r w:rsidRPr="00AA163D">
        <w:rPr>
          <w:sz w:val="26"/>
          <w:szCs w:val="26"/>
        </w:rPr>
        <w:t xml:space="preserve">certification </w:t>
      </w:r>
      <w:r w:rsidRPr="009B76D4">
        <w:rPr>
          <w:sz w:val="26"/>
          <w:szCs w:val="26"/>
        </w:rPr>
        <w:t>P</w:t>
      </w:r>
      <w:r w:rsidRPr="00AA163D">
        <w:rPr>
          <w:sz w:val="26"/>
          <w:szCs w:val="26"/>
        </w:rPr>
        <w:t xml:space="preserve">rocedures </w:t>
      </w:r>
      <w:r>
        <w:rPr>
          <w:sz w:val="26"/>
          <w:szCs w:val="26"/>
        </w:rPr>
        <w:t>For The Universal</w:t>
      </w:r>
    </w:p>
    <w:p w:rsidR="005E1243" w:rsidRPr="00AA163D" w:rsidRDefault="005E1243" w:rsidP="00AA163D">
      <w:pPr>
        <w:pStyle w:val="Heading1"/>
        <w:tabs>
          <w:tab w:val="left" w:pos="1800"/>
        </w:tabs>
        <w:rPr>
          <w:sz w:val="26"/>
          <w:szCs w:val="26"/>
        </w:rPr>
      </w:pPr>
      <w:r>
        <w:rPr>
          <w:sz w:val="26"/>
          <w:szCs w:val="26"/>
          <w:u w:val="none"/>
        </w:rPr>
        <w:tab/>
      </w:r>
      <w:r>
        <w:rPr>
          <w:sz w:val="26"/>
          <w:szCs w:val="26"/>
        </w:rPr>
        <w:t>Service Plan N</w:t>
      </w:r>
      <w:r w:rsidRPr="00AA163D">
        <w:rPr>
          <w:sz w:val="26"/>
          <w:szCs w:val="26"/>
        </w:rPr>
        <w:t xml:space="preserve">eed </w:t>
      </w:r>
      <w:r>
        <w:rPr>
          <w:sz w:val="26"/>
          <w:szCs w:val="26"/>
        </w:rPr>
        <w:t>I</w:t>
      </w:r>
      <w:r w:rsidRPr="00AA163D">
        <w:rPr>
          <w:sz w:val="26"/>
          <w:szCs w:val="26"/>
        </w:rPr>
        <w:t>mprovement.</w:t>
      </w:r>
    </w:p>
    <w:p w:rsidR="005E1243" w:rsidRPr="00AA163D" w:rsidRDefault="005E1243">
      <w:pPr>
        <w:pStyle w:val="Heading1"/>
        <w:rPr>
          <w:b w:val="0"/>
          <w:sz w:val="26"/>
          <w:szCs w:val="26"/>
          <w:u w:val="none"/>
        </w:rPr>
      </w:pPr>
    </w:p>
    <w:p w:rsidR="005E1243" w:rsidRPr="00AA163D" w:rsidRDefault="005E1243" w:rsidP="003D2431">
      <w:pPr>
        <w:rPr>
          <w:sz w:val="26"/>
          <w:szCs w:val="26"/>
        </w:rPr>
      </w:pPr>
      <w:r w:rsidRPr="00AA163D">
        <w:rPr>
          <w:b/>
          <w:sz w:val="26"/>
          <w:szCs w:val="26"/>
          <w:u w:val="single"/>
        </w:rPr>
        <w:t>Recommendation:</w:t>
      </w:r>
    </w:p>
    <w:p w:rsidR="005E1243" w:rsidRPr="00AA163D" w:rsidRDefault="005E1243" w:rsidP="003D2431">
      <w:pPr>
        <w:rPr>
          <w:sz w:val="26"/>
          <w:szCs w:val="26"/>
        </w:rPr>
      </w:pPr>
    </w:p>
    <w:p w:rsidR="005E1243" w:rsidRDefault="005E1243" w:rsidP="003D2431">
      <w:pPr>
        <w:rPr>
          <w:sz w:val="26"/>
          <w:szCs w:val="26"/>
        </w:rPr>
      </w:pPr>
      <w:r>
        <w:rPr>
          <w:sz w:val="26"/>
          <w:szCs w:val="26"/>
        </w:rPr>
        <w:tab/>
      </w:r>
      <w:r w:rsidRPr="00AA163D">
        <w:rPr>
          <w:sz w:val="26"/>
          <w:szCs w:val="26"/>
        </w:rPr>
        <w:t>We recommend</w:t>
      </w:r>
      <w:r>
        <w:rPr>
          <w:sz w:val="26"/>
          <w:szCs w:val="26"/>
        </w:rPr>
        <w:t>ed</w:t>
      </w:r>
      <w:r w:rsidRPr="00AA163D">
        <w:rPr>
          <w:sz w:val="26"/>
          <w:szCs w:val="26"/>
        </w:rPr>
        <w:t xml:space="preserve"> that</w:t>
      </w:r>
      <w:r>
        <w:rPr>
          <w:sz w:val="26"/>
          <w:szCs w:val="26"/>
        </w:rPr>
        <w:t xml:space="preserve"> PECO, within thirty days of the issuance of the prior audit report,</w:t>
      </w:r>
      <w:r w:rsidRPr="00AA163D">
        <w:rPr>
          <w:sz w:val="26"/>
          <w:szCs w:val="26"/>
        </w:rPr>
        <w:t xml:space="preserve"> </w:t>
      </w:r>
      <w:r>
        <w:rPr>
          <w:sz w:val="26"/>
          <w:szCs w:val="26"/>
        </w:rPr>
        <w:t>adopt a Customer Assistance Program (CAP) policy which requires the establishment of a deadline for providing recertification information relative to CAP customer eligibility.  Failure by a customer to provide the necessary recertification information by the deadline date would result in his or her removal from the CAP Rate until that information is received and processed</w:t>
      </w:r>
      <w:r w:rsidRPr="00AA163D">
        <w:rPr>
          <w:sz w:val="26"/>
          <w:szCs w:val="26"/>
        </w:rPr>
        <w:t>.</w:t>
      </w:r>
    </w:p>
    <w:p w:rsidR="005E1243" w:rsidRPr="004B1814" w:rsidRDefault="005E1243" w:rsidP="009B76D4">
      <w:pPr>
        <w:pStyle w:val="Heading1"/>
        <w:rPr>
          <w:b w:val="0"/>
          <w:sz w:val="26"/>
          <w:szCs w:val="26"/>
          <w:u w:val="none"/>
        </w:rPr>
      </w:pPr>
    </w:p>
    <w:p w:rsidR="005E1243" w:rsidRPr="005825C1" w:rsidRDefault="005E1243" w:rsidP="004E13FD">
      <w:pPr>
        <w:tabs>
          <w:tab w:val="left" w:pos="4500"/>
          <w:tab w:val="center" w:pos="4680"/>
        </w:tabs>
        <w:suppressAutoHyphens/>
        <w:outlineLvl w:val="0"/>
        <w:rPr>
          <w:b/>
          <w:sz w:val="26"/>
          <w:szCs w:val="26"/>
          <w:u w:val="single"/>
        </w:rPr>
      </w:pPr>
      <w:r w:rsidRPr="005825C1">
        <w:rPr>
          <w:b/>
          <w:sz w:val="26"/>
          <w:szCs w:val="26"/>
          <w:u w:val="single"/>
        </w:rPr>
        <w:t>Disposition:</w:t>
      </w:r>
    </w:p>
    <w:p w:rsidR="005E1243" w:rsidRDefault="005E1243" w:rsidP="004E13FD">
      <w:pPr>
        <w:rPr>
          <w:sz w:val="26"/>
          <w:szCs w:val="26"/>
        </w:rPr>
      </w:pPr>
    </w:p>
    <w:p w:rsidR="005E1243" w:rsidRPr="00A80336" w:rsidRDefault="005E1243" w:rsidP="00A80336">
      <w:pPr>
        <w:ind w:firstLine="720"/>
        <w:rPr>
          <w:sz w:val="26"/>
          <w:szCs w:val="26"/>
        </w:rPr>
      </w:pPr>
      <w:r w:rsidRPr="00A80336">
        <w:rPr>
          <w:sz w:val="26"/>
          <w:szCs w:val="26"/>
        </w:rPr>
        <w:t xml:space="preserve">The Company has implemented a 45 day deadline for recertification and accounting procedures to assure that these deadlines are tracked and enforced, wherever possible. </w:t>
      </w:r>
      <w:r>
        <w:rPr>
          <w:sz w:val="26"/>
          <w:szCs w:val="26"/>
        </w:rPr>
        <w:t xml:space="preserve"> </w:t>
      </w:r>
      <w:r w:rsidRPr="00A80336">
        <w:rPr>
          <w:sz w:val="26"/>
          <w:szCs w:val="26"/>
        </w:rPr>
        <w:t xml:space="preserve">The following paragraph briefly describes the audit staff testing to verify that the recertification procedures were being followed. </w:t>
      </w:r>
    </w:p>
    <w:p w:rsidR="005E1243" w:rsidRDefault="005E1243" w:rsidP="004E13FD">
      <w:pPr>
        <w:ind w:firstLine="720"/>
        <w:rPr>
          <w:sz w:val="26"/>
          <w:szCs w:val="26"/>
        </w:rPr>
      </w:pPr>
    </w:p>
    <w:p w:rsidR="005E1243" w:rsidRPr="00073EF7" w:rsidRDefault="005E1243" w:rsidP="004E13FD">
      <w:pPr>
        <w:ind w:firstLine="720"/>
        <w:rPr>
          <w:sz w:val="26"/>
          <w:szCs w:val="26"/>
        </w:rPr>
      </w:pPr>
      <w:r>
        <w:rPr>
          <w:sz w:val="26"/>
          <w:szCs w:val="26"/>
        </w:rPr>
        <w:t xml:space="preserve">The audit </w:t>
      </w:r>
      <w:r w:rsidRPr="00073EF7">
        <w:rPr>
          <w:sz w:val="26"/>
          <w:szCs w:val="26"/>
        </w:rPr>
        <w:t>staff reviewed, on a test basis, a tracking report</w:t>
      </w:r>
      <w:r>
        <w:rPr>
          <w:sz w:val="26"/>
          <w:szCs w:val="26"/>
        </w:rPr>
        <w:t xml:space="preserve"> that contained all customers in the process of recertification</w:t>
      </w:r>
      <w:r w:rsidRPr="00073EF7">
        <w:rPr>
          <w:sz w:val="26"/>
          <w:szCs w:val="26"/>
        </w:rPr>
        <w:t xml:space="preserve">. </w:t>
      </w:r>
      <w:r>
        <w:rPr>
          <w:sz w:val="26"/>
          <w:szCs w:val="26"/>
        </w:rPr>
        <w:t xml:space="preserve"> </w:t>
      </w:r>
      <w:r w:rsidRPr="00073EF7">
        <w:rPr>
          <w:sz w:val="26"/>
          <w:szCs w:val="26"/>
        </w:rPr>
        <w:t xml:space="preserve">Generally, customers on the recertification list exceeding the 45 day recertification deadline were removed in a timely manner.  Customers on the list exceeding the 45 day deadline had reasonable explanations, such as the customer had a case before the PUC and could not be removed prior to a ruling, another help program (such as CARES) was handling the account prior to </w:t>
      </w:r>
      <w:r>
        <w:rPr>
          <w:sz w:val="26"/>
          <w:szCs w:val="26"/>
        </w:rPr>
        <w:t xml:space="preserve">a </w:t>
      </w:r>
      <w:r w:rsidRPr="00073EF7">
        <w:rPr>
          <w:sz w:val="26"/>
          <w:szCs w:val="26"/>
        </w:rPr>
        <w:t>disconnection order being processed</w:t>
      </w:r>
      <w:r>
        <w:rPr>
          <w:sz w:val="26"/>
          <w:szCs w:val="26"/>
        </w:rPr>
        <w:t>,</w:t>
      </w:r>
      <w:r w:rsidRPr="00073EF7">
        <w:rPr>
          <w:sz w:val="26"/>
          <w:szCs w:val="26"/>
        </w:rPr>
        <w:t xml:space="preserve"> for examples.  </w:t>
      </w:r>
    </w:p>
    <w:p w:rsidR="005E1243" w:rsidRPr="00073EF7" w:rsidRDefault="005E1243" w:rsidP="00031A16">
      <w:pPr>
        <w:rPr>
          <w:sz w:val="26"/>
          <w:szCs w:val="26"/>
        </w:rPr>
      </w:pPr>
    </w:p>
    <w:p w:rsidR="005E1243" w:rsidRDefault="005E1243">
      <w:pPr>
        <w:rPr>
          <w:sz w:val="26"/>
          <w:szCs w:val="26"/>
        </w:rPr>
        <w:sectPr w:rsidR="005E1243" w:rsidSect="002C45A2">
          <w:headerReference w:type="even" r:id="rId43"/>
          <w:headerReference w:type="default" r:id="rId44"/>
          <w:footerReference w:type="default" r:id="rId45"/>
          <w:headerReference w:type="first" r:id="rId46"/>
          <w:pgSz w:w="12240" w:h="15840"/>
          <w:pgMar w:top="1440" w:right="1440" w:bottom="1152" w:left="1440" w:header="720" w:footer="720" w:gutter="0"/>
          <w:pgNumType w:start="1"/>
          <w:cols w:space="720"/>
          <w:docGrid w:linePitch="360"/>
        </w:sectPr>
      </w:pPr>
    </w:p>
    <w:p w:rsidR="005E1243" w:rsidRDefault="005E1243">
      <w:pPr>
        <w:jc w:val="center"/>
        <w:rPr>
          <w:b/>
          <w:sz w:val="28"/>
          <w:u w:val="single"/>
        </w:rPr>
      </w:pPr>
      <w:r>
        <w:rPr>
          <w:b/>
          <w:sz w:val="28"/>
          <w:u w:val="single"/>
        </w:rPr>
        <w:lastRenderedPageBreak/>
        <w:t>ACKNOWLEDGMENTS</w:t>
      </w:r>
    </w:p>
    <w:p w:rsidR="005E1243" w:rsidRPr="005E37CC" w:rsidRDefault="005E1243">
      <w:pPr>
        <w:rPr>
          <w:sz w:val="26"/>
        </w:rPr>
      </w:pPr>
    </w:p>
    <w:p w:rsidR="005E1243" w:rsidRDefault="005E1243">
      <w:pPr>
        <w:rPr>
          <w:sz w:val="26"/>
        </w:rPr>
      </w:pPr>
    </w:p>
    <w:p w:rsidR="005E1243" w:rsidRDefault="005E1243">
      <w:pPr>
        <w:rPr>
          <w:sz w:val="26"/>
        </w:rPr>
      </w:pPr>
      <w:r>
        <w:rPr>
          <w:sz w:val="26"/>
        </w:rPr>
        <w:tab/>
        <w:t xml:space="preserve">We wish to express our appreciation to the officers and staff of PECO Energy Company for the cooperation and assistance given us during the course of our examination.  This audit was conducted by </w:t>
      </w:r>
      <w:r w:rsidRPr="00073EF7">
        <w:rPr>
          <w:sz w:val="26"/>
        </w:rPr>
        <w:t xml:space="preserve">William </w:t>
      </w:r>
      <w:r>
        <w:rPr>
          <w:sz w:val="26"/>
        </w:rPr>
        <w:t xml:space="preserve">S. </w:t>
      </w:r>
      <w:r w:rsidRPr="00073EF7">
        <w:rPr>
          <w:sz w:val="26"/>
        </w:rPr>
        <w:t>Pierce,</w:t>
      </w:r>
      <w:r>
        <w:rPr>
          <w:sz w:val="26"/>
        </w:rPr>
        <w:t xml:space="preserve"> CPA.</w:t>
      </w:r>
    </w:p>
    <w:p w:rsidR="005E1243" w:rsidRDefault="005E1243">
      <w:pPr>
        <w:rPr>
          <w:sz w:val="26"/>
        </w:rPr>
      </w:pPr>
    </w:p>
    <w:sectPr w:rsidR="005E1243" w:rsidSect="002C45A2">
      <w:headerReference w:type="even" r:id="rId47"/>
      <w:headerReference w:type="default" r:id="rId48"/>
      <w:footerReference w:type="default" r:id="rId49"/>
      <w:headerReference w:type="first" r:id="rId50"/>
      <w:pgSz w:w="12240" w:h="15840"/>
      <w:pgMar w:top="1440" w:right="1440" w:bottom="1152"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952" w:rsidRDefault="00264952">
      <w:r>
        <w:separator/>
      </w:r>
    </w:p>
  </w:endnote>
  <w:endnote w:type="continuationSeparator" w:id="1">
    <w:p w:rsidR="00264952" w:rsidRDefault="002649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43" w:rsidRDefault="005E1243">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43" w:rsidRPr="00CC63A0" w:rsidRDefault="005E1243" w:rsidP="00CC63A0">
    <w:pPr>
      <w:pStyle w:val="Footer"/>
      <w:jc w:val="center"/>
    </w:pPr>
    <w:r>
      <w:t>5</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43" w:rsidRPr="00CC63A0" w:rsidRDefault="005E1243" w:rsidP="00CC63A0">
    <w:pPr>
      <w:pStyle w:val="Footer"/>
      <w:jc w:val="center"/>
    </w:pPr>
    <w:r>
      <w:t>6</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43" w:rsidRPr="00CC63A0" w:rsidRDefault="005E1243" w:rsidP="00CC63A0">
    <w:pPr>
      <w:pStyle w:val="Footer"/>
      <w:jc w:val="center"/>
    </w:pPr>
    <w:r>
      <w:t>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43" w:rsidRDefault="005E12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43" w:rsidRDefault="005E124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43" w:rsidRPr="00CC63A0" w:rsidRDefault="005E1243" w:rsidP="00CC63A0">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43" w:rsidRPr="00CC63A0" w:rsidRDefault="005E1243" w:rsidP="00CC63A0">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43" w:rsidRPr="00F001AC" w:rsidRDefault="005E1243" w:rsidP="00F001AC">
    <w:pPr>
      <w:pStyle w:val="Footer"/>
      <w:jc w:val="center"/>
    </w:pPr>
    <w:r>
      <w:t>2</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43" w:rsidRPr="00CC63A0" w:rsidRDefault="005E1243" w:rsidP="00CC63A0">
    <w:pPr>
      <w:pStyle w:val="Footer"/>
      <w:jc w:val="center"/>
    </w:pPr>
    <w:r>
      <w:t>3</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43" w:rsidRPr="00CC63A0" w:rsidRDefault="005E1243" w:rsidP="00CC63A0">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43" w:rsidRPr="00CC63A0" w:rsidRDefault="005E1243" w:rsidP="00CC63A0">
    <w:pPr>
      <w:pStyle w:val="Footer"/>
      <w:jc w:val="center"/>
    </w:pPr>
    <w: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952" w:rsidRDefault="00264952">
      <w:r>
        <w:separator/>
      </w:r>
    </w:p>
  </w:footnote>
  <w:footnote w:type="continuationSeparator" w:id="1">
    <w:p w:rsidR="00264952" w:rsidRDefault="002649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43" w:rsidRDefault="005E1243">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43" w:rsidRDefault="005E1243">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43" w:rsidRDefault="005E1243">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43" w:rsidRDefault="005E1243">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43" w:rsidRDefault="005E1243">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43" w:rsidRDefault="005E1243">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43" w:rsidRDefault="005E1243">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43" w:rsidRDefault="005E1243">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43" w:rsidRDefault="005E1243">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43" w:rsidRDefault="005E1243">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43" w:rsidRDefault="005E12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43" w:rsidRDefault="005E1243">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43" w:rsidRDefault="005E1243">
    <w:pPr>
      <w:pStyle w:val="Heade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43" w:rsidRDefault="005E1243">
    <w:pPr>
      <w:pStyle w:val="Heade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43" w:rsidRDefault="005E1243">
    <w:pPr>
      <w:pStyle w:val="Heade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43" w:rsidRDefault="005E1243">
    <w:pPr>
      <w:pStyle w:val="Heade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43" w:rsidRDefault="005E1243">
    <w:pPr>
      <w:pStyle w:val="Heade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43" w:rsidRDefault="005E1243">
    <w:pPr>
      <w:pStyle w:val="Heade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43" w:rsidRDefault="005E1243">
    <w:pPr>
      <w:pStyle w:val="Heade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43" w:rsidRDefault="005E1243">
    <w:pPr>
      <w:pStyle w:val="Heade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43" w:rsidRDefault="005E1243">
    <w:pPr>
      <w:pStyle w:val="Heade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43" w:rsidRDefault="005E12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43" w:rsidRDefault="005E1243">
    <w:pPr>
      <w:pStyle w:val="Heade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43" w:rsidRDefault="005E124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43" w:rsidRDefault="005E1243">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43" w:rsidRDefault="005E1243">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43" w:rsidRDefault="005E1243">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43" w:rsidRDefault="005E1243">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43" w:rsidRDefault="005E1243">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43" w:rsidRDefault="005E12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97787"/>
    <w:multiLevelType w:val="hybridMultilevel"/>
    <w:tmpl w:val="831670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4C36020"/>
    <w:multiLevelType w:val="hybridMultilevel"/>
    <w:tmpl w:val="FA4CEA06"/>
    <w:lvl w:ilvl="0" w:tplc="83DAC26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noPunctuationKerning/>
  <w:characterSpacingControl w:val="doNotCompress"/>
  <w:hdrShapeDefaults>
    <o:shapedefaults v:ext="edit" spidmax="15362"/>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2DDF"/>
    <w:rsid w:val="00002DDF"/>
    <w:rsid w:val="0000647F"/>
    <w:rsid w:val="000302FE"/>
    <w:rsid w:val="00031A16"/>
    <w:rsid w:val="000339BC"/>
    <w:rsid w:val="00042DBC"/>
    <w:rsid w:val="00046295"/>
    <w:rsid w:val="00066228"/>
    <w:rsid w:val="00073EF7"/>
    <w:rsid w:val="000824A6"/>
    <w:rsid w:val="0008266F"/>
    <w:rsid w:val="0009212D"/>
    <w:rsid w:val="0009687D"/>
    <w:rsid w:val="000A41D7"/>
    <w:rsid w:val="000A47CC"/>
    <w:rsid w:val="000A6F58"/>
    <w:rsid w:val="000B10D7"/>
    <w:rsid w:val="000B19C0"/>
    <w:rsid w:val="000E4BCE"/>
    <w:rsid w:val="000F3E15"/>
    <w:rsid w:val="001101B0"/>
    <w:rsid w:val="001113C1"/>
    <w:rsid w:val="00122CD4"/>
    <w:rsid w:val="001546C4"/>
    <w:rsid w:val="00156C74"/>
    <w:rsid w:val="0016720C"/>
    <w:rsid w:val="00170807"/>
    <w:rsid w:val="001808CD"/>
    <w:rsid w:val="001A62CB"/>
    <w:rsid w:val="001A7F57"/>
    <w:rsid w:val="001E011A"/>
    <w:rsid w:val="001E2600"/>
    <w:rsid w:val="001E780C"/>
    <w:rsid w:val="00264952"/>
    <w:rsid w:val="002807E0"/>
    <w:rsid w:val="00284A3A"/>
    <w:rsid w:val="002851F7"/>
    <w:rsid w:val="002C1B45"/>
    <w:rsid w:val="002C45A2"/>
    <w:rsid w:val="002E781D"/>
    <w:rsid w:val="00300998"/>
    <w:rsid w:val="00304C62"/>
    <w:rsid w:val="00317602"/>
    <w:rsid w:val="00321F32"/>
    <w:rsid w:val="003314CC"/>
    <w:rsid w:val="00341726"/>
    <w:rsid w:val="00345C1D"/>
    <w:rsid w:val="00356D22"/>
    <w:rsid w:val="003800CC"/>
    <w:rsid w:val="003807F3"/>
    <w:rsid w:val="00380DAA"/>
    <w:rsid w:val="00394A44"/>
    <w:rsid w:val="003A7AB1"/>
    <w:rsid w:val="003D0ED5"/>
    <w:rsid w:val="003D2431"/>
    <w:rsid w:val="003D40F9"/>
    <w:rsid w:val="003E297E"/>
    <w:rsid w:val="003E3956"/>
    <w:rsid w:val="003E519B"/>
    <w:rsid w:val="003F17CE"/>
    <w:rsid w:val="0046269F"/>
    <w:rsid w:val="00466D98"/>
    <w:rsid w:val="0046709C"/>
    <w:rsid w:val="004679EB"/>
    <w:rsid w:val="0048211D"/>
    <w:rsid w:val="004908A5"/>
    <w:rsid w:val="00497361"/>
    <w:rsid w:val="004A327A"/>
    <w:rsid w:val="004B1814"/>
    <w:rsid w:val="004D1612"/>
    <w:rsid w:val="004E13FD"/>
    <w:rsid w:val="0050250A"/>
    <w:rsid w:val="005066E5"/>
    <w:rsid w:val="0051175A"/>
    <w:rsid w:val="00516F44"/>
    <w:rsid w:val="00522965"/>
    <w:rsid w:val="00527ED5"/>
    <w:rsid w:val="00533A32"/>
    <w:rsid w:val="00534743"/>
    <w:rsid w:val="0054058A"/>
    <w:rsid w:val="00560080"/>
    <w:rsid w:val="005623C2"/>
    <w:rsid w:val="00562CE1"/>
    <w:rsid w:val="00565996"/>
    <w:rsid w:val="00566E65"/>
    <w:rsid w:val="0056717C"/>
    <w:rsid w:val="00573FFE"/>
    <w:rsid w:val="00576A74"/>
    <w:rsid w:val="005825C1"/>
    <w:rsid w:val="005938D4"/>
    <w:rsid w:val="005A557C"/>
    <w:rsid w:val="005B42BC"/>
    <w:rsid w:val="005E1243"/>
    <w:rsid w:val="005E37CC"/>
    <w:rsid w:val="00601154"/>
    <w:rsid w:val="00606784"/>
    <w:rsid w:val="0061108D"/>
    <w:rsid w:val="0063160A"/>
    <w:rsid w:val="0064629D"/>
    <w:rsid w:val="00672FCE"/>
    <w:rsid w:val="006A38C1"/>
    <w:rsid w:val="006B475C"/>
    <w:rsid w:val="006C7BA0"/>
    <w:rsid w:val="006D07A2"/>
    <w:rsid w:val="006D2E9B"/>
    <w:rsid w:val="006E5A78"/>
    <w:rsid w:val="007011CA"/>
    <w:rsid w:val="00702C4D"/>
    <w:rsid w:val="00706786"/>
    <w:rsid w:val="00710286"/>
    <w:rsid w:val="00712AB5"/>
    <w:rsid w:val="00712B04"/>
    <w:rsid w:val="0071540B"/>
    <w:rsid w:val="00736442"/>
    <w:rsid w:val="007628B3"/>
    <w:rsid w:val="00771AE7"/>
    <w:rsid w:val="007914BF"/>
    <w:rsid w:val="007934BD"/>
    <w:rsid w:val="007C7124"/>
    <w:rsid w:val="007D19B3"/>
    <w:rsid w:val="007D6B05"/>
    <w:rsid w:val="007F7576"/>
    <w:rsid w:val="00802D52"/>
    <w:rsid w:val="00802E04"/>
    <w:rsid w:val="00813BC7"/>
    <w:rsid w:val="00813F3A"/>
    <w:rsid w:val="0083152A"/>
    <w:rsid w:val="00866C6E"/>
    <w:rsid w:val="0089120E"/>
    <w:rsid w:val="0089212B"/>
    <w:rsid w:val="00895595"/>
    <w:rsid w:val="008A1D20"/>
    <w:rsid w:val="008A6855"/>
    <w:rsid w:val="009141E5"/>
    <w:rsid w:val="00916162"/>
    <w:rsid w:val="009204B1"/>
    <w:rsid w:val="0092297E"/>
    <w:rsid w:val="0093003F"/>
    <w:rsid w:val="00975764"/>
    <w:rsid w:val="009943A8"/>
    <w:rsid w:val="009A0AB1"/>
    <w:rsid w:val="009B5E30"/>
    <w:rsid w:val="009B76D4"/>
    <w:rsid w:val="009F6806"/>
    <w:rsid w:val="009F7B9F"/>
    <w:rsid w:val="00A05785"/>
    <w:rsid w:val="00A26DA9"/>
    <w:rsid w:val="00A313A3"/>
    <w:rsid w:val="00A42AEE"/>
    <w:rsid w:val="00A530C8"/>
    <w:rsid w:val="00A64699"/>
    <w:rsid w:val="00A733EB"/>
    <w:rsid w:val="00A7751D"/>
    <w:rsid w:val="00A80336"/>
    <w:rsid w:val="00A87466"/>
    <w:rsid w:val="00A93749"/>
    <w:rsid w:val="00AA163D"/>
    <w:rsid w:val="00AA4E9A"/>
    <w:rsid w:val="00AB0852"/>
    <w:rsid w:val="00AB6EB4"/>
    <w:rsid w:val="00AE58A1"/>
    <w:rsid w:val="00AE7521"/>
    <w:rsid w:val="00AF16CC"/>
    <w:rsid w:val="00B01F72"/>
    <w:rsid w:val="00B219FA"/>
    <w:rsid w:val="00B3258C"/>
    <w:rsid w:val="00B43E74"/>
    <w:rsid w:val="00B5002B"/>
    <w:rsid w:val="00B54AE7"/>
    <w:rsid w:val="00BB0644"/>
    <w:rsid w:val="00BB3BC5"/>
    <w:rsid w:val="00BD0A17"/>
    <w:rsid w:val="00BD1396"/>
    <w:rsid w:val="00BF219D"/>
    <w:rsid w:val="00C021BA"/>
    <w:rsid w:val="00C02A22"/>
    <w:rsid w:val="00C04C00"/>
    <w:rsid w:val="00C050BA"/>
    <w:rsid w:val="00C06D7F"/>
    <w:rsid w:val="00C55E4C"/>
    <w:rsid w:val="00C61CD0"/>
    <w:rsid w:val="00C92BB2"/>
    <w:rsid w:val="00C972BC"/>
    <w:rsid w:val="00CA14A4"/>
    <w:rsid w:val="00CA3778"/>
    <w:rsid w:val="00CA4B8A"/>
    <w:rsid w:val="00CB124A"/>
    <w:rsid w:val="00CB2DA5"/>
    <w:rsid w:val="00CB3FF8"/>
    <w:rsid w:val="00CB5101"/>
    <w:rsid w:val="00CB5EFA"/>
    <w:rsid w:val="00CC63A0"/>
    <w:rsid w:val="00CD1082"/>
    <w:rsid w:val="00CD29CB"/>
    <w:rsid w:val="00CF1DB6"/>
    <w:rsid w:val="00D136E5"/>
    <w:rsid w:val="00D2329F"/>
    <w:rsid w:val="00D368B3"/>
    <w:rsid w:val="00D47954"/>
    <w:rsid w:val="00D519EE"/>
    <w:rsid w:val="00D5488D"/>
    <w:rsid w:val="00D55B49"/>
    <w:rsid w:val="00D577FC"/>
    <w:rsid w:val="00D579E3"/>
    <w:rsid w:val="00D64671"/>
    <w:rsid w:val="00D83587"/>
    <w:rsid w:val="00D86B83"/>
    <w:rsid w:val="00DC10CC"/>
    <w:rsid w:val="00DC1EC0"/>
    <w:rsid w:val="00DD33A1"/>
    <w:rsid w:val="00DD713E"/>
    <w:rsid w:val="00DE1D1D"/>
    <w:rsid w:val="00DE3655"/>
    <w:rsid w:val="00DF220D"/>
    <w:rsid w:val="00DF557A"/>
    <w:rsid w:val="00E225D9"/>
    <w:rsid w:val="00E27180"/>
    <w:rsid w:val="00E77657"/>
    <w:rsid w:val="00E90FC3"/>
    <w:rsid w:val="00EA7047"/>
    <w:rsid w:val="00EB487F"/>
    <w:rsid w:val="00ED1FD3"/>
    <w:rsid w:val="00F001AC"/>
    <w:rsid w:val="00F00F94"/>
    <w:rsid w:val="00F011B6"/>
    <w:rsid w:val="00F05549"/>
    <w:rsid w:val="00F2612F"/>
    <w:rsid w:val="00F3785B"/>
    <w:rsid w:val="00F40722"/>
    <w:rsid w:val="00F4218D"/>
    <w:rsid w:val="00F60475"/>
    <w:rsid w:val="00F65EEB"/>
    <w:rsid w:val="00F74C1F"/>
    <w:rsid w:val="00F90B7F"/>
    <w:rsid w:val="00F968BC"/>
    <w:rsid w:val="00FC4C6F"/>
    <w:rsid w:val="00FD73AD"/>
    <w:rsid w:val="00FE0685"/>
    <w:rsid w:val="00FE32CE"/>
    <w:rsid w:val="00FE74A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ockticker"/>
  <w:smartTagType w:namespaceuri="urn:schemas-microsoft-com:office:smarttags" w:name="date"/>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F94"/>
    <w:rPr>
      <w:sz w:val="24"/>
      <w:szCs w:val="24"/>
    </w:rPr>
  </w:style>
  <w:style w:type="paragraph" w:styleId="Heading1">
    <w:name w:val="heading 1"/>
    <w:basedOn w:val="Normal"/>
    <w:next w:val="Normal"/>
    <w:link w:val="Heading1Char"/>
    <w:uiPriority w:val="99"/>
    <w:qFormat/>
    <w:rsid w:val="00F00F94"/>
    <w:pPr>
      <w:keepNext/>
      <w:outlineLvl w:val="0"/>
    </w:pPr>
    <w:rPr>
      <w:b/>
      <w:sz w:val="28"/>
      <w:u w:val="single"/>
    </w:rPr>
  </w:style>
  <w:style w:type="paragraph" w:styleId="Heading2">
    <w:name w:val="heading 2"/>
    <w:basedOn w:val="Normal"/>
    <w:next w:val="Normal"/>
    <w:link w:val="Heading2Char"/>
    <w:uiPriority w:val="99"/>
    <w:qFormat/>
    <w:rsid w:val="00F00F94"/>
    <w:pPr>
      <w:keepNext/>
      <w:outlineLvl w:val="1"/>
    </w:pPr>
    <w:rPr>
      <w:b/>
      <w:u w:val="single"/>
    </w:rPr>
  </w:style>
  <w:style w:type="paragraph" w:styleId="Heading3">
    <w:name w:val="heading 3"/>
    <w:basedOn w:val="Normal"/>
    <w:next w:val="Normal"/>
    <w:link w:val="Heading3Char"/>
    <w:uiPriority w:val="99"/>
    <w:qFormat/>
    <w:rsid w:val="004908A5"/>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4908A5"/>
    <w:pPr>
      <w:keepNext/>
      <w:spacing w:before="240" w:after="60"/>
      <w:outlineLvl w:val="3"/>
    </w:pPr>
    <w:rPr>
      <w:b/>
      <w:bCs/>
      <w:sz w:val="28"/>
      <w:szCs w:val="28"/>
    </w:rPr>
  </w:style>
  <w:style w:type="paragraph" w:styleId="Heading5">
    <w:name w:val="heading 5"/>
    <w:basedOn w:val="Normal"/>
    <w:next w:val="Normal"/>
    <w:link w:val="Heading5Char"/>
    <w:uiPriority w:val="99"/>
    <w:qFormat/>
    <w:rsid w:val="003D0ED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B475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B475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B475C"/>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B475C"/>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B475C"/>
    <w:rPr>
      <w:rFonts w:ascii="Calibri" w:hAnsi="Calibri" w:cs="Times New Roman"/>
      <w:b/>
      <w:bCs/>
      <w:i/>
      <w:iCs/>
      <w:sz w:val="26"/>
      <w:szCs w:val="26"/>
    </w:rPr>
  </w:style>
  <w:style w:type="paragraph" w:styleId="Header">
    <w:name w:val="header"/>
    <w:basedOn w:val="Normal"/>
    <w:link w:val="HeaderChar"/>
    <w:uiPriority w:val="99"/>
    <w:rsid w:val="00F00F94"/>
    <w:pPr>
      <w:tabs>
        <w:tab w:val="center" w:pos="4320"/>
        <w:tab w:val="right" w:pos="8640"/>
      </w:tabs>
    </w:pPr>
  </w:style>
  <w:style w:type="character" w:customStyle="1" w:styleId="HeaderChar">
    <w:name w:val="Header Char"/>
    <w:basedOn w:val="DefaultParagraphFont"/>
    <w:link w:val="Header"/>
    <w:uiPriority w:val="99"/>
    <w:semiHidden/>
    <w:locked/>
    <w:rsid w:val="006B475C"/>
    <w:rPr>
      <w:rFonts w:cs="Times New Roman"/>
      <w:sz w:val="24"/>
      <w:szCs w:val="24"/>
    </w:rPr>
  </w:style>
  <w:style w:type="paragraph" w:styleId="Footer">
    <w:name w:val="footer"/>
    <w:basedOn w:val="Normal"/>
    <w:link w:val="FooterChar"/>
    <w:uiPriority w:val="99"/>
    <w:rsid w:val="00F00F94"/>
    <w:pPr>
      <w:tabs>
        <w:tab w:val="center" w:pos="4320"/>
        <w:tab w:val="right" w:pos="8640"/>
      </w:tabs>
    </w:pPr>
  </w:style>
  <w:style w:type="character" w:customStyle="1" w:styleId="FooterChar">
    <w:name w:val="Footer Char"/>
    <w:basedOn w:val="DefaultParagraphFont"/>
    <w:link w:val="Footer"/>
    <w:uiPriority w:val="99"/>
    <w:semiHidden/>
    <w:locked/>
    <w:rsid w:val="006B475C"/>
    <w:rPr>
      <w:rFonts w:cs="Times New Roman"/>
      <w:sz w:val="24"/>
      <w:szCs w:val="24"/>
    </w:rPr>
  </w:style>
  <w:style w:type="paragraph" w:styleId="BodyText">
    <w:name w:val="Body Text"/>
    <w:basedOn w:val="Normal"/>
    <w:link w:val="BodyTextChar"/>
    <w:uiPriority w:val="99"/>
    <w:rsid w:val="00F00F94"/>
    <w:rPr>
      <w:sz w:val="28"/>
    </w:rPr>
  </w:style>
  <w:style w:type="character" w:customStyle="1" w:styleId="BodyTextChar">
    <w:name w:val="Body Text Char"/>
    <w:basedOn w:val="DefaultParagraphFont"/>
    <w:link w:val="BodyText"/>
    <w:uiPriority w:val="99"/>
    <w:semiHidden/>
    <w:locked/>
    <w:rsid w:val="006B475C"/>
    <w:rPr>
      <w:rFonts w:cs="Times New Roman"/>
      <w:sz w:val="24"/>
      <w:szCs w:val="24"/>
    </w:rPr>
  </w:style>
  <w:style w:type="paragraph" w:styleId="BalloonText">
    <w:name w:val="Balloon Text"/>
    <w:basedOn w:val="Normal"/>
    <w:link w:val="BalloonTextChar"/>
    <w:uiPriority w:val="99"/>
    <w:semiHidden/>
    <w:rsid w:val="00F00F9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475C"/>
    <w:rPr>
      <w:rFonts w:cs="Times New Roman"/>
      <w:sz w:val="2"/>
    </w:rPr>
  </w:style>
  <w:style w:type="character" w:styleId="PageNumber">
    <w:name w:val="page number"/>
    <w:basedOn w:val="DefaultParagraphFont"/>
    <w:uiPriority w:val="99"/>
    <w:rsid w:val="00F00F94"/>
    <w:rPr>
      <w:rFonts w:cs="Times New Roman"/>
    </w:rPr>
  </w:style>
  <w:style w:type="paragraph" w:styleId="FootnoteText">
    <w:name w:val="footnote text"/>
    <w:basedOn w:val="Normal"/>
    <w:link w:val="FootnoteTextChar"/>
    <w:uiPriority w:val="99"/>
    <w:semiHidden/>
    <w:rsid w:val="00F00F94"/>
    <w:rPr>
      <w:sz w:val="20"/>
      <w:szCs w:val="20"/>
    </w:rPr>
  </w:style>
  <w:style w:type="character" w:customStyle="1" w:styleId="FootnoteTextChar">
    <w:name w:val="Footnote Text Char"/>
    <w:basedOn w:val="DefaultParagraphFont"/>
    <w:link w:val="FootnoteText"/>
    <w:uiPriority w:val="99"/>
    <w:semiHidden/>
    <w:locked/>
    <w:rsid w:val="006B475C"/>
    <w:rPr>
      <w:rFonts w:cs="Times New Roman"/>
      <w:sz w:val="20"/>
      <w:szCs w:val="20"/>
    </w:rPr>
  </w:style>
  <w:style w:type="character" w:styleId="FootnoteReference">
    <w:name w:val="footnote reference"/>
    <w:basedOn w:val="DefaultParagraphFont"/>
    <w:uiPriority w:val="99"/>
    <w:semiHidden/>
    <w:rsid w:val="00F00F94"/>
    <w:rPr>
      <w:rFonts w:cs="Times New Roman"/>
      <w:vertAlign w:val="superscript"/>
    </w:rPr>
  </w:style>
  <w:style w:type="table" w:styleId="TableGrid">
    <w:name w:val="Table Grid"/>
    <w:basedOn w:val="TableNormal"/>
    <w:uiPriority w:val="99"/>
    <w:rsid w:val="009F7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uiPriority w:val="99"/>
    <w:rsid w:val="00AF16CC"/>
    <w:pPr>
      <w:spacing w:after="120"/>
    </w:pPr>
    <w:rPr>
      <w:sz w:val="16"/>
      <w:szCs w:val="16"/>
    </w:rPr>
  </w:style>
  <w:style w:type="character" w:customStyle="1" w:styleId="BodyText3Char">
    <w:name w:val="Body Text 3 Char"/>
    <w:basedOn w:val="DefaultParagraphFont"/>
    <w:link w:val="BodyText3"/>
    <w:uiPriority w:val="99"/>
    <w:semiHidden/>
    <w:locked/>
    <w:rsid w:val="006B475C"/>
    <w:rPr>
      <w:rFonts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header" Target="header12.xml"/><Relationship Id="rId39" Type="http://schemas.openxmlformats.org/officeDocument/2006/relationships/header" Target="header22.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header" Target="header18.xml"/><Relationship Id="rId42" Type="http://schemas.openxmlformats.org/officeDocument/2006/relationships/header" Target="header24.xml"/><Relationship Id="rId47" Type="http://schemas.openxmlformats.org/officeDocument/2006/relationships/header" Target="header28.xml"/><Relationship Id="rId50" Type="http://schemas.openxmlformats.org/officeDocument/2006/relationships/header" Target="header3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6.xml"/><Relationship Id="rId33" Type="http://schemas.openxmlformats.org/officeDocument/2006/relationships/footer" Target="footer8.xml"/><Relationship Id="rId38" Type="http://schemas.openxmlformats.org/officeDocument/2006/relationships/header" Target="header21.xml"/><Relationship Id="rId46" Type="http://schemas.openxmlformats.org/officeDocument/2006/relationships/header" Target="header2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footer" Target="footer7.xm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header" Target="header17.xml"/><Relationship Id="rId37" Type="http://schemas.openxmlformats.org/officeDocument/2006/relationships/footer" Target="footer9.xml"/><Relationship Id="rId40" Type="http://schemas.openxmlformats.org/officeDocument/2006/relationships/header" Target="header23.xml"/><Relationship Id="rId45"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header" Target="header20.xml"/><Relationship Id="rId49" Type="http://schemas.openxmlformats.org/officeDocument/2006/relationships/footer" Target="footer12.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6.xml"/><Relationship Id="rId44" Type="http://schemas.openxmlformats.org/officeDocument/2006/relationships/header" Target="header26.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header" Target="header19.xml"/><Relationship Id="rId43" Type="http://schemas.openxmlformats.org/officeDocument/2006/relationships/header" Target="header25.xml"/><Relationship Id="rId48" Type="http://schemas.openxmlformats.org/officeDocument/2006/relationships/header" Target="header29.xml"/><Relationship Id="rId8" Type="http://schemas.openxmlformats.org/officeDocument/2006/relationships/header" Target="header1.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2B1E8-EB3A-42D5-A923-A2D798182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1596</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PENNSYLVANIA POWER COMPANY</vt:lpstr>
    </vt:vector>
  </TitlesOfParts>
  <Company>PA PUC</Company>
  <LinksUpToDate>false</LinksUpToDate>
  <CharactersWithSpaces>10678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POWER COMPANY</dc:title>
  <dc:subject/>
  <dc:creator>DUKES</dc:creator>
  <cp:keywords/>
  <dc:description/>
  <cp:lastModifiedBy>Shirley Rodrock</cp:lastModifiedBy>
  <cp:revision>10</cp:revision>
  <cp:lastPrinted>2009-06-04T14:23:00Z</cp:lastPrinted>
  <dcterms:created xsi:type="dcterms:W3CDTF">2009-06-01T15:26:00Z</dcterms:created>
  <dcterms:modified xsi:type="dcterms:W3CDTF">2009-06-04T14:25:00Z</dcterms:modified>
</cp:coreProperties>
</file>