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F5279C" w:rsidP="00F9732A">
      <w:r>
        <w:t>Gary D. Lindner</w:t>
      </w:r>
      <w:r w:rsidR="00CD7291">
        <w:tab/>
      </w:r>
      <w:r w:rsidR="00BC7989">
        <w:tab/>
      </w:r>
      <w:r w:rsidR="00F9732A" w:rsidRPr="008B455C">
        <w:tab/>
      </w:r>
      <w:r w:rsidR="00EF7BB1" w:rsidRPr="008B455C">
        <w:tab/>
      </w:r>
      <w:r w:rsidR="00F9732A" w:rsidRPr="008B455C">
        <w:tab/>
        <w:t>:</w:t>
      </w:r>
      <w:r w:rsidR="00F9732A" w:rsidRPr="008B455C">
        <w:tab/>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B50BB3">
        <w:t>C-</w:t>
      </w:r>
      <w:r w:rsidR="00CD7291">
        <w:t>2</w:t>
      </w:r>
      <w:r w:rsidR="00F5279C">
        <w:t>011-2237595</w:t>
      </w:r>
    </w:p>
    <w:p w:rsidR="00F9732A" w:rsidRPr="008B455C" w:rsidRDefault="00F9732A" w:rsidP="00F9732A">
      <w:pPr>
        <w:ind w:left="5040"/>
      </w:pPr>
      <w:r w:rsidRPr="008B455C">
        <w:t>:</w:t>
      </w:r>
    </w:p>
    <w:p w:rsidR="00F9732A" w:rsidRPr="008B455C" w:rsidRDefault="00F9732A" w:rsidP="00F9732A">
      <w:r w:rsidRPr="008B455C">
        <w:t>Duquesne Light Company</w:t>
      </w:r>
      <w:r w:rsidRPr="008B455C">
        <w:tab/>
      </w:r>
      <w:r w:rsidRPr="008B455C">
        <w:tab/>
        <w:t xml:space="preserve"> </w:t>
      </w:r>
      <w:r w:rsidRPr="008B455C">
        <w:tab/>
      </w:r>
      <w:r w:rsidRPr="008B455C">
        <w:tab/>
        <w:t>:</w:t>
      </w:r>
    </w:p>
    <w:p w:rsidR="00F9732A" w:rsidRPr="008B455C" w:rsidRDefault="00F9732A" w:rsidP="00F9732A"/>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8E4FD6">
      <w:pPr>
        <w:jc w:val="center"/>
      </w:pPr>
    </w:p>
    <w:p w:rsidR="008E4FD6" w:rsidRPr="008B455C" w:rsidRDefault="008E4FD6" w:rsidP="008E4FD6">
      <w:pPr>
        <w:jc w:val="center"/>
      </w:pPr>
    </w:p>
    <w:p w:rsidR="00F9732A" w:rsidRPr="008B455C" w:rsidRDefault="008E4FD6" w:rsidP="00F9732A">
      <w:pPr>
        <w:jc w:val="center"/>
        <w:rPr>
          <w:u w:val="single"/>
        </w:rPr>
      </w:pPr>
      <w:r w:rsidRPr="008B455C">
        <w:rPr>
          <w:u w:val="single"/>
        </w:rPr>
        <w:t>HISTORY OF THE PROCEEDING</w:t>
      </w:r>
    </w:p>
    <w:p w:rsidR="00F9732A" w:rsidRPr="008B455C" w:rsidRDefault="00F9732A" w:rsidP="00F9732A">
      <w:pPr>
        <w:jc w:val="center"/>
        <w:rPr>
          <w:u w:val="single"/>
        </w:rPr>
      </w:pPr>
    </w:p>
    <w:p w:rsidR="00D868FB" w:rsidRPr="008B455C" w:rsidRDefault="00D868FB" w:rsidP="00F9732A">
      <w:pPr>
        <w:jc w:val="center"/>
        <w:rPr>
          <w:u w:val="single"/>
        </w:rPr>
      </w:pPr>
    </w:p>
    <w:p w:rsidR="0041637D" w:rsidRPr="008B455C" w:rsidRDefault="00F9732A" w:rsidP="00BD76C8">
      <w:pPr>
        <w:spacing w:line="360" w:lineRule="auto"/>
      </w:pPr>
      <w:r w:rsidRPr="008B455C">
        <w:tab/>
      </w:r>
      <w:r w:rsidRPr="008B455C">
        <w:tab/>
      </w:r>
      <w:r w:rsidR="00BD76C8" w:rsidRPr="008B455C">
        <w:t xml:space="preserve">On </w:t>
      </w:r>
      <w:r w:rsidR="00F5279C">
        <w:t>April 12, 2011</w:t>
      </w:r>
      <w:r w:rsidR="00BD76C8" w:rsidRPr="008B455C">
        <w:t xml:space="preserve">, </w:t>
      </w:r>
      <w:r w:rsidR="00F5279C">
        <w:t>Gary D. Lindner</w:t>
      </w:r>
      <w:r w:rsidR="0065346D" w:rsidRPr="008B455C">
        <w:t xml:space="preserve"> (“</w:t>
      </w:r>
      <w:r w:rsidR="00F5279C">
        <w:t>Lindner</w:t>
      </w:r>
      <w:r w:rsidR="00BC7989">
        <w:t>” or “Complainant</w:t>
      </w:r>
      <w:r w:rsidR="0065346D" w:rsidRPr="008B455C">
        <w:t>”)</w:t>
      </w:r>
      <w:r w:rsidR="00BD76C8" w:rsidRPr="008B455C">
        <w:t xml:space="preserve"> filed a formal complaint with the Pennsylvania P</w:t>
      </w:r>
      <w:r w:rsidR="0041637D" w:rsidRPr="008B455C">
        <w:t>u</w:t>
      </w:r>
      <w:r w:rsidR="00BD76C8" w:rsidRPr="008B455C">
        <w:t xml:space="preserve">blic Utility Commission (“Commission”) against Duquesne Light Company (“Duquesne Light” or “Respondent”) </w:t>
      </w:r>
      <w:r w:rsidR="0065346D" w:rsidRPr="008B455C">
        <w:t xml:space="preserve">complaining </w:t>
      </w:r>
      <w:r w:rsidR="00CD7291">
        <w:t>Respondent</w:t>
      </w:r>
      <w:r w:rsidR="00F5279C">
        <w:t xml:space="preserve"> improperly and incorrectly assigned two delinquent residential accounts against his </w:t>
      </w:r>
      <w:r w:rsidR="00917C2D">
        <w:t>S</w:t>
      </w:r>
      <w:r w:rsidR="00F5279C">
        <w:t xml:space="preserve">ocial </w:t>
      </w:r>
      <w:r w:rsidR="00917C2D">
        <w:t>S</w:t>
      </w:r>
      <w:r w:rsidR="00F5279C">
        <w:t xml:space="preserve">ecurity number on his credit report, resulting in his banking institution terminating the line of credit for his business.  </w:t>
      </w:r>
      <w:r w:rsidR="00B50BB3">
        <w:t xml:space="preserve">Complainant requested the Commission require </w:t>
      </w:r>
      <w:r w:rsidR="00BD7A50">
        <w:t xml:space="preserve">Respondent </w:t>
      </w:r>
      <w:r w:rsidR="00B50BB3">
        <w:t>to</w:t>
      </w:r>
      <w:r w:rsidR="00F5279C">
        <w:t xml:space="preserve"> remove the negative references from his credit report and an acknowledgement letter from Respondent admitting Respondent’s error</w:t>
      </w:r>
      <w:r w:rsidR="00F86FB9">
        <w:t>.</w:t>
      </w:r>
    </w:p>
    <w:p w:rsidR="0041637D" w:rsidRPr="008B455C" w:rsidRDefault="0041637D" w:rsidP="00BD76C8">
      <w:pPr>
        <w:spacing w:line="360" w:lineRule="auto"/>
      </w:pPr>
    </w:p>
    <w:p w:rsidR="000B575F" w:rsidRPr="008B455C" w:rsidRDefault="0041637D" w:rsidP="00BD76C8">
      <w:pPr>
        <w:spacing w:line="360" w:lineRule="auto"/>
      </w:pPr>
      <w:r w:rsidRPr="008B455C">
        <w:tab/>
      </w:r>
      <w:r w:rsidRPr="008B455C">
        <w:tab/>
        <w:t xml:space="preserve">Duquesne Light filed </w:t>
      </w:r>
      <w:r w:rsidR="00DF0974" w:rsidRPr="008B455C">
        <w:t>an</w:t>
      </w:r>
      <w:r w:rsidR="00580D5E" w:rsidRPr="008B455C">
        <w:t xml:space="preserve"> </w:t>
      </w:r>
      <w:r w:rsidRPr="008B455C">
        <w:t xml:space="preserve">answer in response to </w:t>
      </w:r>
      <w:r w:rsidR="00F86FB9">
        <w:t>the</w:t>
      </w:r>
      <w:r w:rsidR="0065346D" w:rsidRPr="008B455C">
        <w:t xml:space="preserve"> </w:t>
      </w:r>
      <w:r w:rsidRPr="008B455C">
        <w:t xml:space="preserve">complaint on </w:t>
      </w:r>
      <w:r w:rsidR="00F5279C">
        <w:t>May 27, 2011</w:t>
      </w:r>
      <w:r w:rsidRPr="008B455C">
        <w:t xml:space="preserve">.  In </w:t>
      </w:r>
      <w:r w:rsidR="00DF0974" w:rsidRPr="008B455C">
        <w:t>its</w:t>
      </w:r>
      <w:r w:rsidRPr="008B455C">
        <w:t xml:space="preserve"> </w:t>
      </w:r>
      <w:r w:rsidR="00580D5E" w:rsidRPr="008B455C">
        <w:t xml:space="preserve">responsive pleading, Duquesne Light </w:t>
      </w:r>
      <w:r w:rsidR="00F5279C">
        <w:t xml:space="preserve">denied any delinquencies from Respondent appeared on Complainant’s credit report and admitted </w:t>
      </w:r>
      <w:r w:rsidR="002E28DD">
        <w:t>Complainant</w:t>
      </w:r>
      <w:r w:rsidR="00F5279C">
        <w:t xml:space="preserve"> was never a residential customer, only a commercial customer.  Respondent made further factual denials concerning the payment of Respondent’s final bills.  </w:t>
      </w:r>
      <w:r w:rsidR="00DF08BA" w:rsidRPr="008B455C">
        <w:t>Duquesne Light request</w:t>
      </w:r>
      <w:r w:rsidR="00F5279C">
        <w:t>ed</w:t>
      </w:r>
      <w:r w:rsidR="00DF08BA" w:rsidRPr="008B455C">
        <w:t xml:space="preserve"> </w:t>
      </w:r>
      <w:r w:rsidR="00DF0974" w:rsidRPr="008B455C">
        <w:t>the</w:t>
      </w:r>
      <w:r w:rsidR="00DF08BA" w:rsidRPr="008B455C">
        <w:t xml:space="preserve"> complaint </w:t>
      </w:r>
      <w:r w:rsidR="00DF39F5">
        <w:t xml:space="preserve">should </w:t>
      </w:r>
      <w:r w:rsidR="00DF08BA" w:rsidRPr="008B455C">
        <w:t xml:space="preserve">be dismissed.  </w:t>
      </w:r>
    </w:p>
    <w:p w:rsidR="000B575F" w:rsidRPr="008B455C" w:rsidRDefault="000B575F" w:rsidP="00BD76C8">
      <w:pPr>
        <w:spacing w:line="360" w:lineRule="auto"/>
      </w:pPr>
    </w:p>
    <w:p w:rsidR="008E4FD6" w:rsidRDefault="0084410C" w:rsidP="006D3697">
      <w:pPr>
        <w:spacing w:line="360" w:lineRule="auto"/>
      </w:pPr>
      <w:r w:rsidRPr="008B455C">
        <w:lastRenderedPageBreak/>
        <w:tab/>
      </w:r>
      <w:r w:rsidRPr="008B455C">
        <w:tab/>
      </w:r>
      <w:r w:rsidR="006D3697" w:rsidRPr="008B455C">
        <w:t xml:space="preserve">On </w:t>
      </w:r>
      <w:r w:rsidR="00F5279C">
        <w:t>September 2, 2011</w:t>
      </w:r>
      <w:r w:rsidR="00D2288B">
        <w:t xml:space="preserve">, the Office of Administrative Law Judge scheduled an initial telephonic hearing in this matter for </w:t>
      </w:r>
      <w:r w:rsidR="00F5279C">
        <w:t>Tuesday, October 25, 2011</w:t>
      </w:r>
      <w:r w:rsidR="004E7B43">
        <w:t xml:space="preserve">, and the </w:t>
      </w:r>
      <w:r w:rsidR="00EF5386" w:rsidRPr="008B455C">
        <w:t xml:space="preserve">Telephone Hearing Notice </w:t>
      </w:r>
      <w:r w:rsidR="006D3697" w:rsidRPr="008B455C">
        <w:t xml:space="preserve">was sent to </w:t>
      </w:r>
      <w:r w:rsidR="00BC7989">
        <w:t>Complainant</w:t>
      </w:r>
      <w:r w:rsidR="00F5279C">
        <w:t>, Complainant’s counsel</w:t>
      </w:r>
      <w:r w:rsidR="00863BD5" w:rsidRPr="008B455C">
        <w:t xml:space="preserve"> </w:t>
      </w:r>
      <w:r w:rsidR="006D3697" w:rsidRPr="008B455C">
        <w:t>and Duquesne Light</w:t>
      </w:r>
      <w:r w:rsidR="00EF5386" w:rsidRPr="008B455C">
        <w:t xml:space="preserve"> on that date</w:t>
      </w:r>
      <w:r w:rsidR="006D3697" w:rsidRPr="008B455C">
        <w:t xml:space="preserve">.  On </w:t>
      </w:r>
      <w:r w:rsidR="00F5279C">
        <w:t>September 6, 2011</w:t>
      </w:r>
      <w:r w:rsidR="006D3697" w:rsidRPr="008B455C">
        <w:t>, the undersigned issued a</w:t>
      </w:r>
      <w:r w:rsidR="008418FC" w:rsidRPr="008B455C">
        <w:t xml:space="preserve"> Prehearing Order.  </w:t>
      </w:r>
    </w:p>
    <w:p w:rsidR="00B85EE4" w:rsidRDefault="00B85EE4" w:rsidP="006D3697">
      <w:pPr>
        <w:spacing w:line="360" w:lineRule="auto"/>
      </w:pPr>
    </w:p>
    <w:p w:rsidR="00AD40B2" w:rsidRDefault="001F030C" w:rsidP="00AD40B2">
      <w:pPr>
        <w:tabs>
          <w:tab w:val="left" w:pos="2160"/>
        </w:tabs>
        <w:spacing w:line="360" w:lineRule="auto"/>
        <w:ind w:firstLine="1440"/>
      </w:pPr>
      <w:r w:rsidRPr="008B455C">
        <w:t xml:space="preserve">The </w:t>
      </w:r>
      <w:r w:rsidR="00863BD5" w:rsidRPr="008B455C">
        <w:t xml:space="preserve">presiding officer convened the </w:t>
      </w:r>
      <w:r w:rsidRPr="008B455C">
        <w:t xml:space="preserve">initial hearing </w:t>
      </w:r>
      <w:r w:rsidR="006D3697" w:rsidRPr="008B455C">
        <w:t xml:space="preserve">as scheduled on </w:t>
      </w:r>
      <w:r w:rsidR="00475063">
        <w:t>October 25, 2011.</w:t>
      </w:r>
      <w:r w:rsidR="006D3697" w:rsidRPr="008B455C">
        <w:t xml:space="preserve">  </w:t>
      </w:r>
      <w:r w:rsidR="00BC7989">
        <w:t>Complainant</w:t>
      </w:r>
      <w:r w:rsidR="00196E40" w:rsidRPr="008B455C">
        <w:t xml:space="preserve"> </w:t>
      </w:r>
      <w:r w:rsidR="00475063">
        <w:t xml:space="preserve">appeared represented by A. Michael </w:t>
      </w:r>
      <w:proofErr w:type="spellStart"/>
      <w:r w:rsidR="00475063">
        <w:t>Gianantonio</w:t>
      </w:r>
      <w:proofErr w:type="spellEnd"/>
      <w:r w:rsidR="00475063">
        <w:t>, Esquire,</w:t>
      </w:r>
      <w:r w:rsidR="00DC297D" w:rsidRPr="008B455C">
        <w:rPr>
          <w:i/>
        </w:rPr>
        <w:t xml:space="preserve"> </w:t>
      </w:r>
      <w:r w:rsidR="00DC297D" w:rsidRPr="008B455C">
        <w:t xml:space="preserve">and </w:t>
      </w:r>
      <w:r w:rsidR="005E6DB5" w:rsidRPr="008B455C">
        <w:t xml:space="preserve">Duquesne Light was represented by </w:t>
      </w:r>
      <w:proofErr w:type="spellStart"/>
      <w:r w:rsidR="00196E40" w:rsidRPr="008B455C">
        <w:t>Krysia</w:t>
      </w:r>
      <w:proofErr w:type="spellEnd"/>
      <w:r w:rsidR="00196E40" w:rsidRPr="008B455C">
        <w:t xml:space="preserve"> </w:t>
      </w:r>
      <w:proofErr w:type="spellStart"/>
      <w:r w:rsidR="00196E40" w:rsidRPr="008B455C">
        <w:t>Kubiak</w:t>
      </w:r>
      <w:proofErr w:type="spellEnd"/>
      <w:r w:rsidR="00AD40B2">
        <w:t>,</w:t>
      </w:r>
      <w:r w:rsidR="00EB7303">
        <w:t> </w:t>
      </w:r>
      <w:r w:rsidR="00AD40B2">
        <w:t>Esquire</w:t>
      </w:r>
      <w:r w:rsidR="00475063">
        <w:t xml:space="preserve">.  Complainant presented testimony from himself and offered five (5) exhibits, marked Complainant Exhibits A, B, E, F and G, which were admitted into evidence.  Respondent presented the testimony of </w:t>
      </w:r>
      <w:r w:rsidR="00BA2D08">
        <w:t>Lynda</w:t>
      </w:r>
      <w:r w:rsidR="00475063">
        <w:t xml:space="preserve"> </w:t>
      </w:r>
      <w:proofErr w:type="spellStart"/>
      <w:r w:rsidR="00475063">
        <w:t>Pekarsky</w:t>
      </w:r>
      <w:proofErr w:type="spellEnd"/>
      <w:r w:rsidR="00475063">
        <w:t>, and offered</w:t>
      </w:r>
      <w:r w:rsidR="00AD40B2" w:rsidRPr="008D5A3F">
        <w:t xml:space="preserve"> </w:t>
      </w:r>
      <w:r w:rsidR="00AD40B2">
        <w:t>three exhibits</w:t>
      </w:r>
      <w:r w:rsidR="00AD40B2" w:rsidRPr="008D5A3F">
        <w:t xml:space="preserve">, marked </w:t>
      </w:r>
      <w:r w:rsidR="00475063">
        <w:t>Duquesne Light Exhibits 3, 10 and 11</w:t>
      </w:r>
      <w:r w:rsidR="00AD40B2">
        <w:t xml:space="preserve">, </w:t>
      </w:r>
      <w:r w:rsidR="00AD40B2" w:rsidRPr="008D5A3F">
        <w:t>which exhibit</w:t>
      </w:r>
      <w:r w:rsidR="00AD40B2">
        <w:t>s were</w:t>
      </w:r>
      <w:r w:rsidR="00AD40B2" w:rsidRPr="008D5A3F">
        <w:t xml:space="preserve"> admitted into evidence.  Complainant and Respondent issued final statements on the hearing record in lieu of filing briefs.  </w:t>
      </w:r>
      <w:r w:rsidR="00AD40B2">
        <w:t xml:space="preserve">  </w:t>
      </w:r>
    </w:p>
    <w:p w:rsidR="00AD40B2" w:rsidRDefault="00AD40B2" w:rsidP="00AD40B2">
      <w:pPr>
        <w:tabs>
          <w:tab w:val="left" w:pos="2160"/>
        </w:tabs>
        <w:spacing w:line="360" w:lineRule="auto"/>
      </w:pPr>
    </w:p>
    <w:p w:rsidR="00AD40B2" w:rsidRPr="008B455C" w:rsidRDefault="00475063" w:rsidP="00AD40B2">
      <w:pPr>
        <w:tabs>
          <w:tab w:val="left" w:pos="2160"/>
        </w:tabs>
        <w:spacing w:line="360" w:lineRule="auto"/>
        <w:ind w:firstLine="1440"/>
      </w:pPr>
      <w:r w:rsidRPr="008D5A3F">
        <w:t xml:space="preserve">The </w:t>
      </w:r>
      <w:r>
        <w:t xml:space="preserve">presiding officer received the </w:t>
      </w:r>
      <w:r w:rsidRPr="008D5A3F">
        <w:t>transcript of the hearing</w:t>
      </w:r>
      <w:r>
        <w:t xml:space="preserve">, </w:t>
      </w:r>
      <w:r w:rsidRPr="008D5A3F">
        <w:t>contain</w:t>
      </w:r>
      <w:r>
        <w:t>ing</w:t>
      </w:r>
      <w:r w:rsidRPr="008D5A3F">
        <w:t xml:space="preserve"> </w:t>
      </w:r>
      <w:r>
        <w:t>seventy-three</w:t>
      </w:r>
      <w:r w:rsidRPr="008D5A3F">
        <w:t xml:space="preserve"> (</w:t>
      </w:r>
      <w:r>
        <w:t>73</w:t>
      </w:r>
      <w:r w:rsidRPr="008D5A3F">
        <w:t>) pages</w:t>
      </w:r>
      <w:r>
        <w:t>, on November 9, 2011</w:t>
      </w:r>
      <w:r w:rsidRPr="008D5A3F">
        <w:t xml:space="preserve">.  </w:t>
      </w:r>
      <w:r w:rsidR="00AD40B2">
        <w:t xml:space="preserve">Upon receipt of the transcript, </w:t>
      </w:r>
      <w:r w:rsidR="00AD40B2" w:rsidRPr="008B455C">
        <w:t>the presiding officer closed the hearing record by Interim Order Closing the Hearing Record</w:t>
      </w:r>
      <w:r w:rsidR="00AD40B2">
        <w:t xml:space="preserve"> on </w:t>
      </w:r>
      <w:r>
        <w:t>November 10, 2011</w:t>
      </w:r>
      <w:r w:rsidR="00AD40B2" w:rsidRPr="008B455C">
        <w:t>.</w:t>
      </w:r>
    </w:p>
    <w:p w:rsidR="00F76C9B" w:rsidRDefault="00F76C9B" w:rsidP="008E4FD6">
      <w:pPr>
        <w:tabs>
          <w:tab w:val="left" w:pos="2160"/>
        </w:tabs>
        <w:spacing w:line="360" w:lineRule="auto"/>
        <w:jc w:val="center"/>
        <w:rPr>
          <w:u w:val="single"/>
        </w:rPr>
      </w:pPr>
    </w:p>
    <w:p w:rsidR="008E4FD6" w:rsidRPr="008B455C" w:rsidRDefault="008E4FD6" w:rsidP="008E4FD6">
      <w:pPr>
        <w:tabs>
          <w:tab w:val="left" w:pos="2160"/>
        </w:tabs>
        <w:spacing w:line="360" w:lineRule="auto"/>
        <w:jc w:val="center"/>
        <w:rPr>
          <w:u w:val="single"/>
        </w:rPr>
      </w:pPr>
      <w:r w:rsidRPr="008B455C">
        <w:rPr>
          <w:u w:val="single"/>
        </w:rPr>
        <w:t xml:space="preserve">FINDINGS OF </w:t>
      </w:r>
      <w:smartTag w:uri="urn:schemas-microsoft-com:office:smarttags" w:element="stockticker">
        <w:r w:rsidRPr="008B455C">
          <w:rPr>
            <w:u w:val="single"/>
          </w:rPr>
          <w:t>FACT</w:t>
        </w:r>
      </w:smartTag>
    </w:p>
    <w:p w:rsidR="007E48E1" w:rsidRPr="008B455C" w:rsidRDefault="007E48E1" w:rsidP="007E48E1">
      <w:pPr>
        <w:tabs>
          <w:tab w:val="left" w:pos="2160"/>
        </w:tabs>
        <w:spacing w:line="360" w:lineRule="auto"/>
        <w:rPr>
          <w:u w:val="single"/>
        </w:rPr>
      </w:pPr>
    </w:p>
    <w:p w:rsidR="007E48E1" w:rsidRDefault="007E48E1" w:rsidP="007E48E1">
      <w:pPr>
        <w:tabs>
          <w:tab w:val="left" w:pos="2160"/>
        </w:tabs>
        <w:spacing w:line="360" w:lineRule="auto"/>
        <w:ind w:firstLine="1440"/>
      </w:pPr>
      <w:r w:rsidRPr="008B455C">
        <w:t>1.</w:t>
      </w:r>
      <w:r w:rsidRPr="008B455C">
        <w:tab/>
      </w:r>
      <w:r>
        <w:t>Complainant</w:t>
      </w:r>
      <w:r w:rsidRPr="008B455C">
        <w:t xml:space="preserve">, </w:t>
      </w:r>
      <w:r w:rsidR="00475063">
        <w:t>Gary D. Lindner</w:t>
      </w:r>
      <w:r w:rsidRPr="008B455C">
        <w:t xml:space="preserve">, </w:t>
      </w:r>
      <w:r w:rsidR="00BA2D08">
        <w:t>resides at 5976 Bethel Park Drive, Bethel</w:t>
      </w:r>
      <w:r w:rsidR="00BD2D55">
        <w:t> </w:t>
      </w:r>
      <w:r w:rsidR="00BA2D08">
        <w:t>Park, Pennsylvania 15102</w:t>
      </w:r>
      <w:r w:rsidR="00475063">
        <w:t xml:space="preserve">.  </w:t>
      </w:r>
      <w:proofErr w:type="gramStart"/>
      <w:r w:rsidR="00475063">
        <w:t xml:space="preserve">(Tr. </w:t>
      </w:r>
      <w:r w:rsidR="00BA2D08">
        <w:t>8</w:t>
      </w:r>
      <w:r w:rsidRPr="008B455C">
        <w:t>).</w:t>
      </w:r>
      <w:proofErr w:type="gramEnd"/>
      <w:r w:rsidRPr="008B455C">
        <w:t xml:space="preserve"> </w:t>
      </w:r>
    </w:p>
    <w:p w:rsidR="00475063" w:rsidRPr="008B455C" w:rsidRDefault="00475063" w:rsidP="007E48E1">
      <w:pPr>
        <w:tabs>
          <w:tab w:val="left" w:pos="2160"/>
        </w:tabs>
        <w:spacing w:line="360" w:lineRule="auto"/>
        <w:ind w:firstLine="1440"/>
      </w:pPr>
    </w:p>
    <w:p w:rsidR="007E48E1" w:rsidRDefault="007E48E1" w:rsidP="007E48E1">
      <w:pPr>
        <w:tabs>
          <w:tab w:val="left" w:pos="2160"/>
        </w:tabs>
        <w:spacing w:line="360" w:lineRule="auto"/>
        <w:ind w:firstLine="1440"/>
      </w:pPr>
      <w:r w:rsidRPr="008B455C">
        <w:t>2.</w:t>
      </w:r>
      <w:r w:rsidRPr="008B455C">
        <w:tab/>
      </w:r>
      <w:r w:rsidR="00BA2D08">
        <w:t xml:space="preserve">Complainant owns a business called Atlantis Pets, Inc. which provides custom aquarium installation services.  </w:t>
      </w:r>
      <w:proofErr w:type="gramStart"/>
      <w:r w:rsidR="00BA2D08">
        <w:t>(Tr. 8, 9).</w:t>
      </w:r>
      <w:proofErr w:type="gramEnd"/>
    </w:p>
    <w:p w:rsidR="007E48E1" w:rsidRDefault="007E48E1" w:rsidP="007E48E1">
      <w:pPr>
        <w:tabs>
          <w:tab w:val="left" w:pos="2160"/>
        </w:tabs>
        <w:spacing w:line="360" w:lineRule="auto"/>
        <w:ind w:firstLine="1440"/>
      </w:pPr>
    </w:p>
    <w:p w:rsidR="007E48E1" w:rsidRDefault="000478B7" w:rsidP="007E48E1">
      <w:pPr>
        <w:tabs>
          <w:tab w:val="left" w:pos="2160"/>
        </w:tabs>
        <w:spacing w:line="360" w:lineRule="auto"/>
        <w:ind w:firstLine="1440"/>
      </w:pPr>
      <w:r>
        <w:t>3</w:t>
      </w:r>
      <w:r w:rsidR="007E48E1">
        <w:t>.</w:t>
      </w:r>
      <w:r w:rsidR="007E48E1">
        <w:tab/>
        <w:t xml:space="preserve"> </w:t>
      </w:r>
      <w:r w:rsidR="00BA2D08">
        <w:t xml:space="preserve">Until April 2009, Atlantis Pets, Inc. operated </w:t>
      </w:r>
      <w:r w:rsidR="00D411AB">
        <w:t xml:space="preserve">a retail business and a service business </w:t>
      </w:r>
      <w:r w:rsidR="00BA2D08">
        <w:t xml:space="preserve">out of 4724 Clairton Boulevard, Pittsburgh, Pennsylvania 15102.  </w:t>
      </w:r>
      <w:proofErr w:type="gramStart"/>
      <w:r w:rsidR="00BA2D08">
        <w:t>(Tr. 9).</w:t>
      </w:r>
      <w:proofErr w:type="gramEnd"/>
    </w:p>
    <w:p w:rsidR="007E48E1" w:rsidRDefault="007E48E1" w:rsidP="007E48E1">
      <w:pPr>
        <w:tabs>
          <w:tab w:val="left" w:pos="2160"/>
        </w:tabs>
        <w:spacing w:line="360" w:lineRule="auto"/>
        <w:ind w:firstLine="1440"/>
      </w:pPr>
    </w:p>
    <w:p w:rsidR="007E48E1" w:rsidRDefault="000478B7" w:rsidP="007E48E1">
      <w:pPr>
        <w:tabs>
          <w:tab w:val="left" w:pos="2160"/>
        </w:tabs>
        <w:spacing w:line="360" w:lineRule="auto"/>
        <w:ind w:firstLine="1440"/>
      </w:pPr>
      <w:r>
        <w:t>4</w:t>
      </w:r>
      <w:r w:rsidR="007E48E1">
        <w:t>.</w:t>
      </w:r>
      <w:r w:rsidR="007E48E1">
        <w:tab/>
        <w:t xml:space="preserve"> </w:t>
      </w:r>
      <w:r w:rsidR="00D411AB">
        <w:t>Until May 2010,</w:t>
      </w:r>
      <w:r w:rsidR="00BA2D08">
        <w:t xml:space="preserve"> Respondent provided electric service to Atlantis Pets, Inc.</w:t>
      </w:r>
      <w:r w:rsidR="0062612D">
        <w:t xml:space="preserve"> </w:t>
      </w:r>
      <w:r w:rsidR="00D411AB">
        <w:t>for twenty-two (22) years</w:t>
      </w:r>
      <w:r w:rsidR="00BA2D08">
        <w:t xml:space="preserve">.  </w:t>
      </w:r>
      <w:proofErr w:type="gramStart"/>
      <w:r w:rsidR="00BA2D08">
        <w:t>(Tr. 9</w:t>
      </w:r>
      <w:r w:rsidR="00545DAD">
        <w:t>, 22</w:t>
      </w:r>
      <w:r w:rsidR="0062612D">
        <w:t>; Respondent Exhibit 3</w:t>
      </w:r>
      <w:r w:rsidR="00BA2D08">
        <w:t>).</w:t>
      </w:r>
      <w:proofErr w:type="gramEnd"/>
      <w:r w:rsidR="00BA2D08">
        <w:t xml:space="preserve">  </w:t>
      </w:r>
    </w:p>
    <w:p w:rsidR="00D411AB" w:rsidRDefault="00D411AB" w:rsidP="00D411AB">
      <w:pPr>
        <w:pStyle w:val="BodyText"/>
        <w:jc w:val="left"/>
        <w:rPr>
          <w:sz w:val="24"/>
          <w:szCs w:val="24"/>
        </w:rPr>
      </w:pPr>
      <w:r>
        <w:rPr>
          <w:sz w:val="24"/>
          <w:szCs w:val="24"/>
        </w:rPr>
        <w:lastRenderedPageBreak/>
        <w:tab/>
      </w:r>
      <w:r>
        <w:rPr>
          <w:sz w:val="24"/>
          <w:szCs w:val="24"/>
        </w:rPr>
        <w:tab/>
        <w:t>5.</w:t>
      </w:r>
      <w:r>
        <w:rPr>
          <w:sz w:val="24"/>
          <w:szCs w:val="24"/>
        </w:rPr>
        <w:tab/>
        <w:t xml:space="preserve">From October 2006 to May 2010, Complainant frequently paid his monthly electric bills to Respondent one month to two months late, and frequently carried over an unpaid balance resulting in late payment fees.  </w:t>
      </w:r>
      <w:proofErr w:type="gramStart"/>
      <w:r>
        <w:rPr>
          <w:sz w:val="24"/>
          <w:szCs w:val="24"/>
        </w:rPr>
        <w:t>(Tr. 23; Complainant Exhibit F &amp; Respondent Exhibit 3).</w:t>
      </w:r>
      <w:proofErr w:type="gramEnd"/>
    </w:p>
    <w:p w:rsidR="00D411AB" w:rsidRDefault="00D411AB" w:rsidP="00D411AB">
      <w:pPr>
        <w:pStyle w:val="BodyText"/>
        <w:jc w:val="left"/>
        <w:rPr>
          <w:sz w:val="24"/>
          <w:szCs w:val="24"/>
        </w:rPr>
      </w:pPr>
    </w:p>
    <w:p w:rsidR="00D411AB" w:rsidRDefault="00D411AB" w:rsidP="00D411AB">
      <w:pPr>
        <w:pStyle w:val="BodyText"/>
        <w:jc w:val="left"/>
        <w:rPr>
          <w:sz w:val="24"/>
          <w:szCs w:val="24"/>
        </w:rPr>
      </w:pPr>
      <w:r>
        <w:rPr>
          <w:sz w:val="24"/>
          <w:szCs w:val="24"/>
        </w:rPr>
        <w:tab/>
      </w:r>
      <w:r>
        <w:rPr>
          <w:sz w:val="24"/>
          <w:szCs w:val="24"/>
        </w:rPr>
        <w:tab/>
        <w:t>6.</w:t>
      </w:r>
      <w:r>
        <w:rPr>
          <w:sz w:val="24"/>
          <w:szCs w:val="24"/>
        </w:rPr>
        <w:tab/>
        <w:t xml:space="preserve">Complainant made a business decision around April 2010 to close the retail business and operate solely as a service business out of his residence.  (Tr. </w:t>
      </w:r>
      <w:r w:rsidR="001C74B7">
        <w:rPr>
          <w:sz w:val="24"/>
          <w:szCs w:val="24"/>
        </w:rPr>
        <w:t>49-50</w:t>
      </w:r>
      <w:r>
        <w:rPr>
          <w:sz w:val="24"/>
          <w:szCs w:val="24"/>
        </w:rPr>
        <w:t>).</w:t>
      </w:r>
    </w:p>
    <w:p w:rsidR="00D411AB" w:rsidRDefault="00D411AB" w:rsidP="00D411AB">
      <w:pPr>
        <w:pStyle w:val="BodyText"/>
        <w:jc w:val="left"/>
        <w:rPr>
          <w:sz w:val="24"/>
          <w:szCs w:val="24"/>
        </w:rPr>
      </w:pPr>
    </w:p>
    <w:p w:rsidR="00D411AB" w:rsidRDefault="00D411AB" w:rsidP="00D411AB">
      <w:pPr>
        <w:pStyle w:val="BodyText"/>
        <w:jc w:val="left"/>
        <w:rPr>
          <w:sz w:val="24"/>
          <w:szCs w:val="24"/>
        </w:rPr>
      </w:pPr>
      <w:r>
        <w:rPr>
          <w:sz w:val="24"/>
          <w:szCs w:val="24"/>
        </w:rPr>
        <w:tab/>
      </w:r>
      <w:r>
        <w:rPr>
          <w:sz w:val="24"/>
          <w:szCs w:val="24"/>
        </w:rPr>
        <w:tab/>
        <w:t>7.</w:t>
      </w:r>
      <w:r>
        <w:rPr>
          <w:sz w:val="24"/>
          <w:szCs w:val="24"/>
        </w:rPr>
        <w:tab/>
        <w:t xml:space="preserve">Respondent sent Complainant one termination notice in 22 years.  In April 2010, Respondent sent Complainant a termination notice for a past due amount of $1,156.45 during the time Complainant was closing its operations at that location.  </w:t>
      </w:r>
      <w:proofErr w:type="gramStart"/>
      <w:r>
        <w:rPr>
          <w:sz w:val="24"/>
          <w:szCs w:val="24"/>
        </w:rPr>
        <w:t>(Tr. 23; Respondent Exhibit 3).</w:t>
      </w:r>
      <w:proofErr w:type="gramEnd"/>
    </w:p>
    <w:p w:rsidR="00D411AB" w:rsidRDefault="00D411AB" w:rsidP="00D411AB">
      <w:pPr>
        <w:pStyle w:val="BodyText"/>
        <w:jc w:val="left"/>
        <w:rPr>
          <w:sz w:val="24"/>
          <w:szCs w:val="24"/>
        </w:rPr>
      </w:pPr>
    </w:p>
    <w:p w:rsidR="00D411AB" w:rsidRDefault="00D411AB" w:rsidP="00D411AB">
      <w:pPr>
        <w:pStyle w:val="BodyText"/>
        <w:jc w:val="left"/>
        <w:rPr>
          <w:sz w:val="24"/>
          <w:szCs w:val="24"/>
        </w:rPr>
      </w:pPr>
      <w:r>
        <w:rPr>
          <w:sz w:val="24"/>
          <w:szCs w:val="24"/>
        </w:rPr>
        <w:tab/>
      </w:r>
      <w:r>
        <w:rPr>
          <w:sz w:val="24"/>
          <w:szCs w:val="24"/>
        </w:rPr>
        <w:tab/>
        <w:t>8.</w:t>
      </w:r>
      <w:r>
        <w:rPr>
          <w:sz w:val="24"/>
          <w:szCs w:val="24"/>
        </w:rPr>
        <w:tab/>
        <w:t xml:space="preserve">Complainant made a payment on May 7, 2010 to bring the balance down to zero on the account and, after Respondent issued a series of bills and adjustments, Complainant made a final payment on the account on April 11, 2011.  </w:t>
      </w:r>
      <w:proofErr w:type="gramStart"/>
      <w:r>
        <w:rPr>
          <w:sz w:val="24"/>
          <w:szCs w:val="24"/>
        </w:rPr>
        <w:t>(Respondent Exhibit 3).</w:t>
      </w:r>
      <w:proofErr w:type="gramEnd"/>
    </w:p>
    <w:p w:rsidR="00D411AB" w:rsidRDefault="00D411AB" w:rsidP="00D411AB">
      <w:pPr>
        <w:pStyle w:val="BodyText"/>
        <w:jc w:val="left"/>
        <w:rPr>
          <w:sz w:val="24"/>
          <w:szCs w:val="24"/>
        </w:rPr>
      </w:pPr>
    </w:p>
    <w:p w:rsidR="00050957" w:rsidRDefault="00050957" w:rsidP="00D411AB">
      <w:pPr>
        <w:pStyle w:val="BodyText"/>
        <w:jc w:val="left"/>
        <w:rPr>
          <w:sz w:val="24"/>
          <w:szCs w:val="24"/>
        </w:rPr>
      </w:pPr>
      <w:r>
        <w:rPr>
          <w:sz w:val="24"/>
          <w:szCs w:val="24"/>
        </w:rPr>
        <w:tab/>
      </w:r>
      <w:r>
        <w:rPr>
          <w:sz w:val="24"/>
          <w:szCs w:val="24"/>
        </w:rPr>
        <w:tab/>
        <w:t>9.</w:t>
      </w:r>
      <w:r>
        <w:rPr>
          <w:sz w:val="24"/>
          <w:szCs w:val="24"/>
        </w:rPr>
        <w:tab/>
        <w:t xml:space="preserve">Respondent claimed it sent a final bill totaling $496.08 to Complainant on May 27, 2010 based on a final reading on that same date.  Respondent could not present a copy of the final bill at the hearing.  </w:t>
      </w:r>
      <w:proofErr w:type="gramStart"/>
      <w:r>
        <w:rPr>
          <w:sz w:val="24"/>
          <w:szCs w:val="24"/>
        </w:rPr>
        <w:t>(Tr. 59, 65; Respondent Exhibit 3).</w:t>
      </w:r>
      <w:proofErr w:type="gramEnd"/>
    </w:p>
    <w:p w:rsidR="00050957" w:rsidRDefault="00050957" w:rsidP="00D411AB">
      <w:pPr>
        <w:pStyle w:val="BodyText"/>
        <w:jc w:val="left"/>
        <w:rPr>
          <w:sz w:val="24"/>
          <w:szCs w:val="24"/>
        </w:rPr>
      </w:pPr>
    </w:p>
    <w:p w:rsidR="00D411AB" w:rsidRDefault="00050957" w:rsidP="00D411AB">
      <w:pPr>
        <w:pStyle w:val="BodyText"/>
        <w:jc w:val="left"/>
        <w:rPr>
          <w:sz w:val="24"/>
          <w:szCs w:val="24"/>
        </w:rPr>
      </w:pPr>
      <w:r>
        <w:rPr>
          <w:sz w:val="24"/>
          <w:szCs w:val="24"/>
        </w:rPr>
        <w:tab/>
      </w:r>
      <w:r>
        <w:rPr>
          <w:sz w:val="24"/>
          <w:szCs w:val="24"/>
        </w:rPr>
        <w:tab/>
        <w:t>10</w:t>
      </w:r>
      <w:r w:rsidR="00D411AB">
        <w:rPr>
          <w:sz w:val="24"/>
          <w:szCs w:val="24"/>
        </w:rPr>
        <w:t>.</w:t>
      </w:r>
      <w:r w:rsidR="00D411AB">
        <w:rPr>
          <w:sz w:val="24"/>
          <w:szCs w:val="24"/>
        </w:rPr>
        <w:tab/>
        <w:t xml:space="preserve">From May 2010 to April 2011, Complainant made numerous telephone calls to Respondent’s customer service </w:t>
      </w:r>
      <w:r w:rsidR="00EF39DF">
        <w:rPr>
          <w:sz w:val="24"/>
          <w:szCs w:val="24"/>
        </w:rPr>
        <w:t xml:space="preserve">department </w:t>
      </w:r>
      <w:r w:rsidR="00D411AB">
        <w:rPr>
          <w:sz w:val="24"/>
          <w:szCs w:val="24"/>
        </w:rPr>
        <w:t>and asked for his final bill.  Complainant was unsuccessful in obtaining accurate and complete information from Respondent’s customer service department until April 2011 because Respondent kept adding various “amounts due” to Complainant’s account which statements differed in dollar amount,</w:t>
      </w:r>
      <w:r w:rsidR="00952A5F">
        <w:rPr>
          <w:sz w:val="24"/>
          <w:szCs w:val="24"/>
        </w:rPr>
        <w:t xml:space="preserve"> </w:t>
      </w:r>
      <w:r w:rsidR="00D411AB">
        <w:rPr>
          <w:sz w:val="24"/>
          <w:szCs w:val="24"/>
        </w:rPr>
        <w:t xml:space="preserve">required Complainant to pay those amounts as “final bills”, and were not rendered into writing.  </w:t>
      </w:r>
      <w:proofErr w:type="gramStart"/>
      <w:r w:rsidR="00D411AB">
        <w:rPr>
          <w:sz w:val="24"/>
          <w:szCs w:val="24"/>
        </w:rPr>
        <w:t>(Tr. 24, 42; Respondent Exhibit 3).</w:t>
      </w:r>
      <w:proofErr w:type="gramEnd"/>
    </w:p>
    <w:p w:rsidR="00D411AB" w:rsidRDefault="00D411AB" w:rsidP="007E48E1">
      <w:pPr>
        <w:tabs>
          <w:tab w:val="left" w:pos="2160"/>
        </w:tabs>
        <w:spacing w:line="360" w:lineRule="auto"/>
        <w:ind w:firstLine="1440"/>
      </w:pPr>
    </w:p>
    <w:p w:rsidR="0074593B" w:rsidRDefault="00050957" w:rsidP="007E48E1">
      <w:pPr>
        <w:tabs>
          <w:tab w:val="left" w:pos="2160"/>
        </w:tabs>
        <w:spacing w:line="360" w:lineRule="auto"/>
        <w:ind w:firstLine="1440"/>
      </w:pPr>
      <w:r>
        <w:t>11</w:t>
      </w:r>
      <w:r w:rsidR="0074593B">
        <w:t>.</w:t>
      </w:r>
      <w:r w:rsidR="0074593B">
        <w:tab/>
        <w:t xml:space="preserve">Sometime prior to March 2011, Respondent erroneously reported to credit reporting agencies that Complainant owed on two </w:t>
      </w:r>
      <w:r w:rsidR="00D411AB">
        <w:t>delinquent</w:t>
      </w:r>
      <w:r w:rsidR="0074593B">
        <w:t xml:space="preserve"> electric service accounts for </w:t>
      </w:r>
      <w:r w:rsidR="0074593B">
        <w:lastRenderedPageBreak/>
        <w:t xml:space="preserve">electric service provided at addresses where Complainant </w:t>
      </w:r>
      <w:r w:rsidR="0032146A">
        <w:t>neither</w:t>
      </w:r>
      <w:r w:rsidR="0074593B">
        <w:t xml:space="preserve"> lived </w:t>
      </w:r>
      <w:r w:rsidR="0032146A">
        <w:t>n</w:t>
      </w:r>
      <w:r w:rsidR="0074593B">
        <w:t xml:space="preserve">or operated his business.  </w:t>
      </w:r>
      <w:proofErr w:type="gramStart"/>
      <w:r w:rsidR="0074593B">
        <w:t>(Tr. 47; Complainant Exhibits A &amp; E).</w:t>
      </w:r>
      <w:proofErr w:type="gramEnd"/>
    </w:p>
    <w:p w:rsidR="0074593B" w:rsidRDefault="0074593B" w:rsidP="007E48E1">
      <w:pPr>
        <w:tabs>
          <w:tab w:val="left" w:pos="2160"/>
        </w:tabs>
        <w:spacing w:line="360" w:lineRule="auto"/>
        <w:ind w:firstLine="1440"/>
      </w:pPr>
    </w:p>
    <w:p w:rsidR="007E48E1" w:rsidRPr="008B455C" w:rsidRDefault="00050957" w:rsidP="007E48E1">
      <w:pPr>
        <w:tabs>
          <w:tab w:val="left" w:pos="2160"/>
        </w:tabs>
        <w:spacing w:line="360" w:lineRule="auto"/>
        <w:ind w:firstLine="1440"/>
      </w:pPr>
      <w:r>
        <w:t>12</w:t>
      </w:r>
      <w:r w:rsidR="00D411AB">
        <w:t>.</w:t>
      </w:r>
      <w:r w:rsidR="00D411AB">
        <w:tab/>
        <w:t xml:space="preserve">Previously, </w:t>
      </w:r>
      <w:r w:rsidR="00BA2D08">
        <w:t xml:space="preserve">Complainant secured a $50,000 line of credit for the business through Citizens Bank and had used approximately $29,000 when Citizens Bank cancelled the line of credit on March 24, 2011 due to an adverse credit report.  </w:t>
      </w:r>
      <w:proofErr w:type="gramStart"/>
      <w:r w:rsidR="00BA2D08">
        <w:t>(Tr. 10-14; Complainant Exhibit G).</w:t>
      </w:r>
      <w:proofErr w:type="gramEnd"/>
    </w:p>
    <w:p w:rsidR="00D411AB" w:rsidRDefault="00D411AB" w:rsidP="00D411AB">
      <w:pPr>
        <w:pStyle w:val="BodyText"/>
        <w:jc w:val="left"/>
        <w:rPr>
          <w:sz w:val="24"/>
          <w:szCs w:val="24"/>
        </w:rPr>
      </w:pPr>
    </w:p>
    <w:p w:rsidR="00D411AB" w:rsidRDefault="00050957" w:rsidP="00D411AB">
      <w:pPr>
        <w:pStyle w:val="BodyText"/>
        <w:jc w:val="left"/>
        <w:rPr>
          <w:sz w:val="24"/>
          <w:szCs w:val="24"/>
        </w:rPr>
      </w:pPr>
      <w:r>
        <w:rPr>
          <w:sz w:val="24"/>
          <w:szCs w:val="24"/>
        </w:rPr>
        <w:tab/>
      </w:r>
      <w:r>
        <w:rPr>
          <w:sz w:val="24"/>
          <w:szCs w:val="24"/>
        </w:rPr>
        <w:tab/>
        <w:t>13</w:t>
      </w:r>
      <w:r w:rsidR="00D411AB">
        <w:rPr>
          <w:sz w:val="24"/>
          <w:szCs w:val="24"/>
        </w:rPr>
        <w:t>.</w:t>
      </w:r>
      <w:r w:rsidR="00D411AB">
        <w:rPr>
          <w:sz w:val="24"/>
          <w:szCs w:val="24"/>
        </w:rPr>
        <w:tab/>
        <w:t>Complainant’s line of credit with Citizens Bank was an unsecured line of credit which the bank no longer offered in March 2011 and which Complainant retained as a “grandfathered” account.  After terminating the line of credit account in March 2011, Citizens Bank refused to reinstate it after learning about the incorrectly listed Duquesne Light filings because Complainant had to reapply for the credit line but Citizens Bank no longer offered that type of account to its customers.  (Tr. 44-45, 50-51).</w:t>
      </w:r>
    </w:p>
    <w:p w:rsidR="007E48E1" w:rsidRPr="008B455C" w:rsidRDefault="007E48E1" w:rsidP="007E48E1">
      <w:pPr>
        <w:pStyle w:val="BodyText"/>
        <w:jc w:val="left"/>
        <w:rPr>
          <w:sz w:val="24"/>
          <w:szCs w:val="24"/>
        </w:rPr>
      </w:pPr>
    </w:p>
    <w:p w:rsidR="007E48E1" w:rsidRDefault="007E48E1" w:rsidP="00B97032">
      <w:pPr>
        <w:pStyle w:val="BodyText"/>
        <w:jc w:val="left"/>
        <w:rPr>
          <w:sz w:val="24"/>
          <w:szCs w:val="24"/>
        </w:rPr>
      </w:pPr>
      <w:r>
        <w:rPr>
          <w:sz w:val="24"/>
          <w:szCs w:val="24"/>
        </w:rPr>
        <w:tab/>
      </w:r>
      <w:r>
        <w:rPr>
          <w:sz w:val="24"/>
          <w:szCs w:val="24"/>
        </w:rPr>
        <w:tab/>
      </w:r>
      <w:r w:rsidR="00050957">
        <w:rPr>
          <w:sz w:val="24"/>
          <w:szCs w:val="24"/>
        </w:rPr>
        <w:t>14</w:t>
      </w:r>
      <w:r w:rsidRPr="008B455C">
        <w:rPr>
          <w:sz w:val="24"/>
          <w:szCs w:val="24"/>
        </w:rPr>
        <w:t>.</w:t>
      </w:r>
      <w:r w:rsidRPr="008B455C">
        <w:rPr>
          <w:sz w:val="24"/>
          <w:szCs w:val="24"/>
        </w:rPr>
        <w:tab/>
      </w:r>
      <w:r>
        <w:rPr>
          <w:sz w:val="24"/>
          <w:szCs w:val="24"/>
        </w:rPr>
        <w:t xml:space="preserve"> </w:t>
      </w:r>
      <w:r w:rsidR="0020054C">
        <w:rPr>
          <w:sz w:val="24"/>
          <w:szCs w:val="24"/>
        </w:rPr>
        <w:t>Complainant checked his Equifax credit report which noted two adverse reports from Duquesne Light which were for residential accounts at addresses where Complainant had not resided</w:t>
      </w:r>
      <w:r w:rsidR="00D411AB">
        <w:rPr>
          <w:sz w:val="24"/>
          <w:szCs w:val="24"/>
        </w:rPr>
        <w:t xml:space="preserve"> or operated his business</w:t>
      </w:r>
      <w:r w:rsidR="0020054C">
        <w:rPr>
          <w:sz w:val="24"/>
          <w:szCs w:val="24"/>
        </w:rPr>
        <w:t xml:space="preserve">.  </w:t>
      </w:r>
      <w:proofErr w:type="gramStart"/>
      <w:r w:rsidR="0020054C">
        <w:rPr>
          <w:sz w:val="24"/>
          <w:szCs w:val="24"/>
        </w:rPr>
        <w:t>(Tr. 15</w:t>
      </w:r>
      <w:r w:rsidR="000478B7">
        <w:rPr>
          <w:sz w:val="24"/>
          <w:szCs w:val="24"/>
        </w:rPr>
        <w:t>; Complainant Exhibit E</w:t>
      </w:r>
      <w:r w:rsidR="0020054C">
        <w:rPr>
          <w:sz w:val="24"/>
          <w:szCs w:val="24"/>
        </w:rPr>
        <w:t>).</w:t>
      </w:r>
      <w:proofErr w:type="gramEnd"/>
    </w:p>
    <w:p w:rsidR="009A6CC7" w:rsidRDefault="009A6CC7" w:rsidP="00B97032">
      <w:pPr>
        <w:pStyle w:val="BodyText"/>
        <w:jc w:val="left"/>
        <w:rPr>
          <w:sz w:val="24"/>
          <w:szCs w:val="24"/>
        </w:rPr>
      </w:pPr>
    </w:p>
    <w:p w:rsidR="00D411AB" w:rsidRDefault="00050957" w:rsidP="00B97032">
      <w:pPr>
        <w:pStyle w:val="BodyText"/>
        <w:jc w:val="left"/>
        <w:rPr>
          <w:sz w:val="24"/>
          <w:szCs w:val="24"/>
        </w:rPr>
      </w:pPr>
      <w:r>
        <w:rPr>
          <w:sz w:val="24"/>
          <w:szCs w:val="24"/>
        </w:rPr>
        <w:tab/>
      </w:r>
      <w:r>
        <w:rPr>
          <w:sz w:val="24"/>
          <w:szCs w:val="24"/>
        </w:rPr>
        <w:tab/>
        <w:t>15</w:t>
      </w:r>
      <w:r w:rsidR="00D411AB">
        <w:rPr>
          <w:sz w:val="24"/>
          <w:szCs w:val="24"/>
        </w:rPr>
        <w:t>.</w:t>
      </w:r>
      <w:r w:rsidR="00D411AB">
        <w:rPr>
          <w:sz w:val="24"/>
          <w:szCs w:val="24"/>
        </w:rPr>
        <w:tab/>
        <w:t>On April 12, 2011, Complainant filed a formal complaint against Respondent with the Commission.</w:t>
      </w:r>
    </w:p>
    <w:p w:rsidR="00D411AB" w:rsidRDefault="00D411AB" w:rsidP="00B97032">
      <w:pPr>
        <w:pStyle w:val="BodyText"/>
        <w:jc w:val="left"/>
        <w:rPr>
          <w:sz w:val="24"/>
          <w:szCs w:val="24"/>
        </w:rPr>
      </w:pPr>
    </w:p>
    <w:p w:rsidR="001C74B7" w:rsidRDefault="00050957" w:rsidP="00B97032">
      <w:pPr>
        <w:pStyle w:val="BodyText"/>
        <w:jc w:val="left"/>
        <w:rPr>
          <w:sz w:val="24"/>
          <w:szCs w:val="24"/>
        </w:rPr>
      </w:pPr>
      <w:r>
        <w:rPr>
          <w:sz w:val="24"/>
          <w:szCs w:val="24"/>
        </w:rPr>
        <w:tab/>
      </w:r>
      <w:r>
        <w:rPr>
          <w:sz w:val="24"/>
          <w:szCs w:val="24"/>
        </w:rPr>
        <w:tab/>
        <w:t>16</w:t>
      </w:r>
      <w:r w:rsidR="009A6CC7" w:rsidRPr="00475063">
        <w:rPr>
          <w:sz w:val="24"/>
          <w:szCs w:val="24"/>
        </w:rPr>
        <w:t>.</w:t>
      </w:r>
      <w:r w:rsidR="009A6CC7" w:rsidRPr="00475063">
        <w:rPr>
          <w:sz w:val="24"/>
          <w:szCs w:val="24"/>
        </w:rPr>
        <w:tab/>
      </w:r>
      <w:r w:rsidR="0020054C">
        <w:rPr>
          <w:sz w:val="24"/>
          <w:szCs w:val="24"/>
        </w:rPr>
        <w:t>Complainant contacted Respondent’s customer service department and was advised he needed to take care of the problem himself</w:t>
      </w:r>
      <w:r w:rsidR="00002A2B">
        <w:rPr>
          <w:sz w:val="24"/>
          <w:szCs w:val="24"/>
        </w:rPr>
        <w:t xml:space="preserve">.  </w:t>
      </w:r>
      <w:r w:rsidR="001C74B7">
        <w:rPr>
          <w:sz w:val="24"/>
          <w:szCs w:val="24"/>
        </w:rPr>
        <w:t xml:space="preserve">(Tr. 16-19).  </w:t>
      </w:r>
    </w:p>
    <w:p w:rsidR="001C74B7" w:rsidRDefault="001C74B7" w:rsidP="00B97032">
      <w:pPr>
        <w:pStyle w:val="BodyText"/>
        <w:jc w:val="left"/>
        <w:rPr>
          <w:sz w:val="24"/>
          <w:szCs w:val="24"/>
        </w:rPr>
      </w:pPr>
    </w:p>
    <w:p w:rsidR="001C74B7" w:rsidRDefault="00050957" w:rsidP="00B97032">
      <w:pPr>
        <w:pStyle w:val="BodyText"/>
        <w:jc w:val="left"/>
        <w:rPr>
          <w:sz w:val="24"/>
          <w:szCs w:val="24"/>
        </w:rPr>
      </w:pPr>
      <w:r>
        <w:rPr>
          <w:sz w:val="24"/>
          <w:szCs w:val="24"/>
        </w:rPr>
        <w:tab/>
      </w:r>
      <w:r>
        <w:rPr>
          <w:sz w:val="24"/>
          <w:szCs w:val="24"/>
        </w:rPr>
        <w:tab/>
        <w:t>17</w:t>
      </w:r>
      <w:r w:rsidR="001C74B7">
        <w:rPr>
          <w:sz w:val="24"/>
          <w:szCs w:val="24"/>
        </w:rPr>
        <w:t>.</w:t>
      </w:r>
      <w:r w:rsidR="001C74B7">
        <w:rPr>
          <w:sz w:val="24"/>
          <w:szCs w:val="24"/>
        </w:rPr>
        <w:tab/>
        <w:t xml:space="preserve">On April 26, 2011, the two erroneously listed delinquent accounts from Duquesne Light were removed from Complainant’s credit report.  </w:t>
      </w:r>
      <w:proofErr w:type="gramStart"/>
      <w:r w:rsidR="001C74B7">
        <w:rPr>
          <w:sz w:val="24"/>
          <w:szCs w:val="24"/>
        </w:rPr>
        <w:t>(Tr. 47).</w:t>
      </w:r>
      <w:proofErr w:type="gramEnd"/>
    </w:p>
    <w:p w:rsidR="001C74B7" w:rsidRDefault="001C74B7" w:rsidP="00B97032">
      <w:pPr>
        <w:pStyle w:val="BodyText"/>
        <w:jc w:val="left"/>
        <w:rPr>
          <w:sz w:val="24"/>
          <w:szCs w:val="24"/>
        </w:rPr>
      </w:pPr>
    </w:p>
    <w:p w:rsidR="009A6CC7" w:rsidRDefault="00050957" w:rsidP="001C74B7">
      <w:pPr>
        <w:pStyle w:val="BodyText"/>
        <w:ind w:firstLine="1440"/>
        <w:jc w:val="left"/>
        <w:rPr>
          <w:sz w:val="24"/>
          <w:szCs w:val="24"/>
        </w:rPr>
      </w:pPr>
      <w:r>
        <w:rPr>
          <w:sz w:val="24"/>
          <w:szCs w:val="24"/>
        </w:rPr>
        <w:t>18</w:t>
      </w:r>
      <w:r w:rsidR="001C74B7">
        <w:rPr>
          <w:sz w:val="24"/>
          <w:szCs w:val="24"/>
        </w:rPr>
        <w:t>.</w:t>
      </w:r>
      <w:r w:rsidR="001C74B7">
        <w:rPr>
          <w:sz w:val="24"/>
          <w:szCs w:val="24"/>
        </w:rPr>
        <w:tab/>
      </w:r>
      <w:r w:rsidR="00002A2B">
        <w:rPr>
          <w:sz w:val="24"/>
          <w:szCs w:val="24"/>
        </w:rPr>
        <w:t>Around June 8, 2011, Complainant spoke with Respondent’s counsel about reinstating his line of credit</w:t>
      </w:r>
      <w:r w:rsidR="0020054C">
        <w:rPr>
          <w:sz w:val="24"/>
          <w:szCs w:val="24"/>
        </w:rPr>
        <w:t>.  (Tr. 16</w:t>
      </w:r>
      <w:r w:rsidR="00002A2B">
        <w:rPr>
          <w:sz w:val="24"/>
          <w:szCs w:val="24"/>
        </w:rPr>
        <w:t>-19</w:t>
      </w:r>
      <w:r w:rsidR="0020054C">
        <w:rPr>
          <w:sz w:val="24"/>
          <w:szCs w:val="24"/>
        </w:rPr>
        <w:t>).</w:t>
      </w:r>
    </w:p>
    <w:p w:rsidR="0020054C" w:rsidRDefault="0020054C" w:rsidP="00B97032">
      <w:pPr>
        <w:pStyle w:val="BodyText"/>
        <w:jc w:val="left"/>
        <w:rPr>
          <w:sz w:val="24"/>
          <w:szCs w:val="24"/>
        </w:rPr>
      </w:pPr>
    </w:p>
    <w:p w:rsidR="00050957" w:rsidRDefault="0020054C" w:rsidP="00B97032">
      <w:pPr>
        <w:pStyle w:val="BodyText"/>
        <w:jc w:val="left"/>
        <w:rPr>
          <w:sz w:val="24"/>
          <w:szCs w:val="24"/>
        </w:rPr>
      </w:pPr>
      <w:r>
        <w:rPr>
          <w:sz w:val="24"/>
          <w:szCs w:val="24"/>
        </w:rPr>
        <w:lastRenderedPageBreak/>
        <w:tab/>
      </w:r>
      <w:r>
        <w:rPr>
          <w:sz w:val="24"/>
          <w:szCs w:val="24"/>
        </w:rPr>
        <w:tab/>
      </w:r>
      <w:r w:rsidR="00D411AB">
        <w:rPr>
          <w:sz w:val="24"/>
          <w:szCs w:val="24"/>
        </w:rPr>
        <w:t>1</w:t>
      </w:r>
      <w:r w:rsidR="00050957">
        <w:rPr>
          <w:sz w:val="24"/>
          <w:szCs w:val="24"/>
        </w:rPr>
        <w:t>9</w:t>
      </w:r>
      <w:r>
        <w:rPr>
          <w:sz w:val="24"/>
          <w:szCs w:val="24"/>
        </w:rPr>
        <w:t>.</w:t>
      </w:r>
      <w:r>
        <w:rPr>
          <w:sz w:val="24"/>
          <w:szCs w:val="24"/>
        </w:rPr>
        <w:tab/>
      </w:r>
      <w:r w:rsidR="00002A2B">
        <w:rPr>
          <w:sz w:val="24"/>
          <w:szCs w:val="24"/>
        </w:rPr>
        <w:t xml:space="preserve">On June 8, 2011, </w:t>
      </w:r>
      <w:r>
        <w:rPr>
          <w:sz w:val="24"/>
          <w:szCs w:val="24"/>
        </w:rPr>
        <w:t>Respondent’s counsel signed a letter drafted by Complainant’s wife</w:t>
      </w:r>
      <w:r w:rsidR="00050957">
        <w:rPr>
          <w:sz w:val="24"/>
          <w:szCs w:val="24"/>
        </w:rPr>
        <w:t xml:space="preserve"> </w:t>
      </w:r>
      <w:proofErr w:type="gramStart"/>
      <w:r w:rsidR="00050957">
        <w:rPr>
          <w:sz w:val="24"/>
          <w:szCs w:val="24"/>
        </w:rPr>
        <w:t>which</w:t>
      </w:r>
      <w:proofErr w:type="gramEnd"/>
      <w:r w:rsidR="00050957">
        <w:rPr>
          <w:sz w:val="24"/>
          <w:szCs w:val="24"/>
        </w:rPr>
        <w:t xml:space="preserve"> references two (2) unpaid Duquesne Light accounts: </w:t>
      </w:r>
      <w:r w:rsidR="005558E4">
        <w:rPr>
          <w:sz w:val="24"/>
          <w:szCs w:val="24"/>
        </w:rPr>
        <w:t xml:space="preserve"> </w:t>
      </w:r>
      <w:r w:rsidR="00050957">
        <w:rPr>
          <w:sz w:val="24"/>
          <w:szCs w:val="24"/>
        </w:rPr>
        <w:t xml:space="preserve">Account No. 252xxxx with CBCS collection agency; and Account No. 2092xxxx with National Recovery collection agency.  </w:t>
      </w:r>
      <w:proofErr w:type="gramStart"/>
      <w:r w:rsidR="00050957">
        <w:rPr>
          <w:sz w:val="24"/>
          <w:szCs w:val="24"/>
        </w:rPr>
        <w:t>(Tr. 68-69; Complainant Exhibit A).</w:t>
      </w:r>
      <w:proofErr w:type="gramEnd"/>
    </w:p>
    <w:p w:rsidR="00050957" w:rsidRDefault="00050957" w:rsidP="00B97032">
      <w:pPr>
        <w:pStyle w:val="BodyText"/>
        <w:jc w:val="left"/>
        <w:rPr>
          <w:sz w:val="24"/>
          <w:szCs w:val="24"/>
        </w:rPr>
      </w:pPr>
    </w:p>
    <w:p w:rsidR="00002A2B" w:rsidRDefault="00050957" w:rsidP="00050957">
      <w:pPr>
        <w:pStyle w:val="BodyText"/>
        <w:ind w:firstLine="1440"/>
        <w:jc w:val="left"/>
        <w:rPr>
          <w:sz w:val="24"/>
          <w:szCs w:val="24"/>
        </w:rPr>
      </w:pPr>
      <w:r>
        <w:rPr>
          <w:sz w:val="24"/>
          <w:szCs w:val="24"/>
        </w:rPr>
        <w:t>20.</w:t>
      </w:r>
      <w:r>
        <w:rPr>
          <w:sz w:val="24"/>
          <w:szCs w:val="24"/>
        </w:rPr>
        <w:tab/>
        <w:t>In the June 8, 2011 letter, Respondent states:</w:t>
      </w:r>
      <w:r w:rsidR="0020054C">
        <w:rPr>
          <w:sz w:val="24"/>
          <w:szCs w:val="24"/>
        </w:rPr>
        <w:t xml:space="preserve"> </w:t>
      </w:r>
    </w:p>
    <w:p w:rsidR="0020054C" w:rsidRDefault="0020054C" w:rsidP="001538D0">
      <w:pPr>
        <w:pStyle w:val="BodyText"/>
        <w:spacing w:line="240" w:lineRule="auto"/>
        <w:ind w:left="2160" w:right="720"/>
        <w:jc w:val="left"/>
        <w:rPr>
          <w:sz w:val="24"/>
          <w:szCs w:val="24"/>
        </w:rPr>
      </w:pPr>
      <w:r>
        <w:rPr>
          <w:sz w:val="24"/>
          <w:szCs w:val="24"/>
        </w:rPr>
        <w:t>“</w:t>
      </w:r>
      <w:r w:rsidR="00002A2B">
        <w:rPr>
          <w:sz w:val="24"/>
          <w:szCs w:val="24"/>
        </w:rPr>
        <w:t>I am writing to provide you with formal notice of a credit reporting error that was made by Duquesne Light Company.  It has come to my attention that Duquesne Light Company reported certain erroneous information to Equifax Information Services.  Apparently Mr. Gary D. Lindner (who is in good standing with Duquesne Light Company) had various incorrect data reported in his name and under his social security number.  Duquesne Light would like to apologize and notify you that this error has been rectified, the incorrect information is being removed and inform you that Mr. Gary D. Lindner/Atlantis Custom Aquariums is in good standing with our company</w:t>
      </w:r>
      <w:r>
        <w:rPr>
          <w:sz w:val="24"/>
          <w:szCs w:val="24"/>
        </w:rPr>
        <w:t xml:space="preserve">”.  </w:t>
      </w:r>
      <w:proofErr w:type="gramStart"/>
      <w:r>
        <w:rPr>
          <w:sz w:val="24"/>
          <w:szCs w:val="24"/>
        </w:rPr>
        <w:t>(Tr. 16-19; Complainant Exhibit A).</w:t>
      </w:r>
      <w:proofErr w:type="gramEnd"/>
    </w:p>
    <w:p w:rsidR="0020054C" w:rsidRDefault="0020054C" w:rsidP="00B97032">
      <w:pPr>
        <w:pStyle w:val="BodyText"/>
        <w:jc w:val="left"/>
        <w:rPr>
          <w:sz w:val="24"/>
          <w:szCs w:val="24"/>
        </w:rPr>
      </w:pPr>
    </w:p>
    <w:p w:rsidR="0020054C" w:rsidRDefault="00050957" w:rsidP="00B97032">
      <w:pPr>
        <w:pStyle w:val="BodyText"/>
        <w:jc w:val="left"/>
        <w:rPr>
          <w:sz w:val="24"/>
          <w:szCs w:val="24"/>
        </w:rPr>
      </w:pPr>
      <w:r>
        <w:rPr>
          <w:sz w:val="24"/>
          <w:szCs w:val="24"/>
        </w:rPr>
        <w:tab/>
      </w:r>
      <w:r>
        <w:rPr>
          <w:sz w:val="24"/>
          <w:szCs w:val="24"/>
        </w:rPr>
        <w:tab/>
        <w:t>21</w:t>
      </w:r>
      <w:r w:rsidR="0020054C">
        <w:rPr>
          <w:sz w:val="24"/>
          <w:szCs w:val="24"/>
        </w:rPr>
        <w:t>.</w:t>
      </w:r>
      <w:r w:rsidR="0020054C">
        <w:rPr>
          <w:sz w:val="24"/>
          <w:szCs w:val="24"/>
        </w:rPr>
        <w:tab/>
        <w:t>The letter</w:t>
      </w:r>
      <w:r w:rsidR="00D411AB">
        <w:rPr>
          <w:sz w:val="24"/>
          <w:szCs w:val="24"/>
        </w:rPr>
        <w:t xml:space="preserve"> is</w:t>
      </w:r>
      <w:r w:rsidR="0020054C">
        <w:rPr>
          <w:sz w:val="24"/>
          <w:szCs w:val="24"/>
        </w:rPr>
        <w:t xml:space="preserve"> dated June 8, 2011</w:t>
      </w:r>
      <w:r w:rsidR="00D411AB">
        <w:rPr>
          <w:sz w:val="24"/>
          <w:szCs w:val="24"/>
        </w:rPr>
        <w:t>, signed by</w:t>
      </w:r>
      <w:r w:rsidR="0020054C">
        <w:rPr>
          <w:sz w:val="24"/>
          <w:szCs w:val="24"/>
        </w:rPr>
        <w:t xml:space="preserve"> Respondent’s counsel</w:t>
      </w:r>
      <w:r w:rsidR="00B25996">
        <w:rPr>
          <w:sz w:val="24"/>
          <w:szCs w:val="24"/>
        </w:rPr>
        <w:t>,</w:t>
      </w:r>
      <w:r w:rsidR="00D411AB">
        <w:rPr>
          <w:sz w:val="24"/>
          <w:szCs w:val="24"/>
        </w:rPr>
        <w:t xml:space="preserve"> </w:t>
      </w:r>
      <w:r w:rsidR="0020054C">
        <w:rPr>
          <w:sz w:val="24"/>
          <w:szCs w:val="24"/>
        </w:rPr>
        <w:t>on Respondent’s letterhead, addressed to Citizens Bank,</w:t>
      </w:r>
      <w:r w:rsidR="00002A2B">
        <w:rPr>
          <w:sz w:val="24"/>
          <w:szCs w:val="24"/>
        </w:rPr>
        <w:t xml:space="preserve"> and </w:t>
      </w:r>
      <w:r w:rsidR="0020054C">
        <w:rPr>
          <w:sz w:val="24"/>
          <w:szCs w:val="24"/>
        </w:rPr>
        <w:t>references the account for Complainant’</w:t>
      </w:r>
      <w:r w:rsidR="00002A2B">
        <w:rPr>
          <w:sz w:val="24"/>
          <w:szCs w:val="24"/>
        </w:rPr>
        <w:t xml:space="preserve">s business. </w:t>
      </w:r>
      <w:proofErr w:type="gramStart"/>
      <w:r w:rsidR="00002A2B">
        <w:rPr>
          <w:sz w:val="24"/>
          <w:szCs w:val="24"/>
        </w:rPr>
        <w:t>(Complainant Exhibit A).</w:t>
      </w:r>
      <w:proofErr w:type="gramEnd"/>
    </w:p>
    <w:p w:rsidR="005D46EF" w:rsidRDefault="005D46EF" w:rsidP="00B97032">
      <w:pPr>
        <w:pStyle w:val="BodyText"/>
        <w:jc w:val="left"/>
        <w:rPr>
          <w:sz w:val="24"/>
          <w:szCs w:val="24"/>
        </w:rPr>
      </w:pPr>
    </w:p>
    <w:p w:rsidR="005D46EF" w:rsidRDefault="00050957" w:rsidP="00B97032">
      <w:pPr>
        <w:pStyle w:val="BodyText"/>
        <w:jc w:val="left"/>
        <w:rPr>
          <w:sz w:val="24"/>
          <w:szCs w:val="24"/>
        </w:rPr>
      </w:pPr>
      <w:r>
        <w:rPr>
          <w:sz w:val="24"/>
          <w:szCs w:val="24"/>
        </w:rPr>
        <w:tab/>
      </w:r>
      <w:r>
        <w:rPr>
          <w:sz w:val="24"/>
          <w:szCs w:val="24"/>
        </w:rPr>
        <w:tab/>
        <w:t>22</w:t>
      </w:r>
      <w:r w:rsidR="005D46EF">
        <w:rPr>
          <w:sz w:val="24"/>
          <w:szCs w:val="24"/>
        </w:rPr>
        <w:t>.</w:t>
      </w:r>
      <w:r w:rsidR="005D46EF">
        <w:rPr>
          <w:sz w:val="24"/>
          <w:szCs w:val="24"/>
        </w:rPr>
        <w:tab/>
        <w:t xml:space="preserve">On June 24, 2011, Citizens Bank responded to an inquiry from the Pennsylvania Department of Banking in which it acknowledged cancelling Complainant’s Commercial Line of Credit due to adverse credit reports and also acknowledged Complainant resolved the incorrect negative reporting.  </w:t>
      </w:r>
      <w:proofErr w:type="gramStart"/>
      <w:r w:rsidR="005D46EF">
        <w:rPr>
          <w:sz w:val="24"/>
          <w:szCs w:val="24"/>
        </w:rPr>
        <w:t>(Respondent Exhibit 10).</w:t>
      </w:r>
      <w:proofErr w:type="gramEnd"/>
    </w:p>
    <w:p w:rsidR="00B25996" w:rsidRDefault="00B25996" w:rsidP="00B25996">
      <w:pPr>
        <w:pStyle w:val="BodyText"/>
        <w:jc w:val="left"/>
        <w:rPr>
          <w:sz w:val="24"/>
          <w:szCs w:val="24"/>
        </w:rPr>
      </w:pPr>
    </w:p>
    <w:p w:rsidR="005D46EF" w:rsidRDefault="00050957" w:rsidP="00B25996">
      <w:pPr>
        <w:pStyle w:val="BodyText"/>
        <w:jc w:val="left"/>
        <w:rPr>
          <w:sz w:val="24"/>
          <w:szCs w:val="24"/>
        </w:rPr>
      </w:pPr>
      <w:r>
        <w:rPr>
          <w:sz w:val="24"/>
          <w:szCs w:val="24"/>
        </w:rPr>
        <w:tab/>
      </w:r>
      <w:r>
        <w:rPr>
          <w:sz w:val="24"/>
          <w:szCs w:val="24"/>
        </w:rPr>
        <w:tab/>
        <w:t>23</w:t>
      </w:r>
      <w:r w:rsidR="005D46EF">
        <w:rPr>
          <w:sz w:val="24"/>
          <w:szCs w:val="24"/>
        </w:rPr>
        <w:t>.</w:t>
      </w:r>
      <w:r w:rsidR="005D46EF">
        <w:rPr>
          <w:sz w:val="24"/>
          <w:szCs w:val="24"/>
        </w:rPr>
        <w:tab/>
        <w:t xml:space="preserve">Citizens Bank alleged Complainant was “in breach of an additional term under the Credit Agreement (defined below), and Citizens Bank has elected to terminate the customer’s access to credit under the Credit Agreement as a result of this breach, not as a result of incorrect negative reporting as Mr. Lindner contends.”  </w:t>
      </w:r>
      <w:proofErr w:type="gramStart"/>
      <w:r w:rsidR="005D46EF">
        <w:rPr>
          <w:sz w:val="24"/>
          <w:szCs w:val="24"/>
        </w:rPr>
        <w:t>(Respondent Exhibit 10).</w:t>
      </w:r>
      <w:proofErr w:type="gramEnd"/>
    </w:p>
    <w:p w:rsidR="005D46EF" w:rsidRDefault="005D46EF" w:rsidP="00B25996">
      <w:pPr>
        <w:pStyle w:val="BodyText"/>
        <w:jc w:val="left"/>
        <w:rPr>
          <w:sz w:val="24"/>
          <w:szCs w:val="24"/>
        </w:rPr>
      </w:pPr>
    </w:p>
    <w:p w:rsidR="005D46EF" w:rsidRDefault="00D411AB" w:rsidP="00B25996">
      <w:pPr>
        <w:pStyle w:val="BodyText"/>
        <w:jc w:val="left"/>
        <w:rPr>
          <w:sz w:val="24"/>
          <w:szCs w:val="24"/>
        </w:rPr>
      </w:pPr>
      <w:r>
        <w:rPr>
          <w:sz w:val="24"/>
          <w:szCs w:val="24"/>
        </w:rPr>
        <w:tab/>
      </w:r>
      <w:r>
        <w:rPr>
          <w:sz w:val="24"/>
          <w:szCs w:val="24"/>
        </w:rPr>
        <w:tab/>
      </w:r>
      <w:r w:rsidR="00050957">
        <w:rPr>
          <w:sz w:val="24"/>
          <w:szCs w:val="24"/>
        </w:rPr>
        <w:t>24</w:t>
      </w:r>
      <w:r w:rsidR="005D46EF">
        <w:rPr>
          <w:sz w:val="24"/>
          <w:szCs w:val="24"/>
        </w:rPr>
        <w:t>.</w:t>
      </w:r>
      <w:r w:rsidR="005D46EF">
        <w:rPr>
          <w:sz w:val="24"/>
          <w:szCs w:val="24"/>
        </w:rPr>
        <w:tab/>
        <w:t xml:space="preserve">In its June 24, 2011 letter, Citizens Bank stated it requested a personal financial statement on May 6, 2011 from Complainant, which Complainant failed to provide, </w:t>
      </w:r>
      <w:r w:rsidR="005D46EF">
        <w:rPr>
          <w:sz w:val="24"/>
          <w:szCs w:val="24"/>
        </w:rPr>
        <w:lastRenderedPageBreak/>
        <w:t xml:space="preserve">which failure was viewed as a breach of the credit agreement by Citizens Bank.  </w:t>
      </w:r>
      <w:proofErr w:type="gramStart"/>
      <w:r w:rsidR="005D46EF">
        <w:rPr>
          <w:sz w:val="24"/>
          <w:szCs w:val="24"/>
        </w:rPr>
        <w:t>(Respondent Exhibit 10).</w:t>
      </w:r>
      <w:proofErr w:type="gramEnd"/>
    </w:p>
    <w:p w:rsidR="00545DAD" w:rsidRDefault="00545DAD" w:rsidP="00B25996">
      <w:pPr>
        <w:pStyle w:val="BodyText"/>
        <w:jc w:val="left"/>
        <w:rPr>
          <w:sz w:val="24"/>
          <w:szCs w:val="24"/>
        </w:rPr>
      </w:pPr>
    </w:p>
    <w:p w:rsidR="00545DAD" w:rsidRDefault="00D411AB" w:rsidP="00B25996">
      <w:pPr>
        <w:pStyle w:val="BodyText"/>
        <w:jc w:val="left"/>
        <w:rPr>
          <w:sz w:val="24"/>
          <w:szCs w:val="24"/>
        </w:rPr>
      </w:pPr>
      <w:r>
        <w:rPr>
          <w:sz w:val="24"/>
          <w:szCs w:val="24"/>
        </w:rPr>
        <w:tab/>
      </w:r>
      <w:r>
        <w:rPr>
          <w:sz w:val="24"/>
          <w:szCs w:val="24"/>
        </w:rPr>
        <w:tab/>
      </w:r>
      <w:r w:rsidR="00050957">
        <w:rPr>
          <w:sz w:val="24"/>
          <w:szCs w:val="24"/>
        </w:rPr>
        <w:t>25</w:t>
      </w:r>
      <w:r w:rsidR="00545DAD">
        <w:rPr>
          <w:sz w:val="24"/>
          <w:szCs w:val="24"/>
        </w:rPr>
        <w:t>.</w:t>
      </w:r>
      <w:r w:rsidR="00545DAD">
        <w:rPr>
          <w:sz w:val="24"/>
          <w:szCs w:val="24"/>
        </w:rPr>
        <w:tab/>
        <w:t xml:space="preserve">On July 5, 2011, the Pennsylvania Department of Banking indicated to Complainant it could not take exception to Citizens Bank’s decision to no longer extend credit to Complainant under the credit agreement.  </w:t>
      </w:r>
      <w:proofErr w:type="gramStart"/>
      <w:r w:rsidR="00545DAD">
        <w:rPr>
          <w:sz w:val="24"/>
          <w:szCs w:val="24"/>
        </w:rPr>
        <w:t>(Respondent’s Exhibit 11).</w:t>
      </w:r>
      <w:proofErr w:type="gramEnd"/>
    </w:p>
    <w:p w:rsidR="007E48E1" w:rsidRDefault="007E48E1" w:rsidP="007E48E1">
      <w:pPr>
        <w:pStyle w:val="BodyText"/>
        <w:jc w:val="left"/>
        <w:rPr>
          <w:sz w:val="24"/>
          <w:szCs w:val="24"/>
        </w:rPr>
      </w:pPr>
    </w:p>
    <w:p w:rsidR="008E4FD6" w:rsidRPr="00475063" w:rsidRDefault="008E4FD6" w:rsidP="008E4FD6">
      <w:pPr>
        <w:tabs>
          <w:tab w:val="left" w:pos="2160"/>
        </w:tabs>
        <w:spacing w:line="360" w:lineRule="auto"/>
        <w:jc w:val="center"/>
        <w:rPr>
          <w:u w:val="single"/>
        </w:rPr>
      </w:pPr>
      <w:r w:rsidRPr="00475063">
        <w:rPr>
          <w:u w:val="single"/>
        </w:rPr>
        <w:t>DISCUSSION</w:t>
      </w:r>
    </w:p>
    <w:p w:rsidR="007E48E1" w:rsidRPr="00475063" w:rsidRDefault="007E48E1" w:rsidP="007E48E1">
      <w:pPr>
        <w:tabs>
          <w:tab w:val="left" w:pos="2160"/>
        </w:tabs>
        <w:spacing w:line="360" w:lineRule="auto"/>
        <w:jc w:val="center"/>
        <w:rPr>
          <w:u w:val="single"/>
        </w:rPr>
      </w:pPr>
    </w:p>
    <w:p w:rsidR="007E48E1" w:rsidRPr="00475063" w:rsidRDefault="007E48E1" w:rsidP="007E48E1">
      <w:pPr>
        <w:pStyle w:val="BodyText"/>
        <w:jc w:val="left"/>
        <w:rPr>
          <w:sz w:val="24"/>
          <w:szCs w:val="24"/>
        </w:rPr>
      </w:pPr>
      <w:r w:rsidRPr="00475063">
        <w:rPr>
          <w:sz w:val="24"/>
          <w:szCs w:val="24"/>
        </w:rPr>
        <w:tab/>
      </w:r>
      <w:r w:rsidRPr="00475063">
        <w:rPr>
          <w:sz w:val="24"/>
          <w:szCs w:val="24"/>
        </w:rPr>
        <w:tab/>
        <w:t xml:space="preserve">On </w:t>
      </w:r>
      <w:r w:rsidR="00475063" w:rsidRPr="00475063">
        <w:rPr>
          <w:sz w:val="24"/>
          <w:szCs w:val="24"/>
        </w:rPr>
        <w:t>April 12, 2011</w:t>
      </w:r>
      <w:r w:rsidRPr="00475063">
        <w:rPr>
          <w:sz w:val="24"/>
          <w:szCs w:val="24"/>
        </w:rPr>
        <w:t xml:space="preserve">, Complainant </w:t>
      </w:r>
      <w:r w:rsidR="005D46EF">
        <w:rPr>
          <w:sz w:val="24"/>
          <w:szCs w:val="24"/>
        </w:rPr>
        <w:t>alleged</w:t>
      </w:r>
      <w:r w:rsidR="00475063" w:rsidRPr="00475063">
        <w:rPr>
          <w:sz w:val="24"/>
          <w:szCs w:val="24"/>
        </w:rPr>
        <w:t xml:space="preserve"> Respondent improperly and incorrectly assigned two delinquent residential accounts against his </w:t>
      </w:r>
      <w:r w:rsidR="00E11E35">
        <w:rPr>
          <w:sz w:val="24"/>
          <w:szCs w:val="24"/>
        </w:rPr>
        <w:t>S</w:t>
      </w:r>
      <w:r w:rsidR="00475063" w:rsidRPr="00475063">
        <w:rPr>
          <w:sz w:val="24"/>
          <w:szCs w:val="24"/>
        </w:rPr>
        <w:t xml:space="preserve">ocial </w:t>
      </w:r>
      <w:r w:rsidR="00E11E35">
        <w:rPr>
          <w:sz w:val="24"/>
          <w:szCs w:val="24"/>
        </w:rPr>
        <w:t>S</w:t>
      </w:r>
      <w:r w:rsidR="00475063" w:rsidRPr="00475063">
        <w:rPr>
          <w:sz w:val="24"/>
          <w:szCs w:val="24"/>
        </w:rPr>
        <w:t xml:space="preserve">ecurity number on his credit report, resulting in his banking institution terminating the </w:t>
      </w:r>
      <w:r w:rsidR="000478B7">
        <w:rPr>
          <w:sz w:val="24"/>
          <w:szCs w:val="24"/>
        </w:rPr>
        <w:t xml:space="preserve">unsecured </w:t>
      </w:r>
      <w:r w:rsidR="00475063" w:rsidRPr="00475063">
        <w:rPr>
          <w:sz w:val="24"/>
          <w:szCs w:val="24"/>
        </w:rPr>
        <w:t xml:space="preserve">line of credit </w:t>
      </w:r>
      <w:r w:rsidR="000478B7">
        <w:rPr>
          <w:sz w:val="24"/>
          <w:szCs w:val="24"/>
        </w:rPr>
        <w:t xml:space="preserve">used </w:t>
      </w:r>
      <w:r w:rsidR="00475063" w:rsidRPr="00475063">
        <w:rPr>
          <w:sz w:val="24"/>
          <w:szCs w:val="24"/>
        </w:rPr>
        <w:t xml:space="preserve">for his business.  Complainant requested the Commission require Respondent to remove the negative references from his credit report and </w:t>
      </w:r>
      <w:r w:rsidR="000478B7">
        <w:rPr>
          <w:sz w:val="24"/>
          <w:szCs w:val="24"/>
        </w:rPr>
        <w:t xml:space="preserve">issue </w:t>
      </w:r>
      <w:r w:rsidR="00475063" w:rsidRPr="00475063">
        <w:rPr>
          <w:sz w:val="24"/>
          <w:szCs w:val="24"/>
        </w:rPr>
        <w:t>an acknowledgement letter from Respondent admitting Respondent’s error</w:t>
      </w:r>
      <w:r w:rsidRPr="00475063">
        <w:rPr>
          <w:sz w:val="24"/>
          <w:szCs w:val="24"/>
        </w:rPr>
        <w:t>.</w:t>
      </w:r>
    </w:p>
    <w:p w:rsidR="007E48E1" w:rsidRPr="00475063" w:rsidRDefault="007E48E1" w:rsidP="007E48E1">
      <w:pPr>
        <w:pStyle w:val="BodyText"/>
        <w:jc w:val="left"/>
        <w:rPr>
          <w:sz w:val="24"/>
          <w:szCs w:val="24"/>
        </w:rPr>
      </w:pPr>
    </w:p>
    <w:p w:rsidR="006E0E7F" w:rsidRDefault="006E0E7F" w:rsidP="007E48E1">
      <w:pPr>
        <w:pStyle w:val="BodyText"/>
        <w:jc w:val="left"/>
        <w:rPr>
          <w:sz w:val="24"/>
          <w:szCs w:val="24"/>
          <w:u w:val="single"/>
        </w:rPr>
      </w:pPr>
      <w:r>
        <w:rPr>
          <w:sz w:val="24"/>
          <w:szCs w:val="24"/>
          <w:u w:val="single"/>
        </w:rPr>
        <w:t>Complainant’s Position</w:t>
      </w:r>
    </w:p>
    <w:p w:rsidR="001C74B7" w:rsidRPr="006E0E7F" w:rsidRDefault="001C74B7" w:rsidP="007E48E1">
      <w:pPr>
        <w:pStyle w:val="BodyText"/>
        <w:jc w:val="left"/>
        <w:rPr>
          <w:sz w:val="24"/>
          <w:szCs w:val="24"/>
          <w:u w:val="single"/>
        </w:rPr>
      </w:pPr>
    </w:p>
    <w:p w:rsidR="007E48E1" w:rsidRPr="008B455C" w:rsidRDefault="007E48E1" w:rsidP="000930C0">
      <w:pPr>
        <w:pStyle w:val="BodyText"/>
        <w:jc w:val="left"/>
        <w:rPr>
          <w:sz w:val="24"/>
          <w:szCs w:val="24"/>
        </w:rPr>
      </w:pPr>
      <w:r w:rsidRPr="00475063">
        <w:rPr>
          <w:sz w:val="24"/>
          <w:szCs w:val="24"/>
        </w:rPr>
        <w:tab/>
      </w:r>
      <w:r w:rsidRPr="00475063">
        <w:rPr>
          <w:sz w:val="24"/>
          <w:szCs w:val="24"/>
        </w:rPr>
        <w:tab/>
        <w:t xml:space="preserve">Complainant argues </w:t>
      </w:r>
      <w:r w:rsidR="00C15CC3">
        <w:rPr>
          <w:sz w:val="24"/>
          <w:szCs w:val="24"/>
        </w:rPr>
        <w:t xml:space="preserve">Respondent listed his Social Security number on another electric service account for addresses where he neither lived nor worked and then reported delinquencies against Respondent with the credit reporting agency, which resulted in </w:t>
      </w:r>
      <w:r w:rsidR="007D630A">
        <w:rPr>
          <w:sz w:val="24"/>
          <w:szCs w:val="24"/>
        </w:rPr>
        <w:t xml:space="preserve">Citizens Bank revoking his Commercial Line of Credit account.  Complainant contends Duquesne Light made the mistake </w:t>
      </w:r>
      <w:r w:rsidR="00C15CC3">
        <w:rPr>
          <w:sz w:val="24"/>
          <w:szCs w:val="24"/>
        </w:rPr>
        <w:t>on two different service accounts</w:t>
      </w:r>
      <w:r w:rsidR="000478B7">
        <w:rPr>
          <w:sz w:val="24"/>
          <w:szCs w:val="24"/>
        </w:rPr>
        <w:t>.  As a result of those mistakes, the bank terminated the line of credit and, having terminated it, refused to reinstate it because the bank no longer offered that type of unsecured credit line account</w:t>
      </w:r>
      <w:r w:rsidR="007D630A">
        <w:rPr>
          <w:sz w:val="24"/>
          <w:szCs w:val="24"/>
        </w:rPr>
        <w:t xml:space="preserve">.  </w:t>
      </w:r>
    </w:p>
    <w:p w:rsidR="007E48E1" w:rsidRDefault="007E48E1" w:rsidP="000930C0">
      <w:pPr>
        <w:pStyle w:val="BodyText"/>
        <w:jc w:val="left"/>
        <w:rPr>
          <w:sz w:val="24"/>
          <w:szCs w:val="24"/>
        </w:rPr>
      </w:pPr>
    </w:p>
    <w:p w:rsidR="000930C0" w:rsidRDefault="00B25996" w:rsidP="000930C0">
      <w:pPr>
        <w:spacing w:line="360" w:lineRule="auto"/>
      </w:pPr>
      <w:r>
        <w:tab/>
      </w:r>
      <w:r>
        <w:tab/>
        <w:t xml:space="preserve">Complainant sought to admit Complainant’s Exhibit A, which was a letter signed by Respondent’s counsel and to which admission Respondent strenuously objected.  Respondent asserted the letter was signed as part of attempted negotiation discussions and, therefore, was not admissible.  The objection was overruled at the administrative hearing on the grounds the letter does not reference a settlement or negotiations, and the letter is a </w:t>
      </w:r>
      <w:r w:rsidR="007D630A">
        <w:t>statement against interest.</w:t>
      </w:r>
      <w:r>
        <w:t xml:space="preserve">  </w:t>
      </w:r>
    </w:p>
    <w:p w:rsidR="0055403D" w:rsidRDefault="00B25996" w:rsidP="001C74B7">
      <w:pPr>
        <w:spacing w:line="360" w:lineRule="auto"/>
        <w:ind w:firstLine="1440"/>
      </w:pPr>
      <w:r>
        <w:lastRenderedPageBreak/>
        <w:t>A statement</w:t>
      </w:r>
      <w:r w:rsidR="007D630A">
        <w:t>, or declaration,</w:t>
      </w:r>
      <w:r>
        <w:t xml:space="preserve"> against interest is an exception to the hea</w:t>
      </w:r>
      <w:r w:rsidR="007D630A">
        <w:t>rsay rule, and is a statement that is contrary to a declarant’s pecuniary, proprietary or penal interest, and is admissible because it is highly unlikely the declarant would fabricate a statement adverse to his or her own interests.</w:t>
      </w:r>
      <w:r w:rsidR="007D630A">
        <w:rPr>
          <w:rStyle w:val="FootnoteReference"/>
        </w:rPr>
        <w:footnoteReference w:id="1"/>
      </w:r>
      <w:r w:rsidR="000930C0">
        <w:t xml:space="preserve">  </w:t>
      </w:r>
    </w:p>
    <w:p w:rsidR="0055403D" w:rsidRDefault="0055403D" w:rsidP="0055403D">
      <w:pPr>
        <w:ind w:firstLine="1440"/>
      </w:pPr>
    </w:p>
    <w:p w:rsidR="000930C0" w:rsidRDefault="000930C0" w:rsidP="0055403D">
      <w:pPr>
        <w:ind w:left="1440" w:right="720"/>
      </w:pPr>
      <w:r>
        <w:t>“In other words, we find a declaration against interest to be an out-of-court statement that was made by a non-party who has since died or has become unavailable as witness; that concerned facts of which declarant had personal knowledge; that involved an interest (whether pecuniary, proprietary, penal or social) of declarant that was so palpable that it would naturally have been present in the declarant’s mind; and finally, that was against such interest.”</w:t>
      </w:r>
      <w:r>
        <w:rPr>
          <w:rStyle w:val="FootnoteReference"/>
        </w:rPr>
        <w:footnoteReference w:id="2"/>
      </w:r>
    </w:p>
    <w:p w:rsidR="001C74B7" w:rsidRDefault="001C74B7" w:rsidP="001C74B7">
      <w:pPr>
        <w:spacing w:line="360" w:lineRule="auto"/>
      </w:pPr>
    </w:p>
    <w:p w:rsidR="007D630A" w:rsidRDefault="007D630A" w:rsidP="001C74B7">
      <w:pPr>
        <w:spacing w:line="360" w:lineRule="auto"/>
      </w:pPr>
      <w:r>
        <w:tab/>
      </w:r>
      <w:r>
        <w:tab/>
      </w:r>
      <w:r w:rsidR="000478B7">
        <w:t xml:space="preserve">However, </w:t>
      </w:r>
      <w:r w:rsidR="007943C8">
        <w:t>upon later</w:t>
      </w:r>
      <w:r>
        <w:t xml:space="preserve"> </w:t>
      </w:r>
      <w:r w:rsidR="000930C0">
        <w:t xml:space="preserve">review, the letter is actually </w:t>
      </w:r>
      <w:r>
        <w:t>an admission of a party-opponent.  Statements of a party’s agent are admissible provided the agent is authorized to speak on behalf of the party, and were made during the course of the agent’s duties.</w:t>
      </w:r>
      <w:r w:rsidR="00EA3FF6">
        <w:t xml:space="preserve">  In addition, the statements made by an attorney are admissible against the client on this </w:t>
      </w:r>
      <w:r w:rsidR="001A63DD">
        <w:t xml:space="preserve">same </w:t>
      </w:r>
      <w:r w:rsidR="00EA3FF6">
        <w:t>theory of agency.</w:t>
      </w:r>
      <w:r w:rsidR="00EA3FF6">
        <w:rPr>
          <w:rStyle w:val="FootnoteReference"/>
        </w:rPr>
        <w:footnoteReference w:id="3"/>
      </w:r>
      <w:r w:rsidR="00EA3FF6">
        <w:t xml:space="preserve">  </w:t>
      </w:r>
      <w:r w:rsidR="001C74B7">
        <w:t>Therefore, the letter was admitted and considered when rendering this decision.  The letter is proof that Duquesne Light made, and recognized it made, at least one mistake when reporting information about Complainant to the credit reporting agency.</w:t>
      </w:r>
    </w:p>
    <w:p w:rsidR="00B25996" w:rsidRDefault="00B25996" w:rsidP="001C74B7">
      <w:pPr>
        <w:pStyle w:val="BodyText"/>
        <w:jc w:val="left"/>
        <w:rPr>
          <w:sz w:val="24"/>
          <w:szCs w:val="24"/>
        </w:rPr>
      </w:pPr>
    </w:p>
    <w:p w:rsidR="006E0E7F" w:rsidRDefault="006E0E7F" w:rsidP="007E48E1">
      <w:pPr>
        <w:pStyle w:val="BodyText"/>
        <w:jc w:val="left"/>
        <w:rPr>
          <w:sz w:val="24"/>
          <w:szCs w:val="24"/>
        </w:rPr>
      </w:pPr>
      <w:r>
        <w:rPr>
          <w:sz w:val="24"/>
          <w:szCs w:val="24"/>
          <w:u w:val="single"/>
        </w:rPr>
        <w:t>Respondent’s Position</w:t>
      </w:r>
    </w:p>
    <w:p w:rsidR="006E0E7F" w:rsidRPr="006E0E7F" w:rsidRDefault="006E0E7F" w:rsidP="007E48E1">
      <w:pPr>
        <w:pStyle w:val="BodyText"/>
        <w:jc w:val="left"/>
        <w:rPr>
          <w:sz w:val="24"/>
          <w:szCs w:val="24"/>
        </w:rPr>
      </w:pPr>
    </w:p>
    <w:p w:rsidR="007E48E1" w:rsidRDefault="007E48E1" w:rsidP="007E48E1">
      <w:pPr>
        <w:pStyle w:val="BodyText"/>
        <w:jc w:val="left"/>
        <w:rPr>
          <w:sz w:val="24"/>
          <w:szCs w:val="24"/>
        </w:rPr>
      </w:pPr>
      <w:r w:rsidRPr="008B455C">
        <w:rPr>
          <w:sz w:val="24"/>
          <w:szCs w:val="24"/>
        </w:rPr>
        <w:tab/>
      </w:r>
      <w:r w:rsidRPr="008B455C">
        <w:rPr>
          <w:sz w:val="24"/>
          <w:szCs w:val="24"/>
        </w:rPr>
        <w:tab/>
        <w:t>Respondent</w:t>
      </w:r>
      <w:r>
        <w:rPr>
          <w:sz w:val="24"/>
          <w:szCs w:val="24"/>
        </w:rPr>
        <w:t xml:space="preserve"> </w:t>
      </w:r>
      <w:r w:rsidR="00B97032">
        <w:rPr>
          <w:sz w:val="24"/>
          <w:szCs w:val="24"/>
        </w:rPr>
        <w:t xml:space="preserve">admits </w:t>
      </w:r>
      <w:r w:rsidR="001A63DD">
        <w:rPr>
          <w:sz w:val="24"/>
          <w:szCs w:val="24"/>
        </w:rPr>
        <w:t xml:space="preserve">it filed </w:t>
      </w:r>
      <w:r w:rsidR="000478B7">
        <w:rPr>
          <w:sz w:val="24"/>
          <w:szCs w:val="24"/>
        </w:rPr>
        <w:t>one erroneous report</w:t>
      </w:r>
      <w:r w:rsidR="001A63DD">
        <w:rPr>
          <w:sz w:val="24"/>
          <w:szCs w:val="24"/>
        </w:rPr>
        <w:t xml:space="preserve"> against Complainant with a credit reporting agency </w:t>
      </w:r>
      <w:r w:rsidR="00F32686">
        <w:rPr>
          <w:sz w:val="24"/>
          <w:szCs w:val="24"/>
        </w:rPr>
        <w:t>and was unable to determine how Complainant’s Social Security number became connected with another account for an individual with a similar name.  Respondent co</w:t>
      </w:r>
      <w:r w:rsidR="00475063">
        <w:rPr>
          <w:sz w:val="24"/>
          <w:szCs w:val="24"/>
        </w:rPr>
        <w:t>ntends</w:t>
      </w:r>
      <w:r w:rsidR="000478B7">
        <w:rPr>
          <w:sz w:val="24"/>
          <w:szCs w:val="24"/>
        </w:rPr>
        <w:t xml:space="preserve"> the other report was sent correctly because </w:t>
      </w:r>
      <w:r w:rsidR="001C74B7">
        <w:rPr>
          <w:sz w:val="24"/>
          <w:szCs w:val="24"/>
        </w:rPr>
        <w:t>Complainant</w:t>
      </w:r>
      <w:r w:rsidR="000478B7">
        <w:rPr>
          <w:sz w:val="24"/>
          <w:szCs w:val="24"/>
        </w:rPr>
        <w:t xml:space="preserve"> had a delinquent account at that time.  </w:t>
      </w:r>
      <w:r w:rsidR="00F32686">
        <w:rPr>
          <w:sz w:val="24"/>
          <w:szCs w:val="24"/>
        </w:rPr>
        <w:t xml:space="preserve">Respondent insists it acted speedily to remove the inaccurate credit report after it was notified to do so.  </w:t>
      </w:r>
      <w:r w:rsidR="000478B7">
        <w:rPr>
          <w:sz w:val="24"/>
          <w:szCs w:val="24"/>
        </w:rPr>
        <w:t>Nevertheless, Respondent avers</w:t>
      </w:r>
      <w:r w:rsidR="001A63DD">
        <w:rPr>
          <w:sz w:val="24"/>
          <w:szCs w:val="24"/>
        </w:rPr>
        <w:t xml:space="preserve"> </w:t>
      </w:r>
      <w:r w:rsidR="000478B7">
        <w:rPr>
          <w:sz w:val="24"/>
          <w:szCs w:val="24"/>
        </w:rPr>
        <w:t>the one</w:t>
      </w:r>
      <w:r w:rsidR="001A63DD">
        <w:rPr>
          <w:sz w:val="24"/>
          <w:szCs w:val="24"/>
        </w:rPr>
        <w:t xml:space="preserve"> erroneous report</w:t>
      </w:r>
      <w:r w:rsidR="000478B7">
        <w:rPr>
          <w:sz w:val="24"/>
          <w:szCs w:val="24"/>
        </w:rPr>
        <w:t xml:space="preserve"> was </w:t>
      </w:r>
      <w:r w:rsidR="001A63DD">
        <w:rPr>
          <w:sz w:val="24"/>
          <w:szCs w:val="24"/>
        </w:rPr>
        <w:t xml:space="preserve">not the reason </w:t>
      </w:r>
      <w:r w:rsidR="001A63DD">
        <w:rPr>
          <w:sz w:val="24"/>
          <w:szCs w:val="24"/>
        </w:rPr>
        <w:lastRenderedPageBreak/>
        <w:t xml:space="preserve">why Complainant lost its </w:t>
      </w:r>
      <w:r w:rsidR="00E73F16">
        <w:rPr>
          <w:sz w:val="24"/>
          <w:szCs w:val="24"/>
        </w:rPr>
        <w:t>C</w:t>
      </w:r>
      <w:r w:rsidR="001A63DD">
        <w:rPr>
          <w:sz w:val="24"/>
          <w:szCs w:val="24"/>
        </w:rPr>
        <w:t xml:space="preserve">ommercial </w:t>
      </w:r>
      <w:r w:rsidR="00E73F16">
        <w:rPr>
          <w:sz w:val="24"/>
          <w:szCs w:val="24"/>
        </w:rPr>
        <w:t>L</w:t>
      </w:r>
      <w:r w:rsidR="001A63DD">
        <w:rPr>
          <w:sz w:val="24"/>
          <w:szCs w:val="24"/>
        </w:rPr>
        <w:t xml:space="preserve">ine of </w:t>
      </w:r>
      <w:r w:rsidR="00E73F16">
        <w:rPr>
          <w:sz w:val="24"/>
          <w:szCs w:val="24"/>
        </w:rPr>
        <w:t>C</w:t>
      </w:r>
      <w:r w:rsidR="001A63DD">
        <w:rPr>
          <w:sz w:val="24"/>
          <w:szCs w:val="24"/>
        </w:rPr>
        <w:t>redit account</w:t>
      </w:r>
      <w:r w:rsidR="008733E6">
        <w:rPr>
          <w:sz w:val="24"/>
          <w:szCs w:val="24"/>
        </w:rPr>
        <w:t>.</w:t>
      </w:r>
      <w:r w:rsidR="001A63DD">
        <w:rPr>
          <w:sz w:val="24"/>
          <w:szCs w:val="24"/>
        </w:rPr>
        <w:t xml:space="preserve">  Respondent contends the reason Complainant lost its line of credit with Citizens Bank is because of</w:t>
      </w:r>
      <w:r w:rsidR="00F32686">
        <w:rPr>
          <w:sz w:val="24"/>
          <w:szCs w:val="24"/>
        </w:rPr>
        <w:t xml:space="preserve"> other</w:t>
      </w:r>
      <w:r w:rsidR="001A63DD">
        <w:rPr>
          <w:sz w:val="24"/>
          <w:szCs w:val="24"/>
        </w:rPr>
        <w:t xml:space="preserve"> unpaid bills </w:t>
      </w:r>
      <w:r w:rsidR="00F32686">
        <w:rPr>
          <w:sz w:val="24"/>
          <w:szCs w:val="24"/>
        </w:rPr>
        <w:t xml:space="preserve">and perhaps the one report it sent to a credit agency appropriately because Complainant did not pay on the final bill.  </w:t>
      </w:r>
      <w:r>
        <w:rPr>
          <w:sz w:val="24"/>
          <w:szCs w:val="24"/>
        </w:rPr>
        <w:t xml:space="preserve">   </w:t>
      </w:r>
    </w:p>
    <w:p w:rsidR="00B32996" w:rsidRDefault="00B32996" w:rsidP="007E48E1">
      <w:pPr>
        <w:pStyle w:val="BodyText"/>
        <w:jc w:val="left"/>
        <w:rPr>
          <w:sz w:val="24"/>
          <w:szCs w:val="24"/>
        </w:rPr>
      </w:pPr>
    </w:p>
    <w:p w:rsidR="006E0E7F" w:rsidRDefault="006E0E7F" w:rsidP="007E48E1">
      <w:pPr>
        <w:pStyle w:val="BodyText"/>
        <w:jc w:val="left"/>
        <w:rPr>
          <w:sz w:val="24"/>
          <w:szCs w:val="24"/>
        </w:rPr>
      </w:pPr>
      <w:r>
        <w:rPr>
          <w:sz w:val="24"/>
          <w:szCs w:val="24"/>
          <w:u w:val="single"/>
        </w:rPr>
        <w:t>Respondent’s Responsibility</w:t>
      </w:r>
    </w:p>
    <w:p w:rsidR="006E0E7F" w:rsidRPr="006E0E7F" w:rsidRDefault="006E0E7F" w:rsidP="007E48E1">
      <w:pPr>
        <w:pStyle w:val="BodyText"/>
        <w:jc w:val="left"/>
        <w:rPr>
          <w:sz w:val="24"/>
          <w:szCs w:val="24"/>
        </w:rPr>
      </w:pPr>
    </w:p>
    <w:p w:rsidR="00BC077A" w:rsidRDefault="00BC077A" w:rsidP="007E48E1">
      <w:pPr>
        <w:pStyle w:val="BodyText"/>
        <w:ind w:firstLine="1440"/>
        <w:jc w:val="left"/>
        <w:rPr>
          <w:sz w:val="24"/>
          <w:szCs w:val="24"/>
        </w:rPr>
      </w:pPr>
      <w:r>
        <w:rPr>
          <w:sz w:val="24"/>
          <w:szCs w:val="24"/>
        </w:rPr>
        <w:t xml:space="preserve">Pursuant to 66 Pa. C.S.A. §1501:  </w:t>
      </w:r>
    </w:p>
    <w:p w:rsidR="00BC077A" w:rsidRDefault="00BC077A" w:rsidP="00AB2DD2">
      <w:pPr>
        <w:pStyle w:val="BodyText"/>
        <w:spacing w:line="240" w:lineRule="auto"/>
        <w:ind w:firstLine="1440"/>
        <w:jc w:val="left"/>
        <w:rPr>
          <w:sz w:val="24"/>
          <w:szCs w:val="24"/>
        </w:rPr>
      </w:pPr>
    </w:p>
    <w:p w:rsidR="007E48E1" w:rsidRDefault="007E48E1" w:rsidP="00BC077A">
      <w:pPr>
        <w:pStyle w:val="BodyText"/>
        <w:spacing w:line="240" w:lineRule="auto"/>
        <w:ind w:left="1440" w:right="720" w:firstLine="720"/>
        <w:jc w:val="left"/>
        <w:rPr>
          <w:sz w:val="24"/>
          <w:szCs w:val="24"/>
        </w:rPr>
      </w:pPr>
      <w:r>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w:t>
      </w:r>
    </w:p>
    <w:p w:rsidR="006E0E7F" w:rsidRDefault="006E0E7F" w:rsidP="006E0E7F">
      <w:pPr>
        <w:pStyle w:val="BodyText"/>
        <w:jc w:val="left"/>
        <w:rPr>
          <w:sz w:val="24"/>
          <w:szCs w:val="24"/>
        </w:rPr>
      </w:pPr>
    </w:p>
    <w:p w:rsidR="006E0E7F" w:rsidRDefault="006E0E7F" w:rsidP="006E0E7F">
      <w:pPr>
        <w:pStyle w:val="BodyText"/>
        <w:jc w:val="left"/>
        <w:rPr>
          <w:sz w:val="24"/>
          <w:szCs w:val="24"/>
        </w:rPr>
      </w:pPr>
      <w:r>
        <w:rPr>
          <w:sz w:val="24"/>
          <w:szCs w:val="24"/>
          <w:u w:val="single"/>
        </w:rPr>
        <w:t>Burden of Proof</w:t>
      </w:r>
    </w:p>
    <w:p w:rsidR="00E73118" w:rsidRPr="00E73118" w:rsidRDefault="00E73118" w:rsidP="006E0E7F">
      <w:pPr>
        <w:pStyle w:val="BodyText"/>
        <w:jc w:val="left"/>
        <w:rPr>
          <w:sz w:val="24"/>
          <w:szCs w:val="24"/>
        </w:rPr>
      </w:pPr>
    </w:p>
    <w:p w:rsidR="007E48E1" w:rsidRDefault="007E48E1" w:rsidP="007E48E1">
      <w:pPr>
        <w:spacing w:line="360" w:lineRule="auto"/>
        <w:ind w:firstLine="1440"/>
      </w:pPr>
      <w:r w:rsidRPr="004E7308">
        <w:t>As the party seeking affirmative relief from the Commission, Complainant bears the burden of proof</w:t>
      </w:r>
      <w:r>
        <w:t xml:space="preserve"> by substantial evidence</w:t>
      </w:r>
      <w:r w:rsidRPr="004E7308">
        <w:t xml:space="preserve">.  </w:t>
      </w:r>
      <w:proofErr w:type="gramStart"/>
      <w:r w:rsidRPr="004E7308">
        <w:t>66 Pa. C.S.</w:t>
      </w:r>
      <w:r>
        <w:t>A.</w:t>
      </w:r>
      <w:r w:rsidRPr="004E7308">
        <w:t xml:space="preserve"> §332(a).</w:t>
      </w:r>
      <w:proofErr w:type="gramEnd"/>
      <w:r>
        <w:t xml:space="preserve">  </w:t>
      </w:r>
      <w:r w:rsidRPr="006E5FE7">
        <w:t>Substantial evidence is defined as such evidence that a reasonable mind might accept as adequate to support a conclusion.  More is required than a mere trace of evidence or a suspicion of the existence of a fact sought to be established.</w:t>
      </w:r>
      <w:r w:rsidR="00A6043D">
        <w:rPr>
          <w:rStyle w:val="FootnoteReference"/>
        </w:rPr>
        <w:footnoteReference w:id="4"/>
      </w:r>
      <w:r w:rsidRPr="006E5FE7">
        <w:t xml:space="preserve">  </w:t>
      </w:r>
    </w:p>
    <w:p w:rsidR="007E48E1" w:rsidRDefault="007E48E1" w:rsidP="00E73118">
      <w:pPr>
        <w:pStyle w:val="BodyText"/>
        <w:jc w:val="left"/>
        <w:rPr>
          <w:sz w:val="24"/>
          <w:szCs w:val="24"/>
        </w:rPr>
      </w:pPr>
    </w:p>
    <w:p w:rsidR="008055EA" w:rsidRDefault="008055EA" w:rsidP="00E73118">
      <w:pPr>
        <w:pStyle w:val="BodyText"/>
        <w:jc w:val="left"/>
        <w:rPr>
          <w:sz w:val="24"/>
          <w:szCs w:val="24"/>
          <w:u w:val="single"/>
        </w:rPr>
      </w:pPr>
    </w:p>
    <w:p w:rsidR="008055EA" w:rsidRDefault="008055EA" w:rsidP="00E73118">
      <w:pPr>
        <w:pStyle w:val="BodyText"/>
        <w:jc w:val="left"/>
        <w:rPr>
          <w:sz w:val="24"/>
          <w:szCs w:val="24"/>
          <w:u w:val="single"/>
        </w:rPr>
      </w:pPr>
    </w:p>
    <w:p w:rsidR="00E73118" w:rsidRDefault="00E73118" w:rsidP="00E73118">
      <w:pPr>
        <w:pStyle w:val="BodyText"/>
        <w:jc w:val="left"/>
        <w:rPr>
          <w:sz w:val="24"/>
          <w:szCs w:val="24"/>
        </w:rPr>
      </w:pPr>
      <w:r>
        <w:rPr>
          <w:sz w:val="24"/>
          <w:szCs w:val="24"/>
          <w:u w:val="single"/>
        </w:rPr>
        <w:lastRenderedPageBreak/>
        <w:t>Reasonable Customer Service</w:t>
      </w:r>
    </w:p>
    <w:p w:rsidR="00E73118" w:rsidRPr="00E73118" w:rsidRDefault="00E73118" w:rsidP="00E73118">
      <w:pPr>
        <w:pStyle w:val="BodyText"/>
        <w:jc w:val="left"/>
        <w:rPr>
          <w:sz w:val="24"/>
          <w:szCs w:val="24"/>
        </w:rPr>
      </w:pPr>
    </w:p>
    <w:p w:rsidR="00E9204D" w:rsidRDefault="007E48E1" w:rsidP="00E9204D">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  66 Pa. C.S.</w:t>
      </w:r>
      <w:r>
        <w:rPr>
          <w:sz w:val="24"/>
          <w:szCs w:val="24"/>
        </w:rPr>
        <w:t>A.</w:t>
      </w:r>
      <w:r w:rsidRPr="00BF51E4">
        <w:rPr>
          <w:sz w:val="24"/>
          <w:szCs w:val="24"/>
        </w:rPr>
        <w:t xml:space="preserve"> §1501</w:t>
      </w:r>
      <w:r>
        <w:rPr>
          <w:sz w:val="24"/>
          <w:szCs w:val="24"/>
        </w:rPr>
        <w:t xml:space="preserve"> and §</w:t>
      </w:r>
      <w:r w:rsidRPr="00BF51E4">
        <w:rPr>
          <w:sz w:val="24"/>
          <w:szCs w:val="24"/>
        </w:rPr>
        <w:t xml:space="preserve">1502.  The Commission approves the cost of providing a utility system that is designed to provide reasonable service at reasonable rates </w:t>
      </w:r>
      <w:r w:rsidR="004A47A6">
        <w:rPr>
          <w:sz w:val="24"/>
          <w:szCs w:val="24"/>
        </w:rPr>
        <w:t>─</w:t>
      </w:r>
      <w:r w:rsidRPr="00BF51E4">
        <w:rPr>
          <w:sz w:val="24"/>
          <w:szCs w:val="24"/>
        </w:rPr>
        <w:t xml:space="preserve"> not perfect service without regard to cost.  Since reasonable service may result in occasional loss of service or property damage, the Commission </w:t>
      </w:r>
      <w:r>
        <w:rPr>
          <w:sz w:val="24"/>
          <w:szCs w:val="24"/>
        </w:rPr>
        <w:t xml:space="preserve">is permitted </w:t>
      </w:r>
      <w:r w:rsidRPr="00BF51E4">
        <w:rPr>
          <w:sz w:val="24"/>
          <w:szCs w:val="24"/>
        </w:rPr>
        <w:t>to limit liability.</w:t>
      </w:r>
      <w:r w:rsidR="00A6043D">
        <w:rPr>
          <w:rStyle w:val="FootnoteReference"/>
          <w:sz w:val="24"/>
          <w:szCs w:val="24"/>
        </w:rPr>
        <w:footnoteReference w:id="5"/>
      </w:r>
      <w:r w:rsidRPr="00BF51E4">
        <w:rPr>
          <w:sz w:val="24"/>
          <w:szCs w:val="24"/>
        </w:rPr>
        <w:t xml:space="preserve">  </w:t>
      </w:r>
      <w:r>
        <w:rPr>
          <w:sz w:val="24"/>
          <w:szCs w:val="24"/>
        </w:rPr>
        <w:t xml:space="preserve">  </w:t>
      </w:r>
    </w:p>
    <w:p w:rsidR="00E9204D" w:rsidRDefault="00E9204D" w:rsidP="007E48E1">
      <w:pPr>
        <w:pStyle w:val="BodyText"/>
        <w:ind w:firstLine="1440"/>
        <w:jc w:val="left"/>
        <w:rPr>
          <w:sz w:val="24"/>
          <w:szCs w:val="24"/>
        </w:rPr>
      </w:pPr>
    </w:p>
    <w:p w:rsidR="00546C6B" w:rsidRDefault="007E48E1" w:rsidP="00546C6B">
      <w:pPr>
        <w:pStyle w:val="BodyText"/>
        <w:ind w:firstLine="1440"/>
        <w:jc w:val="left"/>
        <w:rPr>
          <w:sz w:val="24"/>
          <w:szCs w:val="24"/>
        </w:rPr>
      </w:pPr>
      <w:r>
        <w:rPr>
          <w:sz w:val="24"/>
          <w:szCs w:val="24"/>
        </w:rPr>
        <w:t>The testimony presented sufficiently proved</w:t>
      </w:r>
      <w:r w:rsidR="00747FED">
        <w:rPr>
          <w:sz w:val="24"/>
          <w:szCs w:val="24"/>
        </w:rPr>
        <w:t xml:space="preserve"> Duquesne Light sent at least two erroneous reports to a credit reporting agency which claimed, incorrectly, that Complainant had delinquent, unpaid balances for electric services at an address where Complainant never lived and from which he never operated the business.  The most convincing piece of evidence is Duquesne Light’s own letter, dated June 8, 2011 and on its own letterhead, in which Duquesne Light admits it reported erroneous information.  In that same letter, Duquesne Light admits Complainant was, at that time, in good standing with the utility.  </w:t>
      </w:r>
      <w:r w:rsidR="00546C6B">
        <w:rPr>
          <w:sz w:val="24"/>
          <w:szCs w:val="24"/>
        </w:rPr>
        <w:t xml:space="preserve">Duquesne Light also lists </w:t>
      </w:r>
      <w:r w:rsidR="00546C6B" w:rsidRPr="00546C6B">
        <w:rPr>
          <w:b/>
          <w:sz w:val="24"/>
          <w:szCs w:val="24"/>
        </w:rPr>
        <w:t>two</w:t>
      </w:r>
      <w:r w:rsidR="00546C6B">
        <w:rPr>
          <w:sz w:val="24"/>
          <w:szCs w:val="24"/>
        </w:rPr>
        <w:t xml:space="preserve"> accounts held by credit agencies which were reported in error, not only one as it contends now.  Obviously, Duquesne Light was communicating to the bank that it (Duquesne Light) sent in two inaccurate credit reports against Complainant.  </w:t>
      </w:r>
      <w:r w:rsidR="00747FED">
        <w:rPr>
          <w:sz w:val="24"/>
          <w:szCs w:val="24"/>
        </w:rPr>
        <w:t>For Duquesne L</w:t>
      </w:r>
      <w:r w:rsidR="00546C6B">
        <w:rPr>
          <w:sz w:val="24"/>
          <w:szCs w:val="24"/>
        </w:rPr>
        <w:t xml:space="preserve">ight to allege at the hearing, </w:t>
      </w:r>
      <w:r w:rsidR="00747FED">
        <w:rPr>
          <w:sz w:val="24"/>
          <w:szCs w:val="24"/>
        </w:rPr>
        <w:t xml:space="preserve">that (1) its actions on </w:t>
      </w:r>
      <w:r w:rsidR="00546C6B">
        <w:rPr>
          <w:sz w:val="24"/>
          <w:szCs w:val="24"/>
        </w:rPr>
        <w:t>Complainant’s</w:t>
      </w:r>
      <w:r w:rsidR="00747FED">
        <w:rPr>
          <w:sz w:val="24"/>
          <w:szCs w:val="24"/>
        </w:rPr>
        <w:t xml:space="preserve"> electric service account were proper and (2) the problems experienced by Complainant resulted from his own actions and not from Duquesne Light’s actions</w:t>
      </w:r>
      <w:r w:rsidR="00546C6B">
        <w:rPr>
          <w:sz w:val="24"/>
          <w:szCs w:val="24"/>
        </w:rPr>
        <w:t xml:space="preserve">, </w:t>
      </w:r>
      <w:r w:rsidR="00747FED">
        <w:rPr>
          <w:sz w:val="24"/>
          <w:szCs w:val="24"/>
        </w:rPr>
        <w:t xml:space="preserve">is disingenuous at best.  </w:t>
      </w:r>
    </w:p>
    <w:p w:rsidR="00546C6B" w:rsidRDefault="00546C6B" w:rsidP="00546C6B">
      <w:pPr>
        <w:pStyle w:val="BodyText"/>
        <w:ind w:firstLine="1440"/>
        <w:jc w:val="left"/>
        <w:rPr>
          <w:sz w:val="24"/>
          <w:szCs w:val="24"/>
        </w:rPr>
      </w:pPr>
    </w:p>
    <w:p w:rsidR="00546C6B" w:rsidRDefault="00546C6B" w:rsidP="00642C86">
      <w:pPr>
        <w:pStyle w:val="BodyText"/>
        <w:ind w:firstLine="1440"/>
        <w:jc w:val="left"/>
        <w:outlineLvl w:val="0"/>
        <w:rPr>
          <w:sz w:val="24"/>
          <w:szCs w:val="24"/>
        </w:rPr>
      </w:pPr>
      <w:r>
        <w:rPr>
          <w:sz w:val="24"/>
          <w:szCs w:val="24"/>
        </w:rPr>
        <w:t xml:space="preserve">In addition, Complainant presented evidence that he made numerous attempts to clarify how much money was owed on the account after the final bill.  Duquesne Light was unable to present a copy of the final bill at the hearing and insisted it did not maintain that record in its files.  </w:t>
      </w:r>
      <w:r w:rsidR="00642C86">
        <w:rPr>
          <w:sz w:val="24"/>
          <w:szCs w:val="24"/>
        </w:rPr>
        <w:t xml:space="preserve">Furthermore, Duquesne Light did not present any customer contact records, or personnel, to show when Complainant actually called to inquire about any amounts due.  A negative inference may be drawn when a party fails to produce evidence within its peculiar </w:t>
      </w:r>
      <w:r w:rsidR="00642C86">
        <w:rPr>
          <w:sz w:val="24"/>
          <w:szCs w:val="24"/>
        </w:rPr>
        <w:lastRenderedPageBreak/>
        <w:t>control and possession.</w:t>
      </w:r>
      <w:r w:rsidR="00642C86">
        <w:rPr>
          <w:rStyle w:val="FootnoteReference"/>
          <w:sz w:val="24"/>
          <w:szCs w:val="24"/>
        </w:rPr>
        <w:footnoteReference w:id="6"/>
      </w:r>
      <w:r w:rsidR="00642C86">
        <w:rPr>
          <w:sz w:val="24"/>
          <w:szCs w:val="24"/>
        </w:rPr>
        <w:t xml:space="preserve">  The fact Duquesne Light did not produce or attempt to produce records it controls and possesses, and which would have shown whether the utility’s customer service representative provided Complainant with adequate and reasonable service, is proof, through negative inference, that Complainant’s contention was correct.  </w:t>
      </w:r>
    </w:p>
    <w:p w:rsidR="00E9204D" w:rsidRDefault="00E9204D" w:rsidP="007E48E1">
      <w:pPr>
        <w:pStyle w:val="BodyText"/>
        <w:ind w:firstLine="1440"/>
        <w:jc w:val="left"/>
        <w:rPr>
          <w:sz w:val="24"/>
          <w:szCs w:val="24"/>
        </w:rPr>
      </w:pPr>
    </w:p>
    <w:p w:rsidR="007E48E1" w:rsidRDefault="007E48E1" w:rsidP="007E48E1">
      <w:pPr>
        <w:pStyle w:val="BodyText"/>
        <w:ind w:firstLine="1440"/>
        <w:jc w:val="left"/>
        <w:rPr>
          <w:sz w:val="24"/>
          <w:szCs w:val="24"/>
        </w:rPr>
      </w:pPr>
      <w:r w:rsidRPr="00BF51E4">
        <w:rPr>
          <w:sz w:val="24"/>
          <w:szCs w:val="24"/>
        </w:rPr>
        <w:t xml:space="preserve">Therefore, Complainant met </w:t>
      </w:r>
      <w:r w:rsidR="00A114B1">
        <w:rPr>
          <w:sz w:val="24"/>
          <w:szCs w:val="24"/>
        </w:rPr>
        <w:t>the</w:t>
      </w:r>
      <w:r w:rsidRPr="00BF51E4">
        <w:rPr>
          <w:sz w:val="24"/>
          <w:szCs w:val="24"/>
        </w:rPr>
        <w:t xml:space="preserve"> burden of proving Respondent violated the Commission’s regulations by failing to provide reasonable and adequate customer service when </w:t>
      </w:r>
      <w:r w:rsidR="00747FED">
        <w:rPr>
          <w:sz w:val="24"/>
          <w:szCs w:val="24"/>
        </w:rPr>
        <w:t>it reported erroneous credit information with the credit reporting agency against Complainant</w:t>
      </w:r>
      <w:r w:rsidR="00546C6B">
        <w:rPr>
          <w:sz w:val="24"/>
          <w:szCs w:val="24"/>
        </w:rPr>
        <w:t>.  In addition, the evidence presented by Complainant, and not rebutted sufficiently by Respondent, is that Respondent failed</w:t>
      </w:r>
      <w:r w:rsidR="00C15CC3">
        <w:rPr>
          <w:sz w:val="24"/>
          <w:szCs w:val="24"/>
        </w:rPr>
        <w:t xml:space="preserve"> to present Complainant with a final bill in a timely manner</w:t>
      </w:r>
      <w:r w:rsidR="00546C6B">
        <w:rPr>
          <w:sz w:val="24"/>
          <w:szCs w:val="24"/>
        </w:rPr>
        <w:t xml:space="preserve"> and failed to clearly identify to Complainant, when calling customer service, what amounts were due and payable.  </w:t>
      </w:r>
    </w:p>
    <w:p w:rsidR="00747FED" w:rsidRDefault="00747FED" w:rsidP="006E0E7F">
      <w:pPr>
        <w:pStyle w:val="BodyText"/>
        <w:jc w:val="left"/>
        <w:rPr>
          <w:sz w:val="24"/>
          <w:szCs w:val="24"/>
        </w:rPr>
      </w:pPr>
    </w:p>
    <w:p w:rsidR="006E0E7F" w:rsidRPr="006E0E7F" w:rsidRDefault="006E0E7F" w:rsidP="006E0E7F">
      <w:pPr>
        <w:pStyle w:val="BodyText"/>
        <w:jc w:val="left"/>
        <w:rPr>
          <w:sz w:val="24"/>
          <w:szCs w:val="24"/>
          <w:u w:val="single"/>
        </w:rPr>
      </w:pPr>
      <w:r w:rsidRPr="006E0E7F">
        <w:rPr>
          <w:sz w:val="24"/>
          <w:szCs w:val="24"/>
          <w:u w:val="single"/>
        </w:rPr>
        <w:t>Civil Penalty</w:t>
      </w:r>
    </w:p>
    <w:p w:rsidR="006E0E7F" w:rsidRPr="006E0E7F" w:rsidRDefault="006E0E7F" w:rsidP="006E0E7F">
      <w:pPr>
        <w:pStyle w:val="BodyText"/>
        <w:jc w:val="left"/>
        <w:rPr>
          <w:sz w:val="24"/>
          <w:szCs w:val="24"/>
        </w:rPr>
      </w:pPr>
    </w:p>
    <w:p w:rsidR="00747FED" w:rsidRPr="006E0E7F" w:rsidRDefault="00585290" w:rsidP="007E48E1">
      <w:pPr>
        <w:pStyle w:val="BodyText"/>
        <w:ind w:firstLine="1440"/>
        <w:jc w:val="left"/>
        <w:rPr>
          <w:sz w:val="24"/>
          <w:szCs w:val="24"/>
        </w:rPr>
      </w:pPr>
      <w:r w:rsidRPr="006E0E7F">
        <w:rPr>
          <w:sz w:val="24"/>
          <w:szCs w:val="24"/>
        </w:rPr>
        <w:t xml:space="preserve">Public </w:t>
      </w:r>
      <w:r w:rsidR="009A0B79">
        <w:rPr>
          <w:sz w:val="24"/>
          <w:szCs w:val="24"/>
        </w:rPr>
        <w:t>u</w:t>
      </w:r>
      <w:r w:rsidRPr="006E0E7F">
        <w:rPr>
          <w:sz w:val="24"/>
          <w:szCs w:val="24"/>
        </w:rPr>
        <w:t>tility companies are required to provide reasonable service to their customers pursuant to Section 1501 of t</w:t>
      </w:r>
      <w:r w:rsidR="00E73118">
        <w:rPr>
          <w:sz w:val="24"/>
          <w:szCs w:val="24"/>
        </w:rPr>
        <w:t>he Code</w:t>
      </w:r>
      <w:r w:rsidRPr="006E0E7F">
        <w:rPr>
          <w:sz w:val="24"/>
          <w:szCs w:val="24"/>
        </w:rPr>
        <w:t>.</w:t>
      </w:r>
      <w:r w:rsidR="00E73118">
        <w:rPr>
          <w:rStyle w:val="FootnoteReference"/>
          <w:sz w:val="24"/>
          <w:szCs w:val="24"/>
        </w:rPr>
        <w:footnoteReference w:id="7"/>
      </w:r>
      <w:r w:rsidRPr="006E0E7F">
        <w:rPr>
          <w:sz w:val="24"/>
          <w:szCs w:val="24"/>
        </w:rPr>
        <w:t xml:space="preserve">  The Commission has exclusive jurisdiction to determine the reasonableness, adequacy and sufficiency of a public utility’s services and facilities.</w:t>
      </w:r>
      <w:r w:rsidR="00E73118">
        <w:rPr>
          <w:rStyle w:val="FootnoteReference"/>
          <w:sz w:val="24"/>
          <w:szCs w:val="24"/>
        </w:rPr>
        <w:footnoteReference w:id="8"/>
      </w:r>
      <w:r w:rsidRPr="006E0E7F">
        <w:rPr>
          <w:sz w:val="24"/>
          <w:szCs w:val="24"/>
        </w:rPr>
        <w:t xml:space="preserve">  The term “service” </w:t>
      </w:r>
      <w:r w:rsidR="00E73118">
        <w:rPr>
          <w:sz w:val="24"/>
          <w:szCs w:val="24"/>
        </w:rPr>
        <w:t>should be</w:t>
      </w:r>
      <w:r w:rsidRPr="006E0E7F">
        <w:rPr>
          <w:sz w:val="24"/>
          <w:szCs w:val="24"/>
        </w:rPr>
        <w:t xml:space="preserve"> “used in its broadest and most inclusive sense, including any and all acts done, rendered, or performed, and any and all things furnished or supplied…by public utilities…in the performance of their duties under the Public Utility Code</w:t>
      </w:r>
      <w:r w:rsidR="00525199">
        <w:rPr>
          <w:sz w:val="24"/>
          <w:szCs w:val="24"/>
        </w:rPr>
        <w:t>.</w:t>
      </w:r>
      <w:r w:rsidRPr="006E0E7F">
        <w:rPr>
          <w:sz w:val="24"/>
          <w:szCs w:val="24"/>
        </w:rPr>
        <w:t>…”</w:t>
      </w:r>
      <w:r w:rsidR="00E73118">
        <w:rPr>
          <w:rStyle w:val="FootnoteReference"/>
          <w:sz w:val="24"/>
          <w:szCs w:val="24"/>
        </w:rPr>
        <w:footnoteReference w:id="9"/>
      </w:r>
      <w:r w:rsidRPr="006E0E7F">
        <w:rPr>
          <w:sz w:val="24"/>
          <w:szCs w:val="24"/>
        </w:rPr>
        <w:t xml:space="preserve">  Thus, a utility company’s practices </w:t>
      </w:r>
      <w:r w:rsidR="00E73118">
        <w:rPr>
          <w:sz w:val="24"/>
          <w:szCs w:val="24"/>
        </w:rPr>
        <w:t>–</w:t>
      </w:r>
      <w:r w:rsidRPr="006E0E7F">
        <w:rPr>
          <w:sz w:val="24"/>
          <w:szCs w:val="24"/>
        </w:rPr>
        <w:t xml:space="preserve"> </w:t>
      </w:r>
      <w:r w:rsidR="00E73118">
        <w:rPr>
          <w:sz w:val="24"/>
          <w:szCs w:val="24"/>
        </w:rPr>
        <w:t xml:space="preserve">including, </w:t>
      </w:r>
      <w:r w:rsidR="00E73118" w:rsidRPr="00E73118">
        <w:rPr>
          <w:i/>
          <w:sz w:val="24"/>
          <w:szCs w:val="24"/>
        </w:rPr>
        <w:t>inter alia</w:t>
      </w:r>
      <w:r w:rsidR="00E73118">
        <w:rPr>
          <w:sz w:val="24"/>
          <w:szCs w:val="24"/>
        </w:rPr>
        <w:t xml:space="preserve">, </w:t>
      </w:r>
      <w:r w:rsidRPr="006E0E7F">
        <w:rPr>
          <w:sz w:val="24"/>
          <w:szCs w:val="24"/>
        </w:rPr>
        <w:t>billing customers, sending accurate final bills and reporting credit information to credit reporting agencies</w:t>
      </w:r>
      <w:r w:rsidR="00E73118">
        <w:rPr>
          <w:sz w:val="24"/>
          <w:szCs w:val="24"/>
        </w:rPr>
        <w:t xml:space="preserve"> </w:t>
      </w:r>
      <w:r w:rsidR="00183836">
        <w:rPr>
          <w:sz w:val="24"/>
          <w:szCs w:val="24"/>
        </w:rPr>
        <w:t>–</w:t>
      </w:r>
      <w:r w:rsidRPr="006E0E7F">
        <w:rPr>
          <w:sz w:val="24"/>
          <w:szCs w:val="24"/>
        </w:rPr>
        <w:t xml:space="preserve"> must be reasonable, adequate and sufficient</w:t>
      </w:r>
      <w:r w:rsidR="00E73118">
        <w:rPr>
          <w:sz w:val="24"/>
          <w:szCs w:val="24"/>
        </w:rPr>
        <w:t>.  A</w:t>
      </w:r>
      <w:r w:rsidRPr="006E0E7F">
        <w:rPr>
          <w:sz w:val="24"/>
          <w:szCs w:val="24"/>
        </w:rPr>
        <w:t xml:space="preserve"> violation occurs when a utility company fails to report correct and accurate information about a customer to a credit reporting agency.</w:t>
      </w:r>
    </w:p>
    <w:p w:rsidR="006E0E7F" w:rsidRPr="006E0E7F" w:rsidRDefault="006E0E7F" w:rsidP="006E0E7F">
      <w:pPr>
        <w:spacing w:line="360" w:lineRule="auto"/>
        <w:ind w:firstLine="1440"/>
      </w:pPr>
      <w:r w:rsidRPr="006E0E7F">
        <w:lastRenderedPageBreak/>
        <w:t>Sections 3301(a) and (b) of the Public Utility Code, 66 Pa. C.S.A. §</w:t>
      </w:r>
      <w:r w:rsidR="00E73118">
        <w:t>3301(a) and</w:t>
      </w:r>
      <w:r w:rsidR="00666BC3">
        <w:t> </w:t>
      </w:r>
      <w:r w:rsidR="00E73118">
        <w:t>(b), authorize the C</w:t>
      </w:r>
      <w:r w:rsidRPr="006E0E7F">
        <w:t>ommission to impose a maximum civil penalty of $1,000.00 per day for violations of its statutes</w:t>
      </w:r>
      <w:r w:rsidR="00E73118">
        <w:t>, regulations and orders.  The C</w:t>
      </w:r>
      <w:r w:rsidRPr="006E0E7F">
        <w:t>ommission has adopted certain standards that are to be applied in determining the amount of civil penalties when violations are admitted or determined to have occurred.  The</w:t>
      </w:r>
      <w:r w:rsidR="00E73118">
        <w:t>re are ten standards which the C</w:t>
      </w:r>
      <w:r w:rsidRPr="006E0E7F">
        <w:t xml:space="preserve">ommission first articulated in </w:t>
      </w:r>
      <w:r w:rsidRPr="006E0E7F">
        <w:rPr>
          <w:u w:val="single"/>
        </w:rPr>
        <w:t xml:space="preserve">Joseph A. </w:t>
      </w:r>
      <w:proofErr w:type="spellStart"/>
      <w:r w:rsidRPr="006E0E7F">
        <w:rPr>
          <w:u w:val="single"/>
        </w:rPr>
        <w:t>Rosi</w:t>
      </w:r>
      <w:proofErr w:type="spellEnd"/>
      <w:r w:rsidRPr="006E0E7F">
        <w:rPr>
          <w:u w:val="single"/>
        </w:rPr>
        <w:t xml:space="preserve"> v. Bell Atlantic-Pa., Inc. and Sprint Communica</w:t>
      </w:r>
      <w:r w:rsidRPr="006E0E7F">
        <w:rPr>
          <w:u w:val="single"/>
        </w:rPr>
        <w:softHyphen/>
        <w:t>tions Company</w:t>
      </w:r>
      <w:r w:rsidRPr="006E0E7F">
        <w:t>, Docket No. C</w:t>
      </w:r>
      <w:r w:rsidRPr="006E0E7F">
        <w:noBreakHyphen/>
        <w:t>00992409 (Order entered February 10, 2000) (“</w:t>
      </w:r>
      <w:proofErr w:type="spellStart"/>
      <w:r w:rsidRPr="006E0E7F">
        <w:rPr>
          <w:u w:val="single"/>
        </w:rPr>
        <w:t>Rosi</w:t>
      </w:r>
      <w:proofErr w:type="spellEnd"/>
      <w:r w:rsidRPr="006E0E7F">
        <w:rPr>
          <w:u w:val="single"/>
        </w:rPr>
        <w:t>”</w:t>
      </w:r>
      <w:r w:rsidRPr="006E0E7F">
        <w:t>) and which are now published at 52</w:t>
      </w:r>
      <w:r w:rsidR="00106F80">
        <w:t> </w:t>
      </w:r>
      <w:r w:rsidRPr="006E0E7F">
        <w:t xml:space="preserve">Pa. Code §69.1201 in the Commission’s Policy Statements and Guidelines.  </w:t>
      </w:r>
    </w:p>
    <w:p w:rsidR="00FA7CBE" w:rsidRDefault="00FA7CBE" w:rsidP="00FA7CBE">
      <w:pPr>
        <w:pStyle w:val="NormalWeb"/>
        <w:spacing w:before="0" w:beforeAutospacing="0" w:after="0" w:afterAutospacing="0" w:line="360" w:lineRule="auto"/>
      </w:pPr>
      <w:bookmarkStart w:id="0" w:name="69.1201."/>
    </w:p>
    <w:p w:rsidR="00FA7CBE" w:rsidRDefault="00FA7CBE" w:rsidP="00FA7CBE">
      <w:pPr>
        <w:pStyle w:val="NormalWeb"/>
        <w:spacing w:before="0" w:beforeAutospacing="0" w:after="0" w:afterAutospacing="0" w:line="360" w:lineRule="auto"/>
        <w:ind w:firstLine="1440"/>
      </w:pPr>
      <w:r w:rsidRPr="00FA7CBE">
        <w:t>The factors and standards</w:t>
      </w:r>
      <w:r>
        <w:t xml:space="preserve"> the Commission will consider are enumerated at 52 P</w:t>
      </w:r>
      <w:r w:rsidR="0084100D">
        <w:t>a</w:t>
      </w:r>
      <w:r>
        <w:t>. Code §69.1201(c) as follows</w:t>
      </w:r>
      <w:r w:rsidRPr="00FA7CBE">
        <w:t xml:space="preserve">: </w:t>
      </w:r>
    </w:p>
    <w:p w:rsidR="00FA7CBE" w:rsidRPr="00FA7CBE" w:rsidRDefault="00FA7CBE" w:rsidP="00FA7CBE">
      <w:pPr>
        <w:pStyle w:val="NormalWeb"/>
        <w:spacing w:before="0" w:beforeAutospacing="0" w:after="0" w:afterAutospacing="0"/>
        <w:ind w:firstLine="1440"/>
      </w:pPr>
    </w:p>
    <w:p w:rsidR="00FA7CBE" w:rsidRDefault="00FA7CBE" w:rsidP="00A917C5">
      <w:pPr>
        <w:pStyle w:val="NormalWeb"/>
        <w:spacing w:before="0" w:beforeAutospacing="0" w:after="0" w:afterAutospacing="0"/>
        <w:ind w:left="1440"/>
      </w:pPr>
      <w:r>
        <w:t>(1)</w:t>
      </w:r>
      <w:r>
        <w:tab/>
      </w:r>
      <w:r w:rsidRPr="00FA7CBE">
        <w:t xml:space="preserve">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406863" w:rsidRPr="00FA7CBE" w:rsidRDefault="00406863" w:rsidP="00A917C5">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(2)  </w:t>
      </w:r>
      <w:r>
        <w:tab/>
      </w:r>
      <w:r w:rsidRPr="00FA7CBE">
        <w:t xml:space="preserve">Whether the resulting consequences of the conduct at issue were of a serious nature. When consequences of a serious nature are involved, such as personal injury or property damage, the consequences may warrant a higher penalty. </w:t>
      </w:r>
    </w:p>
    <w:p w:rsidR="00406863" w:rsidRDefault="00406863"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(3)  </w:t>
      </w:r>
      <w:r>
        <w:tab/>
      </w:r>
      <w:r w:rsidRPr="00FA7CBE">
        <w:t xml:space="preserve">Whether the conduct at issue was deemed intentional or negligent. This factor may only be considered in evaluating litigated cases. When conduct has been deemed intentional, the conduct may result in a higher penalty. </w:t>
      </w:r>
    </w:p>
    <w:p w:rsidR="00406863" w:rsidRDefault="00406863"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(4)  </w:t>
      </w:r>
      <w:r>
        <w:tab/>
      </w:r>
      <w:r w:rsidRPr="00FA7CBE">
        <w:t xml:space="preserve">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 </w:t>
      </w:r>
    </w:p>
    <w:p w:rsidR="00406863" w:rsidRDefault="00406863"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(5)  </w:t>
      </w:r>
      <w:r>
        <w:tab/>
      </w:r>
      <w:r w:rsidRPr="00FA7CBE">
        <w:t xml:space="preserve">The number of customers affected and the duration of the violation. </w:t>
      </w:r>
    </w:p>
    <w:p w:rsidR="00406863" w:rsidRDefault="00406863"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(6)  </w:t>
      </w:r>
      <w:r>
        <w:tab/>
      </w:r>
      <w:r w:rsidRPr="00FA7CBE">
        <w:t xml:space="preserve">The compliance history of the regulated entity which committed the violation. An isolated incident from an otherwise compliant utility may result in a lower penalty, whereas frequent, recurrent violations by a utility may result in a higher penalty. </w:t>
      </w:r>
    </w:p>
    <w:p w:rsidR="00406863" w:rsidRDefault="00406863" w:rsidP="00FA7CBE">
      <w:pPr>
        <w:pStyle w:val="NormalWeb"/>
        <w:spacing w:before="0" w:beforeAutospacing="0" w:after="0" w:afterAutospacing="0"/>
        <w:ind w:left="1440"/>
      </w:pPr>
    </w:p>
    <w:p w:rsidR="00FA7CBE" w:rsidRDefault="00FA7CBE" w:rsidP="00FA7CBE">
      <w:pPr>
        <w:pStyle w:val="NormalWeb"/>
        <w:spacing w:before="0" w:beforeAutospacing="0" w:after="0" w:afterAutospacing="0"/>
        <w:ind w:left="1440"/>
      </w:pPr>
      <w:r w:rsidRPr="00FA7CBE">
        <w:lastRenderedPageBreak/>
        <w:t>(7)  </w:t>
      </w:r>
      <w:r>
        <w:tab/>
      </w:r>
      <w:r w:rsidRPr="00FA7CBE">
        <w:t xml:space="preserve">Whether the regulated entity cooperated with the Commission’s investigation. Facts establishing bad faith, active concealment of violations, or attempts to interfere with Commission investigations may result in a higher penalty. </w:t>
      </w:r>
    </w:p>
    <w:p w:rsidR="0097040A" w:rsidRDefault="0097040A"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(8)  </w:t>
      </w:r>
      <w:r>
        <w:tab/>
      </w:r>
      <w:r w:rsidRPr="00FA7CBE">
        <w:t xml:space="preserve">The amount of the civil penalty or fine necessary to deter future violations. The size of the utility may be considered to determine an appropriate penalty amount. </w:t>
      </w:r>
    </w:p>
    <w:p w:rsidR="0097040A" w:rsidRDefault="0097040A"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(9)  </w:t>
      </w:r>
      <w:r>
        <w:tab/>
      </w:r>
      <w:r w:rsidRPr="00FA7CBE">
        <w:t xml:space="preserve">Past Commission decisions in similar situations. </w:t>
      </w:r>
    </w:p>
    <w:p w:rsidR="0097040A" w:rsidRDefault="0097040A" w:rsidP="00FA7CBE">
      <w:pPr>
        <w:pStyle w:val="NormalWeb"/>
        <w:spacing w:before="0" w:beforeAutospacing="0" w:after="0" w:afterAutospacing="0"/>
        <w:ind w:left="1440"/>
      </w:pPr>
    </w:p>
    <w:p w:rsidR="00FA7CBE" w:rsidRPr="00FA7CBE" w:rsidRDefault="00FA7CBE" w:rsidP="00FA7CBE">
      <w:pPr>
        <w:pStyle w:val="NormalWeb"/>
        <w:spacing w:before="0" w:beforeAutospacing="0" w:after="0" w:afterAutospacing="0"/>
        <w:ind w:left="1440"/>
      </w:pPr>
      <w:r w:rsidRPr="00FA7CBE">
        <w:t>(10)  </w:t>
      </w:r>
      <w:r>
        <w:tab/>
      </w:r>
      <w:r w:rsidRPr="00FA7CBE">
        <w:t>Other relevant factors.</w:t>
      </w:r>
    </w:p>
    <w:bookmarkEnd w:id="0"/>
    <w:p w:rsidR="006E0E7F" w:rsidRPr="00FA7CBE" w:rsidRDefault="006E0E7F" w:rsidP="00FA7CBE">
      <w:pPr>
        <w:spacing w:line="360" w:lineRule="auto"/>
        <w:ind w:left="1440" w:firstLine="1440"/>
      </w:pPr>
    </w:p>
    <w:p w:rsidR="006E0E7F" w:rsidRPr="006E0E7F" w:rsidRDefault="006E0E7F" w:rsidP="006E0E7F">
      <w:pPr>
        <w:spacing w:line="360" w:lineRule="auto"/>
        <w:ind w:firstLine="1440"/>
      </w:pPr>
      <w:r w:rsidRPr="006E0E7F">
        <w:t xml:space="preserve">My review of the record evidence leads me to conclude Respondent provided unreasonable service to Complainant when it failed to properly </w:t>
      </w:r>
      <w:r w:rsidR="00FA7CBE">
        <w:t xml:space="preserve">report service account information to the credit reporting agency, and </w:t>
      </w:r>
      <w:r w:rsidRPr="006E0E7F">
        <w:t xml:space="preserve">when it failed to </w:t>
      </w:r>
      <w:r w:rsidR="00FA7CBE">
        <w:t xml:space="preserve">timely and properly present Complainant with an accurate and final bill.  </w:t>
      </w:r>
      <w:r w:rsidRPr="006E0E7F">
        <w:t>Therefore, Respondent’s provision of electric service was in violation of Section 1501 of the Code, 66 Pa. C.S. §1501, and warrants the imposition of a civil penalty</w:t>
      </w:r>
      <w:r w:rsidR="00FA7CBE">
        <w:t xml:space="preserve">, pursuant to </w:t>
      </w:r>
      <w:r w:rsidRPr="006E0E7F">
        <w:t>Section 3301(a) and (b) of the Public Utility Code, 66</w:t>
      </w:r>
      <w:r w:rsidR="00E70B87">
        <w:t> </w:t>
      </w:r>
      <w:r w:rsidRPr="006E0E7F">
        <w:t>Pa. C.S. §3301(a) and (b</w:t>
      </w:r>
      <w:r w:rsidR="00FA7CBE">
        <w:t>)</w:t>
      </w:r>
      <w:r w:rsidRPr="006E0E7F">
        <w:t xml:space="preserve">.  </w:t>
      </w:r>
    </w:p>
    <w:p w:rsidR="00642C86" w:rsidRDefault="00642C86" w:rsidP="007943C8">
      <w:pPr>
        <w:spacing w:line="360" w:lineRule="auto"/>
        <w:rPr>
          <w:u w:val="single"/>
        </w:rPr>
      </w:pPr>
    </w:p>
    <w:p w:rsidR="006E0E7F" w:rsidRDefault="007943C8" w:rsidP="007943C8">
      <w:pPr>
        <w:spacing w:line="360" w:lineRule="auto"/>
      </w:pPr>
      <w:r>
        <w:rPr>
          <w:u w:val="single"/>
        </w:rPr>
        <w:t>Review of Factors under 52 Pa. Code §69.1201(c)</w:t>
      </w:r>
    </w:p>
    <w:p w:rsidR="007943C8" w:rsidRDefault="007943C8" w:rsidP="007943C8">
      <w:pPr>
        <w:spacing w:line="360" w:lineRule="auto"/>
      </w:pPr>
    </w:p>
    <w:p w:rsidR="00841F7C" w:rsidRPr="001B1713" w:rsidRDefault="00841F7C" w:rsidP="004C1834">
      <w:pPr>
        <w:pStyle w:val="PlainText"/>
        <w:spacing w:line="360" w:lineRule="auto"/>
        <w:ind w:firstLine="1440"/>
        <w:rPr>
          <w:rFonts w:ascii="Times New Roman" w:hAnsi="Times New Roman" w:cs="Times New Roman"/>
          <w:sz w:val="24"/>
          <w:szCs w:val="24"/>
        </w:rPr>
      </w:pPr>
      <w:r w:rsidRPr="001B1713">
        <w:rPr>
          <w:rFonts w:ascii="Times New Roman" w:hAnsi="Times New Roman" w:cs="Times New Roman"/>
          <w:sz w:val="24"/>
          <w:szCs w:val="24"/>
        </w:rPr>
        <w:t xml:space="preserve">In any case in which a civil penalty is assessed, ten factors must be considered when calculating the amount of the penalty.  Those factors are meant to ascertain, in general, how serious was the conduct and intention of the utility, how the individual consumer was affected and how the utility’s conduct may bode in similar future situations.  In this proceeding, Duquesne Light’s actions, to report erroneous information on Complainant’s credit report and to note his Social Security number on another consumer’s account information, were serious and warrant a higher penalty.  In addition, the resulting consequences from these actions were of a serious nature and impacted Complainant’s ability to access a previously-steady funding stream, which warrants a higher penalty.  Duquesne Light misrepresented Complainant’s payment history and caused incorrect, adverse information to be reported to the credit reporting agency, resulting in Complainant losing a lucrative line of credit and a guaranteed funding stream with which to pay bills and operate his business.  </w:t>
      </w:r>
    </w:p>
    <w:p w:rsidR="00841F7C" w:rsidRPr="001B1713" w:rsidRDefault="00841F7C" w:rsidP="005E3356">
      <w:pPr>
        <w:pStyle w:val="PlainText"/>
        <w:spacing w:line="360" w:lineRule="auto"/>
        <w:ind w:firstLine="1440"/>
        <w:rPr>
          <w:rFonts w:ascii="Times New Roman" w:hAnsi="Times New Roman" w:cs="Times New Roman"/>
          <w:sz w:val="24"/>
          <w:szCs w:val="24"/>
        </w:rPr>
      </w:pPr>
      <w:r w:rsidRPr="001B1713">
        <w:rPr>
          <w:rFonts w:ascii="Times New Roman" w:hAnsi="Times New Roman" w:cs="Times New Roman"/>
          <w:sz w:val="24"/>
          <w:szCs w:val="24"/>
        </w:rPr>
        <w:lastRenderedPageBreak/>
        <w:t>Thirdly, Duquesne Light’s action (to report this information) was an intentional act that resulted from Duquesne Light’s office operations.  The act was exacerbated by Duquesne Light’s continued insistence it was not at fault and refusal to identify, and then correct, the office practices which led to the filing of incorrect information.  These actions warrant a higher penalty.</w:t>
      </w:r>
    </w:p>
    <w:p w:rsidR="00841F7C" w:rsidRPr="001B1713" w:rsidRDefault="00841F7C" w:rsidP="001B1713">
      <w:pPr>
        <w:pStyle w:val="PlainText"/>
        <w:spacing w:line="360" w:lineRule="auto"/>
        <w:rPr>
          <w:rFonts w:ascii="Times New Roman" w:hAnsi="Times New Roman" w:cs="Times New Roman"/>
          <w:sz w:val="24"/>
          <w:szCs w:val="24"/>
        </w:rPr>
      </w:pPr>
    </w:p>
    <w:p w:rsidR="00841F7C" w:rsidRPr="001B1713" w:rsidRDefault="00841F7C" w:rsidP="00AA75ED">
      <w:pPr>
        <w:pStyle w:val="PlainText"/>
        <w:spacing w:line="360" w:lineRule="auto"/>
        <w:ind w:firstLine="1440"/>
        <w:rPr>
          <w:rFonts w:ascii="Times New Roman" w:hAnsi="Times New Roman" w:cs="Times New Roman"/>
          <w:sz w:val="24"/>
          <w:szCs w:val="24"/>
        </w:rPr>
      </w:pPr>
      <w:r w:rsidRPr="001B1713">
        <w:rPr>
          <w:rFonts w:ascii="Times New Roman" w:hAnsi="Times New Roman" w:cs="Times New Roman"/>
          <w:sz w:val="24"/>
          <w:szCs w:val="24"/>
        </w:rPr>
        <w:t xml:space="preserve">Duquesne Light’s communication to the credit reporting agency about the need to remove the inaccurate information appears to have occurred within a few weeks of when Complainant filed the formal complaint, and this action warrants a lower penalty.  Fifth, no evidence was presented that this violation occurred with other customers and, as noted previously, the duration was short after the formal complaint was filed, thereby warranting a lower penalty.  In addition, no evidence was presented about Duquesne Light’s compliance history, or to suggest that this situation is anything other than an isolated incident from an otherwise compliant utility, thus a lower penalty is warranted.  </w:t>
      </w:r>
    </w:p>
    <w:p w:rsidR="00841F7C" w:rsidRPr="001B1713" w:rsidRDefault="00841F7C" w:rsidP="001B1713">
      <w:pPr>
        <w:pStyle w:val="PlainText"/>
        <w:spacing w:line="360" w:lineRule="auto"/>
        <w:rPr>
          <w:rFonts w:ascii="Times New Roman" w:hAnsi="Times New Roman" w:cs="Times New Roman"/>
          <w:sz w:val="24"/>
          <w:szCs w:val="24"/>
        </w:rPr>
      </w:pPr>
    </w:p>
    <w:p w:rsidR="00841F7C" w:rsidRPr="001B1713" w:rsidRDefault="00841F7C" w:rsidP="006577DC">
      <w:pPr>
        <w:pStyle w:val="PlainText"/>
        <w:spacing w:line="360" w:lineRule="auto"/>
        <w:ind w:firstLine="1440"/>
        <w:rPr>
          <w:rFonts w:ascii="Times New Roman" w:hAnsi="Times New Roman" w:cs="Times New Roman"/>
          <w:sz w:val="24"/>
          <w:szCs w:val="24"/>
        </w:rPr>
      </w:pPr>
      <w:r w:rsidRPr="001B1713">
        <w:rPr>
          <w:rFonts w:ascii="Times New Roman" w:hAnsi="Times New Roman" w:cs="Times New Roman"/>
          <w:sz w:val="24"/>
          <w:szCs w:val="24"/>
        </w:rPr>
        <w:t>On the seventh factor, it should be noted no evidence was introduced that the Commission initiated an investigation or that the utility interfered with an investigation, therefore, a lower penalty is warranted.  Due to Duquesne Light’s reticence to acknowledge responsibility for its errors, a civil penalty is necessary to deter similar future violations, especially in light of the serious consequences when adversely impacting a credit report.  Therefore, a review of the eighth factor warrants a higher penalty.  Neither party presented any evidence concerning past Commission decision in similar situations and this factor does not impact the determination of the appropriate penalty.  Lastly, no other relevant factors were introduced or suggested by either party, and the presiding officer did not consider any other relevant factors.</w:t>
      </w:r>
    </w:p>
    <w:p w:rsidR="00841F7C" w:rsidRPr="001B1713" w:rsidRDefault="00841F7C" w:rsidP="001B1713">
      <w:pPr>
        <w:pStyle w:val="PlainText"/>
        <w:spacing w:line="360" w:lineRule="auto"/>
        <w:rPr>
          <w:rFonts w:ascii="Times New Roman" w:hAnsi="Times New Roman" w:cs="Times New Roman"/>
          <w:sz w:val="24"/>
          <w:szCs w:val="24"/>
        </w:rPr>
      </w:pPr>
    </w:p>
    <w:p w:rsidR="00841F7C" w:rsidRPr="001B1713" w:rsidRDefault="00841F7C" w:rsidP="008D20D5">
      <w:pPr>
        <w:pStyle w:val="PlainText"/>
        <w:spacing w:line="360" w:lineRule="auto"/>
        <w:ind w:firstLine="1440"/>
        <w:rPr>
          <w:rFonts w:ascii="Times New Roman" w:hAnsi="Times New Roman" w:cs="Times New Roman"/>
          <w:sz w:val="24"/>
          <w:szCs w:val="24"/>
        </w:rPr>
      </w:pPr>
      <w:r w:rsidRPr="001B1713">
        <w:rPr>
          <w:rFonts w:ascii="Times New Roman" w:hAnsi="Times New Roman" w:cs="Times New Roman"/>
          <w:sz w:val="24"/>
          <w:szCs w:val="24"/>
        </w:rPr>
        <w:t xml:space="preserve">The evidence presented and taken as a whole proves a civil penalty is necessary to deter future violations.  Therefore, I am assessing a Five Hundred dollar ($500.00) civil penalty against Respondent for each erroneous reporting on the two accounts which Respondent filed against its customer with the credit reporting agency.  This penalty, totaling One Thousand dollars ($1,000.00), takes into consideration Respondent’s refusal to acknowledge its full error, its inability to identify, and therefore correct, the error after confronted by its customer, its </w:t>
      </w:r>
      <w:r w:rsidRPr="001B1713">
        <w:rPr>
          <w:rFonts w:ascii="Times New Roman" w:hAnsi="Times New Roman" w:cs="Times New Roman"/>
          <w:sz w:val="24"/>
          <w:szCs w:val="24"/>
        </w:rPr>
        <w:lastRenderedPageBreak/>
        <w:t xml:space="preserve">apparent inability to prevent a repeat of the error in the future, and its delay in presenting its customer with a final bill.  Furthermore, the consequences of Duquesne Light’s actions were serious and would have been worse if Complainant previously had not made a business decision to convert its retail and service business into a service business only with less overhead expenses.    </w:t>
      </w:r>
    </w:p>
    <w:p w:rsidR="00841F7C" w:rsidRPr="001B1713" w:rsidRDefault="00841F7C" w:rsidP="001B1713">
      <w:pPr>
        <w:pStyle w:val="PlainText"/>
        <w:spacing w:line="360" w:lineRule="auto"/>
        <w:rPr>
          <w:rFonts w:ascii="Times New Roman" w:hAnsi="Times New Roman" w:cs="Times New Roman"/>
          <w:sz w:val="24"/>
          <w:szCs w:val="24"/>
        </w:rPr>
      </w:pPr>
    </w:p>
    <w:p w:rsidR="00841F7C" w:rsidRPr="001B1713" w:rsidRDefault="00841F7C" w:rsidP="006C2F80">
      <w:pPr>
        <w:pStyle w:val="PlainText"/>
        <w:spacing w:line="360" w:lineRule="auto"/>
        <w:ind w:firstLine="1440"/>
        <w:rPr>
          <w:rFonts w:ascii="Times New Roman" w:hAnsi="Times New Roman" w:cs="Times New Roman"/>
          <w:sz w:val="24"/>
          <w:szCs w:val="24"/>
        </w:rPr>
      </w:pPr>
      <w:r w:rsidRPr="001B1713">
        <w:rPr>
          <w:rFonts w:ascii="Times New Roman" w:hAnsi="Times New Roman" w:cs="Times New Roman"/>
          <w:sz w:val="24"/>
          <w:szCs w:val="24"/>
        </w:rPr>
        <w:t xml:space="preserve">The civil penalty is limited to only $1,000.00 because Respondent did acknowledge fault in June 2011 and did correct the erroneous information on the one account.  </w:t>
      </w:r>
    </w:p>
    <w:p w:rsidR="00841F7C" w:rsidRDefault="00841F7C" w:rsidP="001B1713">
      <w:pPr>
        <w:pStyle w:val="PlainText"/>
        <w:spacing w:line="360" w:lineRule="auto"/>
      </w:pPr>
    </w:p>
    <w:p w:rsidR="006E0E7F" w:rsidRPr="006E0E7F" w:rsidRDefault="006E0E7F" w:rsidP="006E0E7F">
      <w:pPr>
        <w:pStyle w:val="BodyText"/>
        <w:jc w:val="left"/>
        <w:rPr>
          <w:sz w:val="24"/>
          <w:szCs w:val="24"/>
        </w:rPr>
      </w:pPr>
      <w:r w:rsidRPr="006E0E7F">
        <w:rPr>
          <w:sz w:val="24"/>
          <w:szCs w:val="24"/>
          <w:u w:val="single"/>
        </w:rPr>
        <w:t>Conclusion</w:t>
      </w:r>
    </w:p>
    <w:p w:rsidR="006E0E7F" w:rsidRPr="006E0E7F" w:rsidRDefault="006E0E7F" w:rsidP="006E0E7F">
      <w:pPr>
        <w:pStyle w:val="BodyText"/>
        <w:ind w:firstLine="1440"/>
        <w:jc w:val="left"/>
        <w:rPr>
          <w:sz w:val="24"/>
          <w:szCs w:val="24"/>
        </w:rPr>
      </w:pPr>
    </w:p>
    <w:p w:rsidR="006E0E7F" w:rsidRPr="006E0E7F" w:rsidRDefault="006E0E7F" w:rsidP="006E0E7F">
      <w:pPr>
        <w:pStyle w:val="BodyText"/>
        <w:ind w:firstLine="1440"/>
        <w:jc w:val="left"/>
        <w:rPr>
          <w:sz w:val="24"/>
          <w:szCs w:val="24"/>
        </w:rPr>
      </w:pPr>
      <w:r w:rsidRPr="006E0E7F">
        <w:rPr>
          <w:sz w:val="24"/>
          <w:szCs w:val="24"/>
        </w:rPr>
        <w:t>Accordingly the complaint is sustained in the ordering paragraphs below</w:t>
      </w:r>
      <w:r w:rsidR="007943C8">
        <w:rPr>
          <w:sz w:val="24"/>
          <w:szCs w:val="24"/>
        </w:rPr>
        <w:t xml:space="preserve"> and Respondent is ordered to pay a civil penalty</w:t>
      </w:r>
      <w:r w:rsidRPr="006E0E7F">
        <w:rPr>
          <w:sz w:val="24"/>
          <w:szCs w:val="24"/>
        </w:rPr>
        <w:t xml:space="preserve">. </w:t>
      </w:r>
    </w:p>
    <w:p w:rsidR="00955B6B" w:rsidRDefault="00955B6B">
      <w:pPr>
        <w:rPr>
          <w:sz w:val="26"/>
          <w:szCs w:val="20"/>
          <w:u w:val="single"/>
        </w:rPr>
      </w:pPr>
    </w:p>
    <w:p w:rsidR="007E48E1" w:rsidRPr="008B455C" w:rsidRDefault="007E48E1" w:rsidP="00DC090B">
      <w:pPr>
        <w:pStyle w:val="BodyText"/>
        <w:jc w:val="center"/>
        <w:rPr>
          <w:u w:val="single"/>
        </w:rPr>
      </w:pPr>
      <w:r w:rsidRPr="008B455C">
        <w:rPr>
          <w:u w:val="single"/>
        </w:rPr>
        <w:t>CONCLUSIONS OF LAW</w:t>
      </w:r>
    </w:p>
    <w:p w:rsidR="007E48E1" w:rsidRPr="008B455C" w:rsidRDefault="007E48E1" w:rsidP="007E48E1">
      <w:pPr>
        <w:spacing w:line="360" w:lineRule="auto"/>
        <w:ind w:firstLine="1440"/>
      </w:pPr>
    </w:p>
    <w:p w:rsidR="007E48E1" w:rsidRDefault="007E48E1" w:rsidP="007E48E1">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66 </w:t>
      </w:r>
      <w:smartTag w:uri="urn:schemas-microsoft-com:office:smarttags" w:element="State">
        <w:smartTag w:uri="urn:schemas-microsoft-com:office:smarttags" w:element="place">
          <w:r w:rsidRPr="008B455C">
            <w:t>Pa.</w:t>
          </w:r>
        </w:smartTag>
      </w:smartTag>
      <w:r w:rsidRPr="008B455C">
        <w:t xml:space="preserve"> C.S. §701.</w:t>
      </w:r>
    </w:p>
    <w:p w:rsidR="00C340F1" w:rsidRPr="008B455C" w:rsidRDefault="00C340F1" w:rsidP="00C340F1">
      <w:pPr>
        <w:spacing w:line="360" w:lineRule="auto"/>
        <w:ind w:left="1440"/>
      </w:pPr>
    </w:p>
    <w:p w:rsidR="007E48E1" w:rsidRDefault="007E48E1" w:rsidP="00F15AD8">
      <w:pPr>
        <w:pStyle w:val="ListParagraph"/>
        <w:numPr>
          <w:ilvl w:val="0"/>
          <w:numId w:val="1"/>
        </w:numPr>
        <w:tabs>
          <w:tab w:val="clear" w:pos="900"/>
          <w:tab w:val="num" w:pos="90"/>
        </w:tabs>
        <w:spacing w:line="360" w:lineRule="auto"/>
        <w:ind w:left="0" w:firstLine="1440"/>
      </w:pPr>
      <w:r>
        <w:t>Complainant</w:t>
      </w:r>
      <w:r w:rsidRPr="008B455C">
        <w:t xml:space="preserve"> carr</w:t>
      </w:r>
      <w:r>
        <w:t>ies</w:t>
      </w:r>
      <w:r w:rsidRPr="008B455C">
        <w:t xml:space="preserve"> the burden of proving Respondent</w:t>
      </w:r>
      <w:r>
        <w:t xml:space="preserve"> did not provide reasonable and adequate service</w:t>
      </w:r>
      <w:r w:rsidRPr="008B455C">
        <w:t>.  66 Pa.</w:t>
      </w:r>
      <w:r>
        <w:t xml:space="preserve"> </w:t>
      </w:r>
      <w:r w:rsidRPr="008B455C">
        <w:t>C.S.A. §332(a).</w:t>
      </w:r>
    </w:p>
    <w:p w:rsidR="00F15AD8" w:rsidRPr="008B455C" w:rsidRDefault="00F15AD8" w:rsidP="00F15AD8">
      <w:pPr>
        <w:spacing w:line="360" w:lineRule="auto"/>
        <w:ind w:left="540"/>
      </w:pPr>
    </w:p>
    <w:p w:rsidR="007E48E1" w:rsidRPr="008B455C" w:rsidRDefault="007E48E1" w:rsidP="007E48E1">
      <w:pPr>
        <w:pStyle w:val="FootnoteText"/>
        <w:spacing w:line="360" w:lineRule="auto"/>
        <w:rPr>
          <w:sz w:val="24"/>
          <w:szCs w:val="24"/>
        </w:rPr>
      </w:pPr>
      <w:r w:rsidRPr="008B455C">
        <w:rPr>
          <w:sz w:val="24"/>
          <w:szCs w:val="24"/>
        </w:rPr>
        <w:tab/>
      </w:r>
      <w:r w:rsidRPr="008B455C">
        <w:rPr>
          <w:sz w:val="24"/>
          <w:szCs w:val="24"/>
        </w:rPr>
        <w:tab/>
        <w:t>3.</w:t>
      </w:r>
      <w:r w:rsidRPr="008B455C">
        <w:rPr>
          <w:sz w:val="24"/>
          <w:szCs w:val="24"/>
        </w:rPr>
        <w:tab/>
      </w:r>
      <w:r>
        <w:rPr>
          <w:sz w:val="24"/>
          <w:szCs w:val="24"/>
        </w:rPr>
        <w:t xml:space="preserve">Respondent </w:t>
      </w:r>
      <w:r w:rsidR="008A2641">
        <w:rPr>
          <w:sz w:val="24"/>
          <w:szCs w:val="24"/>
        </w:rPr>
        <w:t xml:space="preserve">failed to </w:t>
      </w:r>
      <w:r>
        <w:rPr>
          <w:sz w:val="24"/>
          <w:szCs w:val="24"/>
        </w:rPr>
        <w:t>provide Complainant with reasonable and adequate customer service in its provision of electrical service</w:t>
      </w:r>
      <w:r w:rsidRPr="008B455C">
        <w:rPr>
          <w:sz w:val="24"/>
          <w:szCs w:val="24"/>
        </w:rPr>
        <w:t xml:space="preserve">.  </w:t>
      </w:r>
    </w:p>
    <w:p w:rsidR="00A114B1" w:rsidRDefault="00A114B1" w:rsidP="007E48E1">
      <w:pPr>
        <w:spacing w:line="360" w:lineRule="auto"/>
      </w:pPr>
    </w:p>
    <w:p w:rsidR="007E48E1" w:rsidRDefault="007E48E1" w:rsidP="007E48E1">
      <w:pPr>
        <w:spacing w:line="360" w:lineRule="auto"/>
      </w:pPr>
      <w:r w:rsidRPr="008B455C">
        <w:tab/>
      </w:r>
      <w:r w:rsidRPr="008B455C">
        <w:tab/>
        <w:t>4.</w:t>
      </w:r>
      <w:r w:rsidRPr="008B455C">
        <w:tab/>
      </w:r>
      <w:r>
        <w:t>Complainant</w:t>
      </w:r>
      <w:r w:rsidRPr="008B455C">
        <w:t xml:space="preserve"> </w:t>
      </w:r>
      <w:r w:rsidR="008A2641">
        <w:t>met</w:t>
      </w:r>
      <w:r w:rsidRPr="008B455C">
        <w:t xml:space="preserve"> the burden of proving Respondent</w:t>
      </w:r>
      <w:r>
        <w:t xml:space="preserve"> did not provide reasonable and adequate service.  </w:t>
      </w:r>
      <w:r w:rsidRPr="008B455C">
        <w:t xml:space="preserve">  </w:t>
      </w:r>
    </w:p>
    <w:p w:rsidR="007E48E1" w:rsidRDefault="007E48E1" w:rsidP="007E48E1">
      <w:pPr>
        <w:spacing w:line="360" w:lineRule="auto"/>
      </w:pPr>
    </w:p>
    <w:p w:rsidR="007E48E1" w:rsidRPr="008B455C" w:rsidRDefault="007E48E1" w:rsidP="007E48E1">
      <w:pPr>
        <w:spacing w:line="360" w:lineRule="auto"/>
      </w:pPr>
      <w:r>
        <w:tab/>
      </w:r>
      <w:r>
        <w:tab/>
        <w:t>5.</w:t>
      </w:r>
      <w:r>
        <w:tab/>
      </w:r>
      <w:r w:rsidR="008A2641">
        <w:t xml:space="preserve">The Commission is authorized to consider and impose civil monetary penalties against a public utility company.  </w:t>
      </w:r>
      <w:proofErr w:type="gramStart"/>
      <w:r w:rsidR="008A2641">
        <w:t>52 Pa. Code §1201 et seq.</w:t>
      </w:r>
      <w:proofErr w:type="gramEnd"/>
      <w:r w:rsidRPr="008B455C">
        <w:tab/>
      </w:r>
    </w:p>
    <w:p w:rsidR="007E48E1" w:rsidRDefault="007E48E1" w:rsidP="007E48E1">
      <w:pPr>
        <w:spacing w:line="360" w:lineRule="auto"/>
        <w:jc w:val="center"/>
        <w:rPr>
          <w:u w:val="single"/>
        </w:rPr>
      </w:pPr>
    </w:p>
    <w:p w:rsidR="0078000F" w:rsidRDefault="0078000F" w:rsidP="007E48E1">
      <w:pPr>
        <w:spacing w:line="360" w:lineRule="auto"/>
        <w:jc w:val="center"/>
        <w:rPr>
          <w:u w:val="single"/>
        </w:rPr>
      </w:pPr>
    </w:p>
    <w:p w:rsidR="007E48E1" w:rsidRPr="008B455C" w:rsidRDefault="007E48E1" w:rsidP="007E48E1">
      <w:pPr>
        <w:spacing w:line="360" w:lineRule="auto"/>
        <w:jc w:val="center"/>
        <w:rPr>
          <w:u w:val="single"/>
        </w:rPr>
      </w:pPr>
      <w:r w:rsidRPr="008B455C">
        <w:rPr>
          <w:u w:val="single"/>
        </w:rPr>
        <w:lastRenderedPageBreak/>
        <w:t>ORDER</w:t>
      </w:r>
    </w:p>
    <w:p w:rsidR="007E48E1" w:rsidRDefault="007E48E1" w:rsidP="007E48E1">
      <w:pPr>
        <w:tabs>
          <w:tab w:val="num" w:pos="2160"/>
        </w:tabs>
        <w:spacing w:line="360" w:lineRule="auto"/>
        <w:jc w:val="center"/>
        <w:rPr>
          <w:u w:val="single"/>
        </w:rPr>
      </w:pPr>
    </w:p>
    <w:p w:rsidR="004A7777" w:rsidRPr="008B455C" w:rsidRDefault="004A7777" w:rsidP="007E48E1">
      <w:pPr>
        <w:tabs>
          <w:tab w:val="num" w:pos="2160"/>
        </w:tabs>
        <w:spacing w:line="360" w:lineRule="auto"/>
        <w:jc w:val="center"/>
        <w:rPr>
          <w:u w:val="single"/>
        </w:rPr>
      </w:pPr>
    </w:p>
    <w:p w:rsidR="007E48E1" w:rsidRPr="008B455C" w:rsidRDefault="007E48E1" w:rsidP="007E48E1">
      <w:pPr>
        <w:tabs>
          <w:tab w:val="num" w:pos="2160"/>
        </w:tabs>
        <w:spacing w:line="360" w:lineRule="auto"/>
        <w:ind w:firstLine="1440"/>
      </w:pPr>
      <w:r w:rsidRPr="008B455C">
        <w:t xml:space="preserve">THEREFORE, </w:t>
      </w:r>
    </w:p>
    <w:p w:rsidR="007E48E1" w:rsidRPr="008B455C" w:rsidRDefault="007E48E1" w:rsidP="007E48E1">
      <w:pPr>
        <w:tabs>
          <w:tab w:val="num" w:pos="2160"/>
        </w:tabs>
        <w:spacing w:line="360" w:lineRule="auto"/>
      </w:pPr>
    </w:p>
    <w:p w:rsidR="007E48E1" w:rsidRPr="008B455C" w:rsidRDefault="007E48E1" w:rsidP="007E48E1">
      <w:pPr>
        <w:tabs>
          <w:tab w:val="num" w:pos="2160"/>
        </w:tabs>
        <w:spacing w:line="360" w:lineRule="auto"/>
        <w:ind w:firstLine="1440"/>
      </w:pPr>
      <w:r w:rsidRPr="008B455C">
        <w:t>IT IS ORDERED:</w:t>
      </w:r>
    </w:p>
    <w:p w:rsidR="008A2641" w:rsidRPr="008B455C" w:rsidRDefault="008A2641" w:rsidP="008A2641">
      <w:pPr>
        <w:tabs>
          <w:tab w:val="num" w:pos="2160"/>
        </w:tabs>
        <w:spacing w:line="360" w:lineRule="auto"/>
        <w:rPr>
          <w:b/>
        </w:rPr>
      </w:pPr>
    </w:p>
    <w:p w:rsidR="008A2641" w:rsidRDefault="008A2641" w:rsidP="008A2641">
      <w:pPr>
        <w:tabs>
          <w:tab w:val="num" w:pos="2160"/>
        </w:tabs>
        <w:spacing w:line="360" w:lineRule="auto"/>
        <w:ind w:firstLine="1440"/>
      </w:pPr>
      <w:r>
        <w:t>1.</w:t>
      </w:r>
      <w:r>
        <w:tab/>
      </w:r>
      <w:r w:rsidRPr="008B455C">
        <w:t xml:space="preserve">That the complaint </w:t>
      </w:r>
      <w:r w:rsidRPr="002F64FF">
        <w:t xml:space="preserve">of </w:t>
      </w:r>
      <w:r>
        <w:t>Gary</w:t>
      </w:r>
      <w:r w:rsidR="008C17F6">
        <w:t xml:space="preserve"> D.</w:t>
      </w:r>
      <w:r>
        <w:t xml:space="preserve"> Lindner</w:t>
      </w:r>
      <w:r w:rsidRPr="002F64FF">
        <w:t xml:space="preserve"> versus Duquesne Light Company</w:t>
      </w:r>
      <w:r w:rsidRPr="00055267">
        <w:t xml:space="preserve"> </w:t>
      </w:r>
      <w:r w:rsidRPr="008B455C">
        <w:t xml:space="preserve">at </w:t>
      </w:r>
      <w:r>
        <w:t>Docket No. C</w:t>
      </w:r>
      <w:r w:rsidRPr="008B455C">
        <w:noBreakHyphen/>
      </w:r>
      <w:r>
        <w:t>2011</w:t>
      </w:r>
      <w:r w:rsidRPr="008B455C">
        <w:t>-</w:t>
      </w:r>
      <w:r>
        <w:t>2237595</w:t>
      </w:r>
      <w:r w:rsidRPr="008B455C">
        <w:t xml:space="preserve"> </w:t>
      </w:r>
      <w:r w:rsidRPr="00EA1625">
        <w:t>hereby</w:t>
      </w:r>
      <w:r>
        <w:t xml:space="preserve"> is</w:t>
      </w:r>
      <w:r w:rsidRPr="00EA1625">
        <w:t xml:space="preserve"> </w:t>
      </w:r>
      <w:r>
        <w:t xml:space="preserve">sustained because Complainant proved </w:t>
      </w:r>
      <w:r w:rsidRPr="008B455C">
        <w:t>Respondent</w:t>
      </w:r>
      <w:r>
        <w:t xml:space="preserve"> did not provide reasonable and adequate service</w:t>
      </w:r>
      <w:r w:rsidRPr="008B455C">
        <w:t>.</w:t>
      </w:r>
    </w:p>
    <w:p w:rsidR="008A2641" w:rsidRDefault="008A2641" w:rsidP="008A2641">
      <w:pPr>
        <w:tabs>
          <w:tab w:val="num" w:pos="2160"/>
        </w:tabs>
        <w:spacing w:line="360" w:lineRule="auto"/>
        <w:ind w:firstLine="1440"/>
      </w:pPr>
    </w:p>
    <w:p w:rsidR="008A2641" w:rsidRDefault="008A2641" w:rsidP="008A2641">
      <w:pPr>
        <w:tabs>
          <w:tab w:val="num" w:pos="2160"/>
        </w:tabs>
        <w:spacing w:line="360" w:lineRule="auto"/>
        <w:ind w:firstLine="1440"/>
      </w:pPr>
      <w:r>
        <w:t>2.</w:t>
      </w:r>
      <w:r>
        <w:tab/>
        <w:t>That Duquesne Light</w:t>
      </w:r>
      <w:r w:rsidRPr="00EA1625">
        <w:t xml:space="preserve"> Company is hereby </w:t>
      </w:r>
      <w:r>
        <w:t>assessed the penalty of One</w:t>
      </w:r>
      <w:r w:rsidR="000D43B0">
        <w:t> </w:t>
      </w:r>
      <w:r>
        <w:t xml:space="preserve">Thousand dollars ($1,000.00) because Respondent failed to properly and accurately report credit information about Complainant to the credit reporting agency, resulting in Complainant’s bank terminating the </w:t>
      </w:r>
      <w:r w:rsidR="00B7635B">
        <w:t>C</w:t>
      </w:r>
      <w:r>
        <w:t xml:space="preserve">ommercial </w:t>
      </w:r>
      <w:r w:rsidR="00B7635B">
        <w:t>L</w:t>
      </w:r>
      <w:r>
        <w:t xml:space="preserve">ine of </w:t>
      </w:r>
      <w:r w:rsidR="00B7635B">
        <w:t>C</w:t>
      </w:r>
      <w:r>
        <w:t>redit; and because Respondent delayed in presenting Complainant with a final bill in a timely manner.</w:t>
      </w:r>
    </w:p>
    <w:p w:rsidR="008A2641" w:rsidRDefault="008A2641" w:rsidP="008A2641">
      <w:pPr>
        <w:tabs>
          <w:tab w:val="num" w:pos="2160"/>
        </w:tabs>
        <w:spacing w:line="360" w:lineRule="auto"/>
        <w:ind w:firstLine="1440"/>
      </w:pPr>
    </w:p>
    <w:p w:rsidR="008A2641" w:rsidRDefault="008A2641" w:rsidP="008A2641">
      <w:pPr>
        <w:tabs>
          <w:tab w:val="num" w:pos="2160"/>
        </w:tabs>
        <w:spacing w:line="360" w:lineRule="auto"/>
        <w:ind w:firstLine="1440"/>
      </w:pPr>
      <w:r>
        <w:t>3.</w:t>
      </w:r>
      <w:r>
        <w:tab/>
        <w:t>That Duquesne Light Company within thirty (30) days of the Commission’s Order in this case shall pay a civil penalty in the amount of One Thousand dollars ($1,000.00) by sending a certified check or money order payable to the Pennsylvania Public Utility Commission addressed to:</w:t>
      </w:r>
    </w:p>
    <w:p w:rsidR="008A2641" w:rsidRDefault="008A2641" w:rsidP="008A2641">
      <w:pPr>
        <w:tabs>
          <w:tab w:val="num" w:pos="2160"/>
        </w:tabs>
        <w:ind w:firstLine="1440"/>
      </w:pPr>
    </w:p>
    <w:p w:rsidR="008A2641" w:rsidRDefault="008A2641" w:rsidP="008A2641">
      <w:pPr>
        <w:tabs>
          <w:tab w:val="num" w:pos="2160"/>
        </w:tabs>
        <w:ind w:firstLine="1440"/>
      </w:pPr>
      <w:r>
        <w:tab/>
        <w:t>Pennsylvania Public Utility Commission</w:t>
      </w:r>
    </w:p>
    <w:p w:rsidR="008A2641" w:rsidRDefault="008A2641" w:rsidP="008A2641">
      <w:pPr>
        <w:tabs>
          <w:tab w:val="num" w:pos="2160"/>
        </w:tabs>
        <w:ind w:firstLine="1440"/>
      </w:pPr>
      <w:r>
        <w:tab/>
      </w:r>
      <w:smartTag w:uri="urn:schemas-microsoft-com:office:smarttags" w:element="address">
        <w:smartTag w:uri="urn:schemas-microsoft-com:office:smarttags" w:element="Street">
          <w:r>
            <w:t>P.O. Box</w:t>
          </w:r>
        </w:smartTag>
        <w:r>
          <w:t xml:space="preserve"> 3265</w:t>
        </w:r>
      </w:smartTag>
    </w:p>
    <w:p w:rsidR="008A2641" w:rsidRDefault="008A2641" w:rsidP="008A2641">
      <w:pPr>
        <w:tabs>
          <w:tab w:val="num" w:pos="2160"/>
        </w:tabs>
        <w:spacing w:line="360" w:lineRule="auto"/>
        <w:ind w:firstLine="1440"/>
      </w:pPr>
      <w:r>
        <w:tab/>
      </w:r>
      <w:smartTag w:uri="urn:schemas-microsoft-com:office:smarttags" w:element="City">
        <w:r>
          <w:t>Harrisburg</w:t>
        </w:r>
      </w:smartTag>
      <w:r>
        <w:t xml:space="preserve">, </w:t>
      </w:r>
      <w:smartTag w:uri="urn:schemas-microsoft-com:office:smarttags" w:element="State">
        <w:r>
          <w:t>PA</w:t>
        </w:r>
      </w:smartTag>
      <w:r>
        <w:t xml:space="preserve"> 17105-3265</w:t>
      </w:r>
    </w:p>
    <w:p w:rsidR="008A2641" w:rsidRDefault="008A2641" w:rsidP="008A2641">
      <w:pPr>
        <w:tabs>
          <w:tab w:val="num" w:pos="2160"/>
        </w:tabs>
        <w:spacing w:line="360" w:lineRule="auto"/>
        <w:ind w:firstLine="1440"/>
      </w:pPr>
    </w:p>
    <w:p w:rsidR="008A2641" w:rsidRDefault="008A2641" w:rsidP="008A2641">
      <w:pPr>
        <w:tabs>
          <w:tab w:val="num" w:pos="2160"/>
        </w:tabs>
        <w:spacing w:line="360" w:lineRule="auto"/>
        <w:ind w:firstLine="1440"/>
      </w:pPr>
      <w:r>
        <w:t>4.</w:t>
      </w:r>
      <w:r>
        <w:tab/>
        <w:t>That Duquesne Light Company shall cease and desist from further violations of the Public Utility Code, 66 Pa. C.S.A. §101 et seq.</w:t>
      </w:r>
    </w:p>
    <w:p w:rsidR="00955B6B" w:rsidRDefault="00955B6B" w:rsidP="002C1C42">
      <w:pPr>
        <w:tabs>
          <w:tab w:val="num" w:pos="2160"/>
        </w:tabs>
      </w:pPr>
    </w:p>
    <w:p w:rsidR="002C1C42" w:rsidRDefault="002C1C42" w:rsidP="002C1C42">
      <w:pPr>
        <w:tabs>
          <w:tab w:val="num" w:pos="2160"/>
        </w:tabs>
      </w:pPr>
    </w:p>
    <w:p w:rsidR="008A2641" w:rsidRPr="008B455C" w:rsidRDefault="008A2641" w:rsidP="002375C7">
      <w:pPr>
        <w:tabs>
          <w:tab w:val="num" w:pos="2160"/>
        </w:tabs>
      </w:pPr>
      <w:r>
        <w:tab/>
      </w:r>
    </w:p>
    <w:p w:rsidR="008A2641" w:rsidRPr="008B455C" w:rsidRDefault="008A2641" w:rsidP="002375C7">
      <w:pPr>
        <w:tabs>
          <w:tab w:val="num" w:pos="2160"/>
        </w:tabs>
      </w:pPr>
      <w:r w:rsidRPr="008B455C">
        <w:t>Date:</w:t>
      </w:r>
      <w:r w:rsidR="002375C7">
        <w:t xml:space="preserve"> </w:t>
      </w:r>
      <w:r w:rsidRPr="008B455C">
        <w:t xml:space="preserve"> </w:t>
      </w:r>
      <w:r w:rsidR="00955B6B">
        <w:rPr>
          <w:u w:val="single"/>
        </w:rPr>
        <w:t xml:space="preserve">February </w:t>
      </w:r>
      <w:r w:rsidR="001137EB">
        <w:rPr>
          <w:u w:val="single"/>
        </w:rPr>
        <w:t>1</w:t>
      </w:r>
      <w:bookmarkStart w:id="1" w:name="_GoBack"/>
      <w:bookmarkEnd w:id="1"/>
      <w:r>
        <w:rPr>
          <w:u w:val="single"/>
        </w:rPr>
        <w:t>, 2012</w:t>
      </w:r>
      <w:r w:rsidRPr="008B455C">
        <w:tab/>
      </w:r>
      <w:r w:rsidR="002375C7">
        <w:tab/>
      </w:r>
      <w:r w:rsidR="002375C7">
        <w:tab/>
      </w:r>
      <w:r w:rsidR="002375C7">
        <w:tab/>
      </w:r>
      <w:r w:rsidR="002375C7">
        <w:tab/>
      </w:r>
      <w:r w:rsidRPr="008B455C">
        <w:t>_________________________</w:t>
      </w:r>
    </w:p>
    <w:p w:rsidR="008A2641" w:rsidRPr="008B455C" w:rsidRDefault="008A2641" w:rsidP="002375C7">
      <w:pPr>
        <w:tabs>
          <w:tab w:val="num" w:pos="2160"/>
        </w:tabs>
      </w:pPr>
      <w:r w:rsidRPr="008B455C">
        <w:tab/>
      </w:r>
      <w:r w:rsidRPr="008B455C">
        <w:tab/>
      </w:r>
      <w:r w:rsidRPr="008B455C">
        <w:tab/>
      </w:r>
      <w:r w:rsidRPr="008B455C">
        <w:tab/>
      </w:r>
      <w:r w:rsidRPr="008B455C">
        <w:tab/>
      </w:r>
      <w:r w:rsidR="002375C7">
        <w:tab/>
      </w:r>
      <w:r w:rsidRPr="008B455C">
        <w:t>Katrina L. Dunderdale</w:t>
      </w:r>
    </w:p>
    <w:p w:rsidR="00CA57BA" w:rsidRPr="008B455C" w:rsidRDefault="008A2641" w:rsidP="002375C7">
      <w:pPr>
        <w:tabs>
          <w:tab w:val="num" w:pos="2160"/>
        </w:tabs>
      </w:pPr>
      <w:r w:rsidRPr="008B455C">
        <w:tab/>
      </w:r>
      <w:r w:rsidRPr="008B455C">
        <w:tab/>
      </w:r>
      <w:r w:rsidRPr="008B455C">
        <w:tab/>
      </w:r>
      <w:r>
        <w:tab/>
      </w:r>
      <w:r>
        <w:tab/>
      </w:r>
      <w:r w:rsidR="002375C7">
        <w:tab/>
      </w:r>
      <w:r>
        <w:t>Administrative Law Judge</w:t>
      </w:r>
    </w:p>
    <w:sectPr w:rsidR="00CA57BA" w:rsidRPr="008B455C" w:rsidSect="00F6612B">
      <w:footerReference w:type="even" r:id="rId9"/>
      <w:footerReference w:type="default" r:id="rId10"/>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5B3" w:rsidRDefault="002D35B3">
      <w:r>
        <w:separator/>
      </w:r>
    </w:p>
  </w:endnote>
  <w:endnote w:type="continuationSeparator" w:id="0">
    <w:p w:rsidR="002D35B3" w:rsidRDefault="002D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E52929"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9E4A8F" w:rsidRDefault="00E52929" w:rsidP="008E4FD6">
    <w:pPr>
      <w:pStyle w:val="Footer"/>
      <w:framePr w:wrap="around" w:vAnchor="text" w:hAnchor="margin" w:xAlign="center" w:y="1"/>
      <w:rPr>
        <w:rStyle w:val="PageNumber"/>
      </w:rPr>
    </w:pPr>
    <w:r w:rsidRPr="009E4A8F">
      <w:rPr>
        <w:rStyle w:val="PageNumber"/>
      </w:rPr>
      <w:fldChar w:fldCharType="begin"/>
    </w:r>
    <w:r w:rsidR="00F30562" w:rsidRPr="009E4A8F">
      <w:rPr>
        <w:rStyle w:val="PageNumber"/>
      </w:rPr>
      <w:instrText xml:space="preserve">PAGE  </w:instrText>
    </w:r>
    <w:r w:rsidRPr="009E4A8F">
      <w:rPr>
        <w:rStyle w:val="PageNumber"/>
      </w:rPr>
      <w:fldChar w:fldCharType="separate"/>
    </w:r>
    <w:r w:rsidR="001137EB">
      <w:rPr>
        <w:rStyle w:val="PageNumber"/>
        <w:noProof/>
      </w:rPr>
      <w:t>15</w:t>
    </w:r>
    <w:r w:rsidRPr="009E4A8F">
      <w:rPr>
        <w:rStyle w:val="PageNumber"/>
      </w:rPr>
      <w:fldChar w:fldCharType="end"/>
    </w:r>
  </w:p>
  <w:p w:rsidR="00F30562" w:rsidRDefault="00F3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5B3" w:rsidRDefault="002D35B3">
      <w:r>
        <w:separator/>
      </w:r>
    </w:p>
  </w:footnote>
  <w:footnote w:type="continuationSeparator" w:id="0">
    <w:p w:rsidR="002D35B3" w:rsidRDefault="002D35B3">
      <w:r>
        <w:continuationSeparator/>
      </w:r>
    </w:p>
  </w:footnote>
  <w:footnote w:id="1">
    <w:p w:rsidR="007D630A" w:rsidRDefault="007D630A" w:rsidP="007D630A">
      <w:pPr>
        <w:pStyle w:val="FootnoteText"/>
        <w:ind w:firstLine="720"/>
      </w:pPr>
    </w:p>
    <w:p w:rsidR="007D630A" w:rsidRDefault="007D630A" w:rsidP="007D630A">
      <w:pPr>
        <w:pStyle w:val="FootnoteText"/>
        <w:ind w:firstLine="720"/>
      </w:pPr>
      <w:r>
        <w:rPr>
          <w:rStyle w:val="FootnoteReference"/>
        </w:rPr>
        <w:footnoteRef/>
      </w:r>
      <w:r>
        <w:t xml:space="preserve"> </w:t>
      </w:r>
      <w:r>
        <w:tab/>
      </w:r>
      <w:proofErr w:type="gramStart"/>
      <w:r w:rsidR="006B6036">
        <w:rPr>
          <w:u w:val="single"/>
        </w:rPr>
        <w:t>Commonwealth v.</w:t>
      </w:r>
      <w:r w:rsidRPr="007D630A">
        <w:rPr>
          <w:u w:val="single"/>
        </w:rPr>
        <w:t xml:space="preserve"> Colon</w:t>
      </w:r>
      <w:r>
        <w:t>, 337 A.2</w:t>
      </w:r>
      <w:r w:rsidR="000930C0">
        <w:t>d 554 (1975)</w:t>
      </w:r>
      <w:r>
        <w:t>.</w:t>
      </w:r>
      <w:proofErr w:type="gramEnd"/>
    </w:p>
  </w:footnote>
  <w:footnote w:id="2">
    <w:p w:rsidR="000930C0" w:rsidRDefault="000930C0" w:rsidP="000930C0">
      <w:pPr>
        <w:pStyle w:val="FootnoteText"/>
        <w:ind w:firstLine="720"/>
      </w:pPr>
    </w:p>
    <w:p w:rsidR="000930C0" w:rsidRDefault="000930C0" w:rsidP="000930C0">
      <w:pPr>
        <w:pStyle w:val="FootnoteText"/>
        <w:ind w:firstLine="720"/>
      </w:pPr>
      <w:r>
        <w:rPr>
          <w:rStyle w:val="FootnoteReference"/>
        </w:rPr>
        <w:footnoteRef/>
      </w:r>
      <w:r>
        <w:t xml:space="preserve"> </w:t>
      </w:r>
      <w:r>
        <w:tab/>
      </w:r>
      <w:proofErr w:type="spellStart"/>
      <w:proofErr w:type="gramStart"/>
      <w:r w:rsidRPr="000930C0">
        <w:rPr>
          <w:u w:val="single"/>
        </w:rPr>
        <w:t>Heddings</w:t>
      </w:r>
      <w:proofErr w:type="spellEnd"/>
      <w:r w:rsidRPr="000930C0">
        <w:rPr>
          <w:u w:val="single"/>
        </w:rPr>
        <w:t xml:space="preserve"> v. Steele</w:t>
      </w:r>
      <w:r>
        <w:t>, 344 Pa. Super.</w:t>
      </w:r>
      <w:proofErr w:type="gramEnd"/>
      <w:r>
        <w:t xml:space="preserve"> </w:t>
      </w:r>
      <w:proofErr w:type="gramStart"/>
      <w:r>
        <w:t>399, 496 A.2d 1166 (1985).</w:t>
      </w:r>
      <w:proofErr w:type="gramEnd"/>
    </w:p>
  </w:footnote>
  <w:footnote w:id="3">
    <w:p w:rsidR="00546C6B" w:rsidRDefault="00546C6B" w:rsidP="00EA3FF6">
      <w:pPr>
        <w:pStyle w:val="FootnoteText"/>
        <w:ind w:left="720"/>
      </w:pPr>
    </w:p>
    <w:p w:rsidR="00EA3FF6" w:rsidRDefault="00EA3FF6" w:rsidP="00EA3FF6">
      <w:pPr>
        <w:pStyle w:val="FootnoteText"/>
        <w:ind w:left="720"/>
      </w:pPr>
      <w:r>
        <w:rPr>
          <w:rStyle w:val="FootnoteReference"/>
        </w:rPr>
        <w:footnoteRef/>
      </w:r>
      <w:r>
        <w:t xml:space="preserve"> </w:t>
      </w:r>
      <w:r>
        <w:tab/>
      </w:r>
      <w:r w:rsidR="002C4948">
        <w:t xml:space="preserve">See </w:t>
      </w:r>
      <w:r w:rsidR="002C4948">
        <w:rPr>
          <w:u w:val="single"/>
        </w:rPr>
        <w:t xml:space="preserve">In re Conrad’s </w:t>
      </w:r>
      <w:r w:rsidR="002C4948" w:rsidRPr="002C4948">
        <w:rPr>
          <w:u w:val="single"/>
        </w:rPr>
        <w:t>Estate</w:t>
      </w:r>
      <w:r w:rsidR="002C4948">
        <w:t xml:space="preserve">, 333 Pa. 561, 3 A.2d 967 (1938), where the attorney’s statement were not made in the course of litigation; </w:t>
      </w:r>
      <w:r w:rsidRPr="002C4948">
        <w:rPr>
          <w:u w:val="single"/>
        </w:rPr>
        <w:t>Malone</w:t>
      </w:r>
      <w:r w:rsidRPr="00EA3FF6">
        <w:rPr>
          <w:u w:val="single"/>
        </w:rPr>
        <w:t xml:space="preserve"> v</w:t>
      </w:r>
      <w:r w:rsidR="006B6036">
        <w:rPr>
          <w:u w:val="single"/>
        </w:rPr>
        <w:t>.</w:t>
      </w:r>
      <w:r w:rsidRPr="00EA3FF6">
        <w:rPr>
          <w:u w:val="single"/>
        </w:rPr>
        <w:t xml:space="preserve"> </w:t>
      </w:r>
      <w:proofErr w:type="spellStart"/>
      <w:r w:rsidRPr="00EA3FF6">
        <w:rPr>
          <w:u w:val="single"/>
        </w:rPr>
        <w:t>Marano</w:t>
      </w:r>
      <w:proofErr w:type="spellEnd"/>
      <w:r>
        <w:t>, 326 Pa. 316, 192 A. 254 (1937)</w:t>
      </w:r>
      <w:r w:rsidR="002C4948">
        <w:t xml:space="preserve">; and </w:t>
      </w:r>
      <w:proofErr w:type="spellStart"/>
      <w:r w:rsidR="002C4948" w:rsidRPr="002C4948">
        <w:rPr>
          <w:u w:val="single"/>
        </w:rPr>
        <w:t>Geesey</w:t>
      </w:r>
      <w:proofErr w:type="spellEnd"/>
      <w:r w:rsidR="002C4948" w:rsidRPr="002C4948">
        <w:rPr>
          <w:u w:val="single"/>
        </w:rPr>
        <w:t xml:space="preserve"> v</w:t>
      </w:r>
      <w:r w:rsidR="00AE457D">
        <w:rPr>
          <w:u w:val="single"/>
        </w:rPr>
        <w:t>.</w:t>
      </w:r>
      <w:r w:rsidR="002C4948" w:rsidRPr="002C4948">
        <w:rPr>
          <w:u w:val="single"/>
        </w:rPr>
        <w:t xml:space="preserve"> Albee Pennsylvania Homes, Inc.</w:t>
      </w:r>
      <w:proofErr w:type="gramStart"/>
      <w:r w:rsidR="002C4948">
        <w:t>,  211</w:t>
      </w:r>
      <w:proofErr w:type="gramEnd"/>
      <w:r w:rsidR="002C4948">
        <w:t xml:space="preserve"> Pa. Super. 215, 235 A. 2d 176 (1967)</w:t>
      </w:r>
      <w:r>
        <w:t>.</w:t>
      </w:r>
    </w:p>
  </w:footnote>
  <w:footnote w:id="4">
    <w:p w:rsidR="007D630A" w:rsidRDefault="007D630A" w:rsidP="00A6043D">
      <w:pPr>
        <w:pStyle w:val="FootnoteText"/>
        <w:ind w:firstLine="720"/>
      </w:pPr>
    </w:p>
    <w:p w:rsidR="00A6043D" w:rsidRDefault="00A6043D" w:rsidP="00A6043D">
      <w:pPr>
        <w:pStyle w:val="FootnoteText"/>
        <w:ind w:firstLine="720"/>
      </w:pPr>
      <w:r>
        <w:rPr>
          <w:rStyle w:val="FootnoteReference"/>
        </w:rPr>
        <w:footnoteRef/>
      </w:r>
      <w:r w:rsidR="00C518D5">
        <w:t xml:space="preserve"> </w:t>
      </w:r>
      <w:r w:rsidR="007D630A">
        <w:tab/>
      </w:r>
      <w:proofErr w:type="gramStart"/>
      <w:r>
        <w:t xml:space="preserve">See </w:t>
      </w:r>
      <w:r w:rsidRPr="00A6043D">
        <w:rPr>
          <w:u w:val="single"/>
        </w:rPr>
        <w:t>Norfolk &amp; Western Ry. Company v. Pennsylvania Public Utility Commission</w:t>
      </w:r>
      <w:r w:rsidRPr="00A6043D">
        <w:t xml:space="preserve">, 489 Pa. 109, 413 A.2d 1037 (1980); </w:t>
      </w:r>
      <w:r w:rsidRPr="00A6043D">
        <w:rPr>
          <w:u w:val="single"/>
        </w:rPr>
        <w:t>Erie Resistor Corp. v. Unemployment Board of Review</w:t>
      </w:r>
      <w:r w:rsidRPr="00A6043D">
        <w:t xml:space="preserve">, 194 Pa. Superior Ct. 278, 166 A.2d 96 (1961); </w:t>
      </w:r>
      <w:r w:rsidRPr="00A6043D">
        <w:rPr>
          <w:u w:val="single"/>
        </w:rPr>
        <w:t>Murphy v. Department of Public Welfare</w:t>
      </w:r>
      <w:r w:rsidRPr="00A6043D">
        <w:t xml:space="preserve">, 480 A.2d 382 (Pa. </w:t>
      </w:r>
      <w:proofErr w:type="spellStart"/>
      <w:r w:rsidRPr="00A6043D">
        <w:t>Cmwlth</w:t>
      </w:r>
      <w:proofErr w:type="spellEnd"/>
      <w:r w:rsidRPr="00A6043D">
        <w:t>. 1984).</w:t>
      </w:r>
      <w:proofErr w:type="gramEnd"/>
    </w:p>
    <w:p w:rsidR="00A6043D" w:rsidRDefault="00A6043D" w:rsidP="00A6043D">
      <w:pPr>
        <w:pStyle w:val="FootnoteText"/>
        <w:ind w:firstLine="720"/>
      </w:pPr>
    </w:p>
  </w:footnote>
  <w:footnote w:id="5">
    <w:p w:rsidR="00E73118" w:rsidRDefault="00E73118" w:rsidP="00A6043D">
      <w:pPr>
        <w:pStyle w:val="FootnoteText"/>
        <w:ind w:firstLine="720"/>
      </w:pPr>
    </w:p>
    <w:p w:rsidR="00A6043D" w:rsidRDefault="00A6043D" w:rsidP="00A6043D">
      <w:pPr>
        <w:pStyle w:val="FootnoteText"/>
        <w:ind w:firstLine="720"/>
      </w:pPr>
      <w:r>
        <w:rPr>
          <w:rStyle w:val="FootnoteReference"/>
        </w:rPr>
        <w:footnoteRef/>
      </w:r>
      <w:r w:rsidR="00CC4851">
        <w:t xml:space="preserve"> </w:t>
      </w:r>
      <w:r w:rsidR="00E73118">
        <w:tab/>
      </w:r>
      <w:r w:rsidRPr="00A6043D">
        <w:t xml:space="preserve">See </w:t>
      </w:r>
      <w:proofErr w:type="spellStart"/>
      <w:r w:rsidRPr="00A6043D">
        <w:rPr>
          <w:u w:val="single"/>
        </w:rPr>
        <w:t>DeFranscesco</w:t>
      </w:r>
      <w:proofErr w:type="spellEnd"/>
      <w:r w:rsidRPr="00A6043D">
        <w:rPr>
          <w:u w:val="single"/>
        </w:rPr>
        <w:t xml:space="preserve"> v. West Penn Power Company</w:t>
      </w:r>
      <w:r w:rsidRPr="00A6043D">
        <w:t xml:space="preserve">, 329 Pa. Superior Ct. 508, </w:t>
      </w:r>
      <w:proofErr w:type="gramStart"/>
      <w:r w:rsidRPr="00A6043D">
        <w:t>478 A.2d 1295</w:t>
      </w:r>
      <w:proofErr w:type="gramEnd"/>
      <w:r w:rsidRPr="00A6043D">
        <w:t xml:space="preserve"> (1984).</w:t>
      </w:r>
    </w:p>
  </w:footnote>
  <w:footnote w:id="6">
    <w:p w:rsidR="00642C86" w:rsidRDefault="00642C86" w:rsidP="00642C86">
      <w:pPr>
        <w:pStyle w:val="BodyText"/>
        <w:spacing w:line="240" w:lineRule="auto"/>
        <w:ind w:firstLine="720"/>
        <w:jc w:val="left"/>
        <w:outlineLvl w:val="0"/>
        <w:rPr>
          <w:sz w:val="20"/>
        </w:rPr>
      </w:pPr>
      <w:r w:rsidRPr="00F04375">
        <w:rPr>
          <w:rStyle w:val="FootnoteReference"/>
          <w:sz w:val="20"/>
        </w:rPr>
        <w:footnoteRef/>
      </w:r>
      <w:r w:rsidRPr="00F04375">
        <w:rPr>
          <w:sz w:val="20"/>
        </w:rPr>
        <w:t xml:space="preserve"> </w:t>
      </w:r>
      <w:r>
        <w:tab/>
      </w:r>
      <w:r w:rsidRPr="003A3CC0">
        <w:rPr>
          <w:sz w:val="20"/>
        </w:rPr>
        <w:t xml:space="preserve">See </w:t>
      </w:r>
      <w:proofErr w:type="spellStart"/>
      <w:r w:rsidRPr="003A3CC0">
        <w:rPr>
          <w:sz w:val="20"/>
          <w:u w:val="single"/>
        </w:rPr>
        <w:t>Tremaine</w:t>
      </w:r>
      <w:proofErr w:type="spellEnd"/>
      <w:r w:rsidRPr="003A3CC0">
        <w:rPr>
          <w:sz w:val="20"/>
          <w:u w:val="single"/>
        </w:rPr>
        <w:t xml:space="preserve"> v. H.K. </w:t>
      </w:r>
      <w:proofErr w:type="spellStart"/>
      <w:r w:rsidRPr="003A3CC0">
        <w:rPr>
          <w:sz w:val="20"/>
          <w:u w:val="single"/>
        </w:rPr>
        <w:t>Mulford</w:t>
      </w:r>
      <w:proofErr w:type="spellEnd"/>
      <w:r w:rsidRPr="003A3CC0">
        <w:rPr>
          <w:sz w:val="20"/>
          <w:u w:val="single"/>
        </w:rPr>
        <w:t xml:space="preserve"> Co.</w:t>
      </w:r>
      <w:r>
        <w:rPr>
          <w:sz w:val="20"/>
        </w:rPr>
        <w:t>, 317 Pa. 97</w:t>
      </w:r>
      <w:r w:rsidR="006F662D">
        <w:rPr>
          <w:sz w:val="20"/>
        </w:rPr>
        <w:t>, 176 A</w:t>
      </w:r>
      <w:r w:rsidR="006359A3">
        <w:rPr>
          <w:sz w:val="20"/>
        </w:rPr>
        <w:t>.</w:t>
      </w:r>
      <w:r w:rsidR="006F662D">
        <w:rPr>
          <w:sz w:val="20"/>
        </w:rPr>
        <w:t>2d 212 (1935)</w:t>
      </w:r>
      <w:r>
        <w:rPr>
          <w:sz w:val="20"/>
        </w:rPr>
        <w:t xml:space="preserve">; </w:t>
      </w:r>
      <w:r>
        <w:rPr>
          <w:sz w:val="20"/>
          <w:u w:val="single"/>
        </w:rPr>
        <w:t>Wilson v</w:t>
      </w:r>
      <w:r w:rsidR="00AE7145">
        <w:rPr>
          <w:sz w:val="20"/>
          <w:u w:val="single"/>
        </w:rPr>
        <w:t>.</w:t>
      </w:r>
      <w:r>
        <w:rPr>
          <w:sz w:val="20"/>
          <w:u w:val="single"/>
        </w:rPr>
        <w:t xml:space="preserve"> Pennsylvania Railroad Company</w:t>
      </w:r>
      <w:r>
        <w:rPr>
          <w:sz w:val="20"/>
        </w:rPr>
        <w:t xml:space="preserve">, 421 Pa. 419, </w:t>
      </w:r>
      <w:r w:rsidRPr="00BD3377">
        <w:rPr>
          <w:sz w:val="20"/>
        </w:rPr>
        <w:t xml:space="preserve">210 A.2d 666 (1966); and </w:t>
      </w:r>
      <w:r w:rsidRPr="00BD3377">
        <w:rPr>
          <w:sz w:val="20"/>
          <w:u w:val="single"/>
        </w:rPr>
        <w:t>Glover v. Com., Norristown State Hospital</w:t>
      </w:r>
      <w:r w:rsidRPr="00BD3377">
        <w:rPr>
          <w:sz w:val="20"/>
        </w:rPr>
        <w:t xml:space="preserve">, 90 Pa. </w:t>
      </w:r>
      <w:proofErr w:type="spellStart"/>
      <w:r w:rsidRPr="00BD3377">
        <w:rPr>
          <w:sz w:val="20"/>
        </w:rPr>
        <w:t>Commw</w:t>
      </w:r>
      <w:proofErr w:type="spellEnd"/>
      <w:r w:rsidRPr="00BD3377">
        <w:rPr>
          <w:sz w:val="20"/>
        </w:rPr>
        <w:t xml:space="preserve">. </w:t>
      </w:r>
      <w:proofErr w:type="gramStart"/>
      <w:r w:rsidRPr="00BD3377">
        <w:rPr>
          <w:sz w:val="20"/>
        </w:rPr>
        <w:t>58, 494 A.2d 39 (1985).</w:t>
      </w:r>
      <w:proofErr w:type="gramEnd"/>
    </w:p>
    <w:p w:rsidR="00642C86" w:rsidRPr="00BD3377" w:rsidRDefault="00642C86" w:rsidP="00642C86">
      <w:pPr>
        <w:pStyle w:val="BodyText"/>
        <w:spacing w:line="240" w:lineRule="auto"/>
        <w:jc w:val="left"/>
        <w:outlineLvl w:val="0"/>
        <w:rPr>
          <w:sz w:val="20"/>
        </w:rPr>
      </w:pPr>
    </w:p>
  </w:footnote>
  <w:footnote w:id="7">
    <w:p w:rsidR="00E73118" w:rsidRDefault="00E73118" w:rsidP="00E73118">
      <w:pPr>
        <w:pStyle w:val="FootnoteText"/>
        <w:ind w:firstLine="720"/>
      </w:pPr>
      <w:r>
        <w:rPr>
          <w:rStyle w:val="FootnoteReference"/>
        </w:rPr>
        <w:footnoteRef/>
      </w:r>
      <w:r>
        <w:t xml:space="preserve"> </w:t>
      </w:r>
      <w:r w:rsidRPr="00E73118">
        <w:tab/>
      </w:r>
      <w:proofErr w:type="gramStart"/>
      <w:r w:rsidRPr="00E73118">
        <w:t>66 Pa. C.S. § 1501.</w:t>
      </w:r>
      <w:proofErr w:type="gramEnd"/>
    </w:p>
  </w:footnote>
  <w:footnote w:id="8">
    <w:p w:rsidR="00E73118" w:rsidRDefault="00E73118">
      <w:pPr>
        <w:pStyle w:val="FootnoteText"/>
      </w:pPr>
    </w:p>
    <w:p w:rsidR="00E73118" w:rsidRDefault="00E73118" w:rsidP="00E73118">
      <w:pPr>
        <w:pStyle w:val="FootnoteText"/>
        <w:ind w:firstLine="720"/>
      </w:pPr>
      <w:r>
        <w:rPr>
          <w:rStyle w:val="FootnoteReference"/>
        </w:rPr>
        <w:footnoteRef/>
      </w:r>
      <w:r>
        <w:t xml:space="preserve"> </w:t>
      </w:r>
      <w:r>
        <w:tab/>
      </w:r>
      <w:proofErr w:type="gramStart"/>
      <w:r w:rsidRPr="00E73118">
        <w:rPr>
          <w:u w:val="single"/>
        </w:rPr>
        <w:t>Elkin v. Bell of Pa.</w:t>
      </w:r>
      <w:r w:rsidRPr="00E73118">
        <w:t>,</w:t>
      </w:r>
      <w:r w:rsidRPr="00E73118">
        <w:rPr>
          <w:i/>
        </w:rPr>
        <w:t xml:space="preserve"> </w:t>
      </w:r>
      <w:r w:rsidRPr="00E73118">
        <w:t>491 Pa. 123, 420 A.2d 371 (1980).</w:t>
      </w:r>
      <w:proofErr w:type="gramEnd"/>
      <w:r w:rsidRPr="006E0E7F">
        <w:rPr>
          <w:sz w:val="24"/>
          <w:szCs w:val="24"/>
        </w:rPr>
        <w:t xml:space="preserve">  </w:t>
      </w:r>
    </w:p>
  </w:footnote>
  <w:footnote w:id="9">
    <w:p w:rsidR="00E73118" w:rsidRDefault="00E73118">
      <w:pPr>
        <w:pStyle w:val="FootnoteText"/>
      </w:pPr>
    </w:p>
    <w:p w:rsidR="00E73118" w:rsidRPr="00E73118" w:rsidRDefault="00E73118" w:rsidP="00E73118">
      <w:pPr>
        <w:pStyle w:val="FootnoteText"/>
        <w:ind w:firstLine="720"/>
      </w:pPr>
      <w:r w:rsidRPr="00E73118">
        <w:rPr>
          <w:rStyle w:val="FootnoteReference"/>
        </w:rPr>
        <w:footnoteRef/>
      </w:r>
      <w:r w:rsidRPr="00E73118">
        <w:t xml:space="preserve"> </w:t>
      </w:r>
      <w:r w:rsidRPr="00E73118">
        <w:tab/>
      </w:r>
      <w:proofErr w:type="gramStart"/>
      <w:r w:rsidRPr="00E73118">
        <w:t>66 Pa. C.S. § 102.</w:t>
      </w:r>
      <w:proofErr w:type="gramEnd"/>
      <w:r w:rsidRPr="00E73118">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0E5F"/>
    <w:rsid w:val="00002933"/>
    <w:rsid w:val="00002A2B"/>
    <w:rsid w:val="00004CAB"/>
    <w:rsid w:val="00005340"/>
    <w:rsid w:val="00010C1B"/>
    <w:rsid w:val="00014CD9"/>
    <w:rsid w:val="00015B93"/>
    <w:rsid w:val="00015E77"/>
    <w:rsid w:val="000218E1"/>
    <w:rsid w:val="0002562B"/>
    <w:rsid w:val="0002677E"/>
    <w:rsid w:val="00030A0C"/>
    <w:rsid w:val="00032447"/>
    <w:rsid w:val="0003254A"/>
    <w:rsid w:val="0003345F"/>
    <w:rsid w:val="00034688"/>
    <w:rsid w:val="00034D3C"/>
    <w:rsid w:val="0003750C"/>
    <w:rsid w:val="00042684"/>
    <w:rsid w:val="000478B7"/>
    <w:rsid w:val="00050957"/>
    <w:rsid w:val="00051FFD"/>
    <w:rsid w:val="000539E5"/>
    <w:rsid w:val="00055267"/>
    <w:rsid w:val="00060974"/>
    <w:rsid w:val="00065B67"/>
    <w:rsid w:val="00066099"/>
    <w:rsid w:val="00067DC6"/>
    <w:rsid w:val="00081933"/>
    <w:rsid w:val="0008418F"/>
    <w:rsid w:val="000841E3"/>
    <w:rsid w:val="00091995"/>
    <w:rsid w:val="000919E3"/>
    <w:rsid w:val="000920B0"/>
    <w:rsid w:val="000930C0"/>
    <w:rsid w:val="000943A5"/>
    <w:rsid w:val="00094EC4"/>
    <w:rsid w:val="00095A48"/>
    <w:rsid w:val="000A7A7E"/>
    <w:rsid w:val="000A7DE2"/>
    <w:rsid w:val="000B0443"/>
    <w:rsid w:val="000B1450"/>
    <w:rsid w:val="000B4044"/>
    <w:rsid w:val="000B575F"/>
    <w:rsid w:val="000B7C98"/>
    <w:rsid w:val="000C22D0"/>
    <w:rsid w:val="000C39FB"/>
    <w:rsid w:val="000C491E"/>
    <w:rsid w:val="000C639E"/>
    <w:rsid w:val="000C6633"/>
    <w:rsid w:val="000C736C"/>
    <w:rsid w:val="000D43B0"/>
    <w:rsid w:val="000D4E83"/>
    <w:rsid w:val="000D6424"/>
    <w:rsid w:val="000D7D68"/>
    <w:rsid w:val="000E0DDA"/>
    <w:rsid w:val="000E33AA"/>
    <w:rsid w:val="000E4C15"/>
    <w:rsid w:val="000E4D29"/>
    <w:rsid w:val="000F0F3C"/>
    <w:rsid w:val="000F45A3"/>
    <w:rsid w:val="000F4D6B"/>
    <w:rsid w:val="0010040A"/>
    <w:rsid w:val="00103B9D"/>
    <w:rsid w:val="0010417D"/>
    <w:rsid w:val="0010437D"/>
    <w:rsid w:val="00106746"/>
    <w:rsid w:val="00106F80"/>
    <w:rsid w:val="001130C8"/>
    <w:rsid w:val="001137EB"/>
    <w:rsid w:val="001140BC"/>
    <w:rsid w:val="001161AA"/>
    <w:rsid w:val="0011788E"/>
    <w:rsid w:val="0012141F"/>
    <w:rsid w:val="00121AE5"/>
    <w:rsid w:val="0012478B"/>
    <w:rsid w:val="00125CCD"/>
    <w:rsid w:val="00130E27"/>
    <w:rsid w:val="001339E0"/>
    <w:rsid w:val="00133A47"/>
    <w:rsid w:val="00133B41"/>
    <w:rsid w:val="001354D6"/>
    <w:rsid w:val="00137307"/>
    <w:rsid w:val="001375AA"/>
    <w:rsid w:val="00142A80"/>
    <w:rsid w:val="00143FA7"/>
    <w:rsid w:val="00144748"/>
    <w:rsid w:val="00144BDA"/>
    <w:rsid w:val="00145EBF"/>
    <w:rsid w:val="001513EC"/>
    <w:rsid w:val="00152853"/>
    <w:rsid w:val="001538D0"/>
    <w:rsid w:val="00153E19"/>
    <w:rsid w:val="00156938"/>
    <w:rsid w:val="00156A90"/>
    <w:rsid w:val="0016133D"/>
    <w:rsid w:val="00165400"/>
    <w:rsid w:val="00165B98"/>
    <w:rsid w:val="00166F22"/>
    <w:rsid w:val="00167534"/>
    <w:rsid w:val="0017741E"/>
    <w:rsid w:val="00182EDA"/>
    <w:rsid w:val="0018379D"/>
    <w:rsid w:val="00183836"/>
    <w:rsid w:val="00183AE1"/>
    <w:rsid w:val="00185EF9"/>
    <w:rsid w:val="00190788"/>
    <w:rsid w:val="00195561"/>
    <w:rsid w:val="00196E40"/>
    <w:rsid w:val="001A63DD"/>
    <w:rsid w:val="001B1713"/>
    <w:rsid w:val="001B283D"/>
    <w:rsid w:val="001B3B0D"/>
    <w:rsid w:val="001B436F"/>
    <w:rsid w:val="001B5AF2"/>
    <w:rsid w:val="001C2284"/>
    <w:rsid w:val="001C3008"/>
    <w:rsid w:val="001C5F76"/>
    <w:rsid w:val="001C74B7"/>
    <w:rsid w:val="001D1195"/>
    <w:rsid w:val="001D1DC6"/>
    <w:rsid w:val="001D5E87"/>
    <w:rsid w:val="001D67F3"/>
    <w:rsid w:val="001D6F49"/>
    <w:rsid w:val="001D7070"/>
    <w:rsid w:val="001D78CA"/>
    <w:rsid w:val="001D79FF"/>
    <w:rsid w:val="001E2C24"/>
    <w:rsid w:val="001F030C"/>
    <w:rsid w:val="001F758E"/>
    <w:rsid w:val="0020054C"/>
    <w:rsid w:val="00200D48"/>
    <w:rsid w:val="00200ED0"/>
    <w:rsid w:val="00203C61"/>
    <w:rsid w:val="00206B04"/>
    <w:rsid w:val="002075E6"/>
    <w:rsid w:val="00210334"/>
    <w:rsid w:val="00210460"/>
    <w:rsid w:val="002132C0"/>
    <w:rsid w:val="00214A19"/>
    <w:rsid w:val="002154B5"/>
    <w:rsid w:val="002161C5"/>
    <w:rsid w:val="002165A2"/>
    <w:rsid w:val="00216A05"/>
    <w:rsid w:val="00230C81"/>
    <w:rsid w:val="0023169E"/>
    <w:rsid w:val="002335DC"/>
    <w:rsid w:val="00234C5A"/>
    <w:rsid w:val="002375C7"/>
    <w:rsid w:val="00244AD1"/>
    <w:rsid w:val="00247E34"/>
    <w:rsid w:val="002520A5"/>
    <w:rsid w:val="00254BFC"/>
    <w:rsid w:val="00254ED5"/>
    <w:rsid w:val="00254FD1"/>
    <w:rsid w:val="0025557F"/>
    <w:rsid w:val="00263EFE"/>
    <w:rsid w:val="00264C6D"/>
    <w:rsid w:val="00265108"/>
    <w:rsid w:val="0026526F"/>
    <w:rsid w:val="00271E72"/>
    <w:rsid w:val="00271FF1"/>
    <w:rsid w:val="00280380"/>
    <w:rsid w:val="00280AF0"/>
    <w:rsid w:val="00283A3F"/>
    <w:rsid w:val="00284FA9"/>
    <w:rsid w:val="00286074"/>
    <w:rsid w:val="002867AD"/>
    <w:rsid w:val="002904BB"/>
    <w:rsid w:val="00291917"/>
    <w:rsid w:val="00293E92"/>
    <w:rsid w:val="00295403"/>
    <w:rsid w:val="002A625C"/>
    <w:rsid w:val="002A78AC"/>
    <w:rsid w:val="002B25DD"/>
    <w:rsid w:val="002B433A"/>
    <w:rsid w:val="002B4996"/>
    <w:rsid w:val="002B4DFA"/>
    <w:rsid w:val="002C1C42"/>
    <w:rsid w:val="002C4948"/>
    <w:rsid w:val="002C703F"/>
    <w:rsid w:val="002C7AB0"/>
    <w:rsid w:val="002D04F8"/>
    <w:rsid w:val="002D105E"/>
    <w:rsid w:val="002D29E7"/>
    <w:rsid w:val="002D35B3"/>
    <w:rsid w:val="002D6DB4"/>
    <w:rsid w:val="002D7EE1"/>
    <w:rsid w:val="002E28DD"/>
    <w:rsid w:val="002E2B6E"/>
    <w:rsid w:val="002E597B"/>
    <w:rsid w:val="002E5A74"/>
    <w:rsid w:val="002E6B15"/>
    <w:rsid w:val="002F15F6"/>
    <w:rsid w:val="002F1743"/>
    <w:rsid w:val="002F4F6F"/>
    <w:rsid w:val="002F6CA8"/>
    <w:rsid w:val="002F6DFB"/>
    <w:rsid w:val="002F7ADF"/>
    <w:rsid w:val="00302C62"/>
    <w:rsid w:val="00302D41"/>
    <w:rsid w:val="003041A5"/>
    <w:rsid w:val="00307FF8"/>
    <w:rsid w:val="00311588"/>
    <w:rsid w:val="003121E7"/>
    <w:rsid w:val="0032146A"/>
    <w:rsid w:val="00324C80"/>
    <w:rsid w:val="00324D48"/>
    <w:rsid w:val="00326059"/>
    <w:rsid w:val="00330B01"/>
    <w:rsid w:val="0033183D"/>
    <w:rsid w:val="00334D84"/>
    <w:rsid w:val="0034231B"/>
    <w:rsid w:val="00342B49"/>
    <w:rsid w:val="0034410D"/>
    <w:rsid w:val="0034692A"/>
    <w:rsid w:val="0035629D"/>
    <w:rsid w:val="003603C7"/>
    <w:rsid w:val="00360442"/>
    <w:rsid w:val="00360EB9"/>
    <w:rsid w:val="00361EAC"/>
    <w:rsid w:val="003649AC"/>
    <w:rsid w:val="00365F7C"/>
    <w:rsid w:val="00370128"/>
    <w:rsid w:val="00370BC4"/>
    <w:rsid w:val="00373245"/>
    <w:rsid w:val="00373E26"/>
    <w:rsid w:val="00373ECC"/>
    <w:rsid w:val="0037694C"/>
    <w:rsid w:val="00380F4B"/>
    <w:rsid w:val="00383822"/>
    <w:rsid w:val="00386C1C"/>
    <w:rsid w:val="00387E50"/>
    <w:rsid w:val="003908EE"/>
    <w:rsid w:val="00390B54"/>
    <w:rsid w:val="00391096"/>
    <w:rsid w:val="00394A82"/>
    <w:rsid w:val="00396353"/>
    <w:rsid w:val="00396518"/>
    <w:rsid w:val="003B045F"/>
    <w:rsid w:val="003B3294"/>
    <w:rsid w:val="003B4F65"/>
    <w:rsid w:val="003B7783"/>
    <w:rsid w:val="003C1053"/>
    <w:rsid w:val="003C13E7"/>
    <w:rsid w:val="003C2777"/>
    <w:rsid w:val="003C417D"/>
    <w:rsid w:val="003C4E1D"/>
    <w:rsid w:val="003C7776"/>
    <w:rsid w:val="003D0DEF"/>
    <w:rsid w:val="003D374F"/>
    <w:rsid w:val="003D500A"/>
    <w:rsid w:val="003D5173"/>
    <w:rsid w:val="003D67D8"/>
    <w:rsid w:val="003E1EE5"/>
    <w:rsid w:val="003E2BB0"/>
    <w:rsid w:val="003E2D32"/>
    <w:rsid w:val="003E60E7"/>
    <w:rsid w:val="003F18AC"/>
    <w:rsid w:val="003F1BC1"/>
    <w:rsid w:val="003F56DB"/>
    <w:rsid w:val="003F6E27"/>
    <w:rsid w:val="0040104B"/>
    <w:rsid w:val="0040125C"/>
    <w:rsid w:val="00406863"/>
    <w:rsid w:val="00411416"/>
    <w:rsid w:val="0041637D"/>
    <w:rsid w:val="00421585"/>
    <w:rsid w:val="004219BD"/>
    <w:rsid w:val="00424E72"/>
    <w:rsid w:val="00430437"/>
    <w:rsid w:val="00431883"/>
    <w:rsid w:val="004322BD"/>
    <w:rsid w:val="00440B6B"/>
    <w:rsid w:val="004455C4"/>
    <w:rsid w:val="00446EE8"/>
    <w:rsid w:val="00462770"/>
    <w:rsid w:val="0046290B"/>
    <w:rsid w:val="004635FD"/>
    <w:rsid w:val="00465878"/>
    <w:rsid w:val="0046652F"/>
    <w:rsid w:val="00470AFC"/>
    <w:rsid w:val="00472A21"/>
    <w:rsid w:val="00474C53"/>
    <w:rsid w:val="00475063"/>
    <w:rsid w:val="0047763E"/>
    <w:rsid w:val="00477B44"/>
    <w:rsid w:val="004819B5"/>
    <w:rsid w:val="00483A4C"/>
    <w:rsid w:val="004859D0"/>
    <w:rsid w:val="00487AE0"/>
    <w:rsid w:val="00493BBB"/>
    <w:rsid w:val="004970DA"/>
    <w:rsid w:val="004A26B6"/>
    <w:rsid w:val="004A47A6"/>
    <w:rsid w:val="004A6673"/>
    <w:rsid w:val="004A7777"/>
    <w:rsid w:val="004B34C6"/>
    <w:rsid w:val="004B422F"/>
    <w:rsid w:val="004B4B53"/>
    <w:rsid w:val="004B6A2B"/>
    <w:rsid w:val="004B7FA4"/>
    <w:rsid w:val="004C1834"/>
    <w:rsid w:val="004C32C0"/>
    <w:rsid w:val="004C5FA9"/>
    <w:rsid w:val="004C6202"/>
    <w:rsid w:val="004D0CBE"/>
    <w:rsid w:val="004D2634"/>
    <w:rsid w:val="004D3826"/>
    <w:rsid w:val="004D3A14"/>
    <w:rsid w:val="004D454A"/>
    <w:rsid w:val="004D477D"/>
    <w:rsid w:val="004D75D5"/>
    <w:rsid w:val="004E01BD"/>
    <w:rsid w:val="004E3B20"/>
    <w:rsid w:val="004E4252"/>
    <w:rsid w:val="004E540C"/>
    <w:rsid w:val="004E605F"/>
    <w:rsid w:val="004E7B43"/>
    <w:rsid w:val="004F6AD2"/>
    <w:rsid w:val="0050181E"/>
    <w:rsid w:val="0050497A"/>
    <w:rsid w:val="00504A1A"/>
    <w:rsid w:val="00506AFD"/>
    <w:rsid w:val="00507ECF"/>
    <w:rsid w:val="00515DD0"/>
    <w:rsid w:val="00517217"/>
    <w:rsid w:val="00522985"/>
    <w:rsid w:val="00525120"/>
    <w:rsid w:val="00525199"/>
    <w:rsid w:val="00531E4E"/>
    <w:rsid w:val="00537506"/>
    <w:rsid w:val="005375AF"/>
    <w:rsid w:val="0053772F"/>
    <w:rsid w:val="00540E3A"/>
    <w:rsid w:val="00543B7C"/>
    <w:rsid w:val="00543F98"/>
    <w:rsid w:val="005447FE"/>
    <w:rsid w:val="00544F7E"/>
    <w:rsid w:val="00545043"/>
    <w:rsid w:val="005451B0"/>
    <w:rsid w:val="00545DAD"/>
    <w:rsid w:val="00546C6B"/>
    <w:rsid w:val="00547948"/>
    <w:rsid w:val="00550318"/>
    <w:rsid w:val="00550F87"/>
    <w:rsid w:val="00552C73"/>
    <w:rsid w:val="00553E91"/>
    <w:rsid w:val="0055403D"/>
    <w:rsid w:val="005558E4"/>
    <w:rsid w:val="00557326"/>
    <w:rsid w:val="00560A07"/>
    <w:rsid w:val="00563142"/>
    <w:rsid w:val="00563254"/>
    <w:rsid w:val="005637DF"/>
    <w:rsid w:val="00563FC3"/>
    <w:rsid w:val="005647C7"/>
    <w:rsid w:val="005763CB"/>
    <w:rsid w:val="00577567"/>
    <w:rsid w:val="00580981"/>
    <w:rsid w:val="00580D5E"/>
    <w:rsid w:val="0058201B"/>
    <w:rsid w:val="00585290"/>
    <w:rsid w:val="005900D4"/>
    <w:rsid w:val="0059029B"/>
    <w:rsid w:val="00592DDB"/>
    <w:rsid w:val="00596262"/>
    <w:rsid w:val="0059631D"/>
    <w:rsid w:val="005A3E08"/>
    <w:rsid w:val="005A77D0"/>
    <w:rsid w:val="005B64BD"/>
    <w:rsid w:val="005C6D4A"/>
    <w:rsid w:val="005D03F4"/>
    <w:rsid w:val="005D4345"/>
    <w:rsid w:val="005D46EF"/>
    <w:rsid w:val="005E1CC5"/>
    <w:rsid w:val="005E2935"/>
    <w:rsid w:val="005E3356"/>
    <w:rsid w:val="005E636D"/>
    <w:rsid w:val="005E6DB5"/>
    <w:rsid w:val="005F110E"/>
    <w:rsid w:val="005F4120"/>
    <w:rsid w:val="00600AE4"/>
    <w:rsid w:val="00600EE9"/>
    <w:rsid w:val="0060359F"/>
    <w:rsid w:val="00607B04"/>
    <w:rsid w:val="00613AE9"/>
    <w:rsid w:val="00616E73"/>
    <w:rsid w:val="00616FE9"/>
    <w:rsid w:val="00617C29"/>
    <w:rsid w:val="006220FF"/>
    <w:rsid w:val="00623177"/>
    <w:rsid w:val="0062612D"/>
    <w:rsid w:val="00632562"/>
    <w:rsid w:val="00633976"/>
    <w:rsid w:val="00633E89"/>
    <w:rsid w:val="0063487E"/>
    <w:rsid w:val="006354D3"/>
    <w:rsid w:val="006359A3"/>
    <w:rsid w:val="00636459"/>
    <w:rsid w:val="00641052"/>
    <w:rsid w:val="00642C86"/>
    <w:rsid w:val="00644349"/>
    <w:rsid w:val="00645FE8"/>
    <w:rsid w:val="0065019D"/>
    <w:rsid w:val="006515DB"/>
    <w:rsid w:val="00651AB0"/>
    <w:rsid w:val="0065346D"/>
    <w:rsid w:val="00653FDE"/>
    <w:rsid w:val="006552C8"/>
    <w:rsid w:val="00655B18"/>
    <w:rsid w:val="006577DC"/>
    <w:rsid w:val="0066212D"/>
    <w:rsid w:val="00664032"/>
    <w:rsid w:val="006663CA"/>
    <w:rsid w:val="00666BC3"/>
    <w:rsid w:val="0066791C"/>
    <w:rsid w:val="00674B93"/>
    <w:rsid w:val="00676360"/>
    <w:rsid w:val="006771E3"/>
    <w:rsid w:val="006772A2"/>
    <w:rsid w:val="00682B76"/>
    <w:rsid w:val="006869B5"/>
    <w:rsid w:val="00687C7C"/>
    <w:rsid w:val="00691FDA"/>
    <w:rsid w:val="00692E3E"/>
    <w:rsid w:val="00694153"/>
    <w:rsid w:val="0069460C"/>
    <w:rsid w:val="006954BC"/>
    <w:rsid w:val="006A0714"/>
    <w:rsid w:val="006A7864"/>
    <w:rsid w:val="006B0612"/>
    <w:rsid w:val="006B2DFE"/>
    <w:rsid w:val="006B50E8"/>
    <w:rsid w:val="006B6036"/>
    <w:rsid w:val="006B629F"/>
    <w:rsid w:val="006B7DE7"/>
    <w:rsid w:val="006C13BF"/>
    <w:rsid w:val="006C2F80"/>
    <w:rsid w:val="006C7D49"/>
    <w:rsid w:val="006D2CFC"/>
    <w:rsid w:val="006D2E25"/>
    <w:rsid w:val="006D2F3E"/>
    <w:rsid w:val="006D3697"/>
    <w:rsid w:val="006D384B"/>
    <w:rsid w:val="006D38B1"/>
    <w:rsid w:val="006D68C8"/>
    <w:rsid w:val="006E0E78"/>
    <w:rsid w:val="006E0E7F"/>
    <w:rsid w:val="006E12A1"/>
    <w:rsid w:val="006E175B"/>
    <w:rsid w:val="006E59A8"/>
    <w:rsid w:val="006F0249"/>
    <w:rsid w:val="006F10EA"/>
    <w:rsid w:val="006F2B77"/>
    <w:rsid w:val="006F324E"/>
    <w:rsid w:val="006F5FE7"/>
    <w:rsid w:val="006F60DA"/>
    <w:rsid w:val="006F6520"/>
    <w:rsid w:val="006F662D"/>
    <w:rsid w:val="006F6AB4"/>
    <w:rsid w:val="006F7393"/>
    <w:rsid w:val="00700704"/>
    <w:rsid w:val="00700E85"/>
    <w:rsid w:val="00701501"/>
    <w:rsid w:val="00710B17"/>
    <w:rsid w:val="00710CE3"/>
    <w:rsid w:val="0071171E"/>
    <w:rsid w:val="007121EF"/>
    <w:rsid w:val="0071586C"/>
    <w:rsid w:val="007172D2"/>
    <w:rsid w:val="00720A51"/>
    <w:rsid w:val="00720C39"/>
    <w:rsid w:val="007272A7"/>
    <w:rsid w:val="00732CDD"/>
    <w:rsid w:val="00736AA5"/>
    <w:rsid w:val="00736DBA"/>
    <w:rsid w:val="00740BC6"/>
    <w:rsid w:val="00741AA6"/>
    <w:rsid w:val="007454F2"/>
    <w:rsid w:val="0074593B"/>
    <w:rsid w:val="00747FED"/>
    <w:rsid w:val="007516D0"/>
    <w:rsid w:val="00751CE0"/>
    <w:rsid w:val="007535C9"/>
    <w:rsid w:val="00753A3F"/>
    <w:rsid w:val="00754FD3"/>
    <w:rsid w:val="00757A01"/>
    <w:rsid w:val="00762CDE"/>
    <w:rsid w:val="00766B36"/>
    <w:rsid w:val="0077246E"/>
    <w:rsid w:val="00772949"/>
    <w:rsid w:val="00772CFC"/>
    <w:rsid w:val="00776CD8"/>
    <w:rsid w:val="0078000F"/>
    <w:rsid w:val="0078110D"/>
    <w:rsid w:val="00781A81"/>
    <w:rsid w:val="00783095"/>
    <w:rsid w:val="00785AF3"/>
    <w:rsid w:val="00792728"/>
    <w:rsid w:val="0079328F"/>
    <w:rsid w:val="007939B6"/>
    <w:rsid w:val="007943C8"/>
    <w:rsid w:val="00794EFF"/>
    <w:rsid w:val="00794F1B"/>
    <w:rsid w:val="007A32D3"/>
    <w:rsid w:val="007A40D1"/>
    <w:rsid w:val="007A5552"/>
    <w:rsid w:val="007A5EEF"/>
    <w:rsid w:val="007B6775"/>
    <w:rsid w:val="007C06FD"/>
    <w:rsid w:val="007C404E"/>
    <w:rsid w:val="007C41AD"/>
    <w:rsid w:val="007D265B"/>
    <w:rsid w:val="007D2958"/>
    <w:rsid w:val="007D2DA0"/>
    <w:rsid w:val="007D630A"/>
    <w:rsid w:val="007D79D2"/>
    <w:rsid w:val="007E40DF"/>
    <w:rsid w:val="007E48E1"/>
    <w:rsid w:val="007E7B4E"/>
    <w:rsid w:val="007F02A4"/>
    <w:rsid w:val="007F479E"/>
    <w:rsid w:val="008055EA"/>
    <w:rsid w:val="00806E0D"/>
    <w:rsid w:val="00823FCA"/>
    <w:rsid w:val="00824890"/>
    <w:rsid w:val="008251D8"/>
    <w:rsid w:val="00836E65"/>
    <w:rsid w:val="0084100D"/>
    <w:rsid w:val="008418E5"/>
    <w:rsid w:val="008418FC"/>
    <w:rsid w:val="00841F7C"/>
    <w:rsid w:val="0084410C"/>
    <w:rsid w:val="00845757"/>
    <w:rsid w:val="00851E2B"/>
    <w:rsid w:val="0085780E"/>
    <w:rsid w:val="008618BE"/>
    <w:rsid w:val="00861DA4"/>
    <w:rsid w:val="00861DF9"/>
    <w:rsid w:val="00862D6B"/>
    <w:rsid w:val="0086399B"/>
    <w:rsid w:val="00863BD5"/>
    <w:rsid w:val="00863CD4"/>
    <w:rsid w:val="00864B9C"/>
    <w:rsid w:val="00864EB7"/>
    <w:rsid w:val="0086657E"/>
    <w:rsid w:val="00867F55"/>
    <w:rsid w:val="008733E6"/>
    <w:rsid w:val="00873D8A"/>
    <w:rsid w:val="00874177"/>
    <w:rsid w:val="00874953"/>
    <w:rsid w:val="00891035"/>
    <w:rsid w:val="008927B5"/>
    <w:rsid w:val="00892EA3"/>
    <w:rsid w:val="00894816"/>
    <w:rsid w:val="008A2641"/>
    <w:rsid w:val="008A28F8"/>
    <w:rsid w:val="008A63E2"/>
    <w:rsid w:val="008B3879"/>
    <w:rsid w:val="008B445B"/>
    <w:rsid w:val="008B455C"/>
    <w:rsid w:val="008B5551"/>
    <w:rsid w:val="008B6587"/>
    <w:rsid w:val="008B6F28"/>
    <w:rsid w:val="008C17E6"/>
    <w:rsid w:val="008C17F6"/>
    <w:rsid w:val="008C36F2"/>
    <w:rsid w:val="008C666D"/>
    <w:rsid w:val="008C7936"/>
    <w:rsid w:val="008D0326"/>
    <w:rsid w:val="008D0D31"/>
    <w:rsid w:val="008D20D5"/>
    <w:rsid w:val="008D6CA9"/>
    <w:rsid w:val="008D6E2C"/>
    <w:rsid w:val="008D7DC6"/>
    <w:rsid w:val="008E09C6"/>
    <w:rsid w:val="008E0B49"/>
    <w:rsid w:val="008E0E89"/>
    <w:rsid w:val="008E10FA"/>
    <w:rsid w:val="008E450B"/>
    <w:rsid w:val="008E4FD6"/>
    <w:rsid w:val="008E5C99"/>
    <w:rsid w:val="008F4EF2"/>
    <w:rsid w:val="008F7C99"/>
    <w:rsid w:val="009001C9"/>
    <w:rsid w:val="00906FD4"/>
    <w:rsid w:val="009101FF"/>
    <w:rsid w:val="00910A53"/>
    <w:rsid w:val="00917283"/>
    <w:rsid w:val="00917C2D"/>
    <w:rsid w:val="0092068A"/>
    <w:rsid w:val="00921285"/>
    <w:rsid w:val="009252B2"/>
    <w:rsid w:val="00927634"/>
    <w:rsid w:val="009310EE"/>
    <w:rsid w:val="00933485"/>
    <w:rsid w:val="0094142D"/>
    <w:rsid w:val="00943CC8"/>
    <w:rsid w:val="00943E53"/>
    <w:rsid w:val="009445CA"/>
    <w:rsid w:val="00944A1C"/>
    <w:rsid w:val="00952A5F"/>
    <w:rsid w:val="00955B6B"/>
    <w:rsid w:val="00960580"/>
    <w:rsid w:val="00962EE7"/>
    <w:rsid w:val="00966C36"/>
    <w:rsid w:val="00970027"/>
    <w:rsid w:val="0097040A"/>
    <w:rsid w:val="009760CB"/>
    <w:rsid w:val="009901A1"/>
    <w:rsid w:val="009A0B79"/>
    <w:rsid w:val="009A5AF8"/>
    <w:rsid w:val="009A5E25"/>
    <w:rsid w:val="009A6CC7"/>
    <w:rsid w:val="009B446B"/>
    <w:rsid w:val="009C05E9"/>
    <w:rsid w:val="009C27D2"/>
    <w:rsid w:val="009C3132"/>
    <w:rsid w:val="009C4526"/>
    <w:rsid w:val="009C5EB5"/>
    <w:rsid w:val="009D227B"/>
    <w:rsid w:val="009D2B67"/>
    <w:rsid w:val="009D47A5"/>
    <w:rsid w:val="009D69B6"/>
    <w:rsid w:val="009E4A8F"/>
    <w:rsid w:val="009E6876"/>
    <w:rsid w:val="009F38D7"/>
    <w:rsid w:val="009F579E"/>
    <w:rsid w:val="009F6130"/>
    <w:rsid w:val="00A00793"/>
    <w:rsid w:val="00A02454"/>
    <w:rsid w:val="00A04076"/>
    <w:rsid w:val="00A10010"/>
    <w:rsid w:val="00A10E1F"/>
    <w:rsid w:val="00A114B1"/>
    <w:rsid w:val="00A128E0"/>
    <w:rsid w:val="00A15866"/>
    <w:rsid w:val="00A16D50"/>
    <w:rsid w:val="00A23CCA"/>
    <w:rsid w:val="00A248FB"/>
    <w:rsid w:val="00A2609D"/>
    <w:rsid w:val="00A2772F"/>
    <w:rsid w:val="00A334E4"/>
    <w:rsid w:val="00A33661"/>
    <w:rsid w:val="00A33DF5"/>
    <w:rsid w:val="00A3580F"/>
    <w:rsid w:val="00A40462"/>
    <w:rsid w:val="00A4355E"/>
    <w:rsid w:val="00A469B4"/>
    <w:rsid w:val="00A46AA1"/>
    <w:rsid w:val="00A511AD"/>
    <w:rsid w:val="00A5144C"/>
    <w:rsid w:val="00A52673"/>
    <w:rsid w:val="00A55F7C"/>
    <w:rsid w:val="00A6043D"/>
    <w:rsid w:val="00A61835"/>
    <w:rsid w:val="00A64AC5"/>
    <w:rsid w:val="00A70C75"/>
    <w:rsid w:val="00A733A2"/>
    <w:rsid w:val="00A7499F"/>
    <w:rsid w:val="00A801E7"/>
    <w:rsid w:val="00A806BC"/>
    <w:rsid w:val="00A80E4E"/>
    <w:rsid w:val="00A831C5"/>
    <w:rsid w:val="00A848BA"/>
    <w:rsid w:val="00A86E3D"/>
    <w:rsid w:val="00A90619"/>
    <w:rsid w:val="00A914E9"/>
    <w:rsid w:val="00A917C5"/>
    <w:rsid w:val="00A93EC0"/>
    <w:rsid w:val="00A94A48"/>
    <w:rsid w:val="00A96447"/>
    <w:rsid w:val="00AA70E2"/>
    <w:rsid w:val="00AA75ED"/>
    <w:rsid w:val="00AB2DD2"/>
    <w:rsid w:val="00AB30CF"/>
    <w:rsid w:val="00AB40A9"/>
    <w:rsid w:val="00AC1113"/>
    <w:rsid w:val="00AC1F4C"/>
    <w:rsid w:val="00AC3C83"/>
    <w:rsid w:val="00AC6067"/>
    <w:rsid w:val="00AC6745"/>
    <w:rsid w:val="00AC6E5D"/>
    <w:rsid w:val="00AD40B2"/>
    <w:rsid w:val="00AE20FB"/>
    <w:rsid w:val="00AE290D"/>
    <w:rsid w:val="00AE3923"/>
    <w:rsid w:val="00AE457D"/>
    <w:rsid w:val="00AE7145"/>
    <w:rsid w:val="00AF4238"/>
    <w:rsid w:val="00AF5FC0"/>
    <w:rsid w:val="00AF63EA"/>
    <w:rsid w:val="00B010E8"/>
    <w:rsid w:val="00B16875"/>
    <w:rsid w:val="00B219F2"/>
    <w:rsid w:val="00B23445"/>
    <w:rsid w:val="00B25996"/>
    <w:rsid w:val="00B32996"/>
    <w:rsid w:val="00B33E15"/>
    <w:rsid w:val="00B37A46"/>
    <w:rsid w:val="00B406E2"/>
    <w:rsid w:val="00B40E5D"/>
    <w:rsid w:val="00B41507"/>
    <w:rsid w:val="00B4185D"/>
    <w:rsid w:val="00B428F4"/>
    <w:rsid w:val="00B44FB1"/>
    <w:rsid w:val="00B46636"/>
    <w:rsid w:val="00B50814"/>
    <w:rsid w:val="00B50BB3"/>
    <w:rsid w:val="00B5162C"/>
    <w:rsid w:val="00B524A4"/>
    <w:rsid w:val="00B55DDC"/>
    <w:rsid w:val="00B66DDD"/>
    <w:rsid w:val="00B67B97"/>
    <w:rsid w:val="00B7377B"/>
    <w:rsid w:val="00B7635B"/>
    <w:rsid w:val="00B77E42"/>
    <w:rsid w:val="00B81FED"/>
    <w:rsid w:val="00B845F6"/>
    <w:rsid w:val="00B85EE4"/>
    <w:rsid w:val="00B91AD9"/>
    <w:rsid w:val="00B93A4F"/>
    <w:rsid w:val="00B946B2"/>
    <w:rsid w:val="00B94FFF"/>
    <w:rsid w:val="00B97032"/>
    <w:rsid w:val="00BA1C5C"/>
    <w:rsid w:val="00BA2D08"/>
    <w:rsid w:val="00BA3DE1"/>
    <w:rsid w:val="00BA45E7"/>
    <w:rsid w:val="00BA4C2A"/>
    <w:rsid w:val="00BA5695"/>
    <w:rsid w:val="00BB036D"/>
    <w:rsid w:val="00BB1AB4"/>
    <w:rsid w:val="00BB1FC4"/>
    <w:rsid w:val="00BB4907"/>
    <w:rsid w:val="00BB6201"/>
    <w:rsid w:val="00BB70B3"/>
    <w:rsid w:val="00BB7D46"/>
    <w:rsid w:val="00BC077A"/>
    <w:rsid w:val="00BC1B4F"/>
    <w:rsid w:val="00BC1FD7"/>
    <w:rsid w:val="00BC360E"/>
    <w:rsid w:val="00BC6CA5"/>
    <w:rsid w:val="00BC7989"/>
    <w:rsid w:val="00BD11FD"/>
    <w:rsid w:val="00BD2D55"/>
    <w:rsid w:val="00BD3085"/>
    <w:rsid w:val="00BD6511"/>
    <w:rsid w:val="00BD76C8"/>
    <w:rsid w:val="00BD7A50"/>
    <w:rsid w:val="00BD7F3A"/>
    <w:rsid w:val="00BE36AA"/>
    <w:rsid w:val="00BE55BE"/>
    <w:rsid w:val="00BE5FCB"/>
    <w:rsid w:val="00BE723C"/>
    <w:rsid w:val="00BF28AB"/>
    <w:rsid w:val="00C01EA5"/>
    <w:rsid w:val="00C03561"/>
    <w:rsid w:val="00C0376D"/>
    <w:rsid w:val="00C03919"/>
    <w:rsid w:val="00C04B60"/>
    <w:rsid w:val="00C0572F"/>
    <w:rsid w:val="00C06807"/>
    <w:rsid w:val="00C12C25"/>
    <w:rsid w:val="00C13DF0"/>
    <w:rsid w:val="00C14193"/>
    <w:rsid w:val="00C14FBB"/>
    <w:rsid w:val="00C15CC3"/>
    <w:rsid w:val="00C17738"/>
    <w:rsid w:val="00C17AD8"/>
    <w:rsid w:val="00C2330B"/>
    <w:rsid w:val="00C23A79"/>
    <w:rsid w:val="00C23DE7"/>
    <w:rsid w:val="00C26323"/>
    <w:rsid w:val="00C3358D"/>
    <w:rsid w:val="00C340F1"/>
    <w:rsid w:val="00C378D0"/>
    <w:rsid w:val="00C37FDB"/>
    <w:rsid w:val="00C40364"/>
    <w:rsid w:val="00C4390C"/>
    <w:rsid w:val="00C44AC9"/>
    <w:rsid w:val="00C45F56"/>
    <w:rsid w:val="00C518D5"/>
    <w:rsid w:val="00C61317"/>
    <w:rsid w:val="00C63894"/>
    <w:rsid w:val="00C655E8"/>
    <w:rsid w:val="00C7117A"/>
    <w:rsid w:val="00C74183"/>
    <w:rsid w:val="00C800CB"/>
    <w:rsid w:val="00C803A5"/>
    <w:rsid w:val="00C82C14"/>
    <w:rsid w:val="00C85078"/>
    <w:rsid w:val="00C862F8"/>
    <w:rsid w:val="00C908DB"/>
    <w:rsid w:val="00C91B81"/>
    <w:rsid w:val="00C931B6"/>
    <w:rsid w:val="00C93B23"/>
    <w:rsid w:val="00CA0FA9"/>
    <w:rsid w:val="00CA1D85"/>
    <w:rsid w:val="00CA262F"/>
    <w:rsid w:val="00CA57BA"/>
    <w:rsid w:val="00CB4630"/>
    <w:rsid w:val="00CB54CC"/>
    <w:rsid w:val="00CB7EF0"/>
    <w:rsid w:val="00CC069F"/>
    <w:rsid w:val="00CC4851"/>
    <w:rsid w:val="00CD4ED5"/>
    <w:rsid w:val="00CD53CA"/>
    <w:rsid w:val="00CD7291"/>
    <w:rsid w:val="00CE02D2"/>
    <w:rsid w:val="00CE1628"/>
    <w:rsid w:val="00CE3AFA"/>
    <w:rsid w:val="00CF2BAB"/>
    <w:rsid w:val="00CF54D1"/>
    <w:rsid w:val="00D010F1"/>
    <w:rsid w:val="00D01109"/>
    <w:rsid w:val="00D02CF4"/>
    <w:rsid w:val="00D06971"/>
    <w:rsid w:val="00D06B34"/>
    <w:rsid w:val="00D07E03"/>
    <w:rsid w:val="00D13BDB"/>
    <w:rsid w:val="00D2288B"/>
    <w:rsid w:val="00D27A8A"/>
    <w:rsid w:val="00D30F60"/>
    <w:rsid w:val="00D354FD"/>
    <w:rsid w:val="00D3570E"/>
    <w:rsid w:val="00D411AB"/>
    <w:rsid w:val="00D41A38"/>
    <w:rsid w:val="00D422B1"/>
    <w:rsid w:val="00D45250"/>
    <w:rsid w:val="00D45488"/>
    <w:rsid w:val="00D467C6"/>
    <w:rsid w:val="00D54C3E"/>
    <w:rsid w:val="00D57B37"/>
    <w:rsid w:val="00D654B3"/>
    <w:rsid w:val="00D65923"/>
    <w:rsid w:val="00D65D16"/>
    <w:rsid w:val="00D66AFA"/>
    <w:rsid w:val="00D74CB8"/>
    <w:rsid w:val="00D761B6"/>
    <w:rsid w:val="00D76D1C"/>
    <w:rsid w:val="00D76DB8"/>
    <w:rsid w:val="00D81577"/>
    <w:rsid w:val="00D838A7"/>
    <w:rsid w:val="00D85A3F"/>
    <w:rsid w:val="00D868FB"/>
    <w:rsid w:val="00D86C43"/>
    <w:rsid w:val="00D86FEA"/>
    <w:rsid w:val="00D90D41"/>
    <w:rsid w:val="00D94038"/>
    <w:rsid w:val="00DA3335"/>
    <w:rsid w:val="00DA3D69"/>
    <w:rsid w:val="00DA430D"/>
    <w:rsid w:val="00DA5163"/>
    <w:rsid w:val="00DA66D7"/>
    <w:rsid w:val="00DA72B7"/>
    <w:rsid w:val="00DB1053"/>
    <w:rsid w:val="00DB192A"/>
    <w:rsid w:val="00DB40BF"/>
    <w:rsid w:val="00DB7463"/>
    <w:rsid w:val="00DC090B"/>
    <w:rsid w:val="00DC297D"/>
    <w:rsid w:val="00DC3243"/>
    <w:rsid w:val="00DC5620"/>
    <w:rsid w:val="00DC6EA0"/>
    <w:rsid w:val="00DD020B"/>
    <w:rsid w:val="00DD2547"/>
    <w:rsid w:val="00DD6D12"/>
    <w:rsid w:val="00DD7859"/>
    <w:rsid w:val="00DE608E"/>
    <w:rsid w:val="00DF08BA"/>
    <w:rsid w:val="00DF0974"/>
    <w:rsid w:val="00DF179E"/>
    <w:rsid w:val="00DF2688"/>
    <w:rsid w:val="00DF26E1"/>
    <w:rsid w:val="00DF3972"/>
    <w:rsid w:val="00DF39F5"/>
    <w:rsid w:val="00DF4B76"/>
    <w:rsid w:val="00E05C97"/>
    <w:rsid w:val="00E109B6"/>
    <w:rsid w:val="00E11E35"/>
    <w:rsid w:val="00E11F39"/>
    <w:rsid w:val="00E14394"/>
    <w:rsid w:val="00E14693"/>
    <w:rsid w:val="00E14AE5"/>
    <w:rsid w:val="00E16E1F"/>
    <w:rsid w:val="00E16E9D"/>
    <w:rsid w:val="00E305D1"/>
    <w:rsid w:val="00E31B73"/>
    <w:rsid w:val="00E323A1"/>
    <w:rsid w:val="00E34A6F"/>
    <w:rsid w:val="00E36F96"/>
    <w:rsid w:val="00E41DD8"/>
    <w:rsid w:val="00E47B98"/>
    <w:rsid w:val="00E52929"/>
    <w:rsid w:val="00E52B61"/>
    <w:rsid w:val="00E52BA8"/>
    <w:rsid w:val="00E56F54"/>
    <w:rsid w:val="00E57675"/>
    <w:rsid w:val="00E645B5"/>
    <w:rsid w:val="00E70B87"/>
    <w:rsid w:val="00E73118"/>
    <w:rsid w:val="00E73280"/>
    <w:rsid w:val="00E73F16"/>
    <w:rsid w:val="00E75181"/>
    <w:rsid w:val="00E7573A"/>
    <w:rsid w:val="00E76081"/>
    <w:rsid w:val="00E7797A"/>
    <w:rsid w:val="00E8182E"/>
    <w:rsid w:val="00E85AD8"/>
    <w:rsid w:val="00E86BB6"/>
    <w:rsid w:val="00E87654"/>
    <w:rsid w:val="00E9039A"/>
    <w:rsid w:val="00E90BC9"/>
    <w:rsid w:val="00E9204D"/>
    <w:rsid w:val="00E95158"/>
    <w:rsid w:val="00E96187"/>
    <w:rsid w:val="00E96CE7"/>
    <w:rsid w:val="00EA075C"/>
    <w:rsid w:val="00EA12C1"/>
    <w:rsid w:val="00EA1752"/>
    <w:rsid w:val="00EA1EDF"/>
    <w:rsid w:val="00EA33FD"/>
    <w:rsid w:val="00EA3FF6"/>
    <w:rsid w:val="00EA5CC6"/>
    <w:rsid w:val="00EB08F3"/>
    <w:rsid w:val="00EB0C7A"/>
    <w:rsid w:val="00EB0E90"/>
    <w:rsid w:val="00EB2F3A"/>
    <w:rsid w:val="00EB5786"/>
    <w:rsid w:val="00EB6518"/>
    <w:rsid w:val="00EB7303"/>
    <w:rsid w:val="00EC03B1"/>
    <w:rsid w:val="00EC1213"/>
    <w:rsid w:val="00EC1C81"/>
    <w:rsid w:val="00EC6DA3"/>
    <w:rsid w:val="00ED0A26"/>
    <w:rsid w:val="00ED13BB"/>
    <w:rsid w:val="00ED6AF6"/>
    <w:rsid w:val="00ED7A75"/>
    <w:rsid w:val="00EE2926"/>
    <w:rsid w:val="00EF0B42"/>
    <w:rsid w:val="00EF0F65"/>
    <w:rsid w:val="00EF2B87"/>
    <w:rsid w:val="00EF39DF"/>
    <w:rsid w:val="00EF49DF"/>
    <w:rsid w:val="00EF5386"/>
    <w:rsid w:val="00EF6B54"/>
    <w:rsid w:val="00EF6D7D"/>
    <w:rsid w:val="00EF7458"/>
    <w:rsid w:val="00EF7BB1"/>
    <w:rsid w:val="00F00CE0"/>
    <w:rsid w:val="00F06B97"/>
    <w:rsid w:val="00F12CBF"/>
    <w:rsid w:val="00F15AD8"/>
    <w:rsid w:val="00F1611B"/>
    <w:rsid w:val="00F17004"/>
    <w:rsid w:val="00F17080"/>
    <w:rsid w:val="00F205AD"/>
    <w:rsid w:val="00F21839"/>
    <w:rsid w:val="00F2639D"/>
    <w:rsid w:val="00F2792A"/>
    <w:rsid w:val="00F27D7F"/>
    <w:rsid w:val="00F27E5E"/>
    <w:rsid w:val="00F30562"/>
    <w:rsid w:val="00F31764"/>
    <w:rsid w:val="00F31BDE"/>
    <w:rsid w:val="00F32686"/>
    <w:rsid w:val="00F328CD"/>
    <w:rsid w:val="00F3411A"/>
    <w:rsid w:val="00F35726"/>
    <w:rsid w:val="00F35B71"/>
    <w:rsid w:val="00F42A12"/>
    <w:rsid w:val="00F5279C"/>
    <w:rsid w:val="00F52B5A"/>
    <w:rsid w:val="00F556B2"/>
    <w:rsid w:val="00F606DA"/>
    <w:rsid w:val="00F650AC"/>
    <w:rsid w:val="00F6612B"/>
    <w:rsid w:val="00F668A8"/>
    <w:rsid w:val="00F67901"/>
    <w:rsid w:val="00F73AC5"/>
    <w:rsid w:val="00F7580A"/>
    <w:rsid w:val="00F768B3"/>
    <w:rsid w:val="00F76C9B"/>
    <w:rsid w:val="00F81937"/>
    <w:rsid w:val="00F83DE6"/>
    <w:rsid w:val="00F8480C"/>
    <w:rsid w:val="00F85392"/>
    <w:rsid w:val="00F863BA"/>
    <w:rsid w:val="00F866E9"/>
    <w:rsid w:val="00F86FB9"/>
    <w:rsid w:val="00F872F3"/>
    <w:rsid w:val="00F9451C"/>
    <w:rsid w:val="00F9542E"/>
    <w:rsid w:val="00F95F05"/>
    <w:rsid w:val="00F9732A"/>
    <w:rsid w:val="00FA2D82"/>
    <w:rsid w:val="00FA766D"/>
    <w:rsid w:val="00FA7693"/>
    <w:rsid w:val="00FA7CBE"/>
    <w:rsid w:val="00FB12D4"/>
    <w:rsid w:val="00FB13F3"/>
    <w:rsid w:val="00FB6200"/>
    <w:rsid w:val="00FC0796"/>
    <w:rsid w:val="00FC23D6"/>
    <w:rsid w:val="00FC4468"/>
    <w:rsid w:val="00FC53AC"/>
    <w:rsid w:val="00FD73AA"/>
    <w:rsid w:val="00FE2C1A"/>
    <w:rsid w:val="00FE3E04"/>
    <w:rsid w:val="00FE558E"/>
    <w:rsid w:val="00FF021A"/>
    <w:rsid w:val="00FF0E78"/>
    <w:rsid w:val="00FF31A7"/>
    <w:rsid w:val="00FF467D"/>
    <w:rsid w:val="00FF6166"/>
    <w:rsid w:val="00FF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paragraph" w:styleId="ListParagraph">
    <w:name w:val="List Paragraph"/>
    <w:basedOn w:val="Normal"/>
    <w:uiPriority w:val="34"/>
    <w:qFormat/>
    <w:rsid w:val="00475063"/>
    <w:pPr>
      <w:ind w:left="720"/>
      <w:contextualSpacing/>
    </w:pPr>
  </w:style>
  <w:style w:type="character" w:customStyle="1" w:styleId="BodyTextChar">
    <w:name w:val="Body Text Char"/>
    <w:basedOn w:val="DefaultParagraphFont"/>
    <w:link w:val="BodyText"/>
    <w:rsid w:val="00642C86"/>
    <w:rPr>
      <w:sz w:val="26"/>
    </w:rPr>
  </w:style>
  <w:style w:type="paragraph" w:styleId="BalloonText">
    <w:name w:val="Balloon Text"/>
    <w:basedOn w:val="Normal"/>
    <w:link w:val="BalloonTextChar"/>
    <w:rsid w:val="001538D0"/>
    <w:rPr>
      <w:rFonts w:ascii="Tahoma" w:hAnsi="Tahoma" w:cs="Tahoma"/>
      <w:sz w:val="16"/>
      <w:szCs w:val="16"/>
    </w:rPr>
  </w:style>
  <w:style w:type="character" w:customStyle="1" w:styleId="BalloonTextChar">
    <w:name w:val="Balloon Text Char"/>
    <w:basedOn w:val="DefaultParagraphFont"/>
    <w:link w:val="BalloonText"/>
    <w:rsid w:val="001538D0"/>
    <w:rPr>
      <w:rFonts w:ascii="Tahoma" w:hAnsi="Tahoma" w:cs="Tahoma"/>
      <w:sz w:val="16"/>
      <w:szCs w:val="16"/>
    </w:rPr>
  </w:style>
  <w:style w:type="paragraph" w:styleId="PlainText">
    <w:name w:val="Plain Text"/>
    <w:basedOn w:val="Normal"/>
    <w:link w:val="PlainTextChar"/>
    <w:uiPriority w:val="99"/>
    <w:unhideWhenUsed/>
    <w:rsid w:val="00841F7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41F7C"/>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paragraph" w:styleId="ListParagraph">
    <w:name w:val="List Paragraph"/>
    <w:basedOn w:val="Normal"/>
    <w:uiPriority w:val="34"/>
    <w:qFormat/>
    <w:rsid w:val="00475063"/>
    <w:pPr>
      <w:ind w:left="720"/>
      <w:contextualSpacing/>
    </w:pPr>
  </w:style>
  <w:style w:type="character" w:customStyle="1" w:styleId="BodyTextChar">
    <w:name w:val="Body Text Char"/>
    <w:basedOn w:val="DefaultParagraphFont"/>
    <w:link w:val="BodyText"/>
    <w:rsid w:val="00642C86"/>
    <w:rPr>
      <w:sz w:val="26"/>
    </w:rPr>
  </w:style>
  <w:style w:type="paragraph" w:styleId="BalloonText">
    <w:name w:val="Balloon Text"/>
    <w:basedOn w:val="Normal"/>
    <w:link w:val="BalloonTextChar"/>
    <w:rsid w:val="001538D0"/>
    <w:rPr>
      <w:rFonts w:ascii="Tahoma" w:hAnsi="Tahoma" w:cs="Tahoma"/>
      <w:sz w:val="16"/>
      <w:szCs w:val="16"/>
    </w:rPr>
  </w:style>
  <w:style w:type="character" w:customStyle="1" w:styleId="BalloonTextChar">
    <w:name w:val="Balloon Text Char"/>
    <w:basedOn w:val="DefaultParagraphFont"/>
    <w:link w:val="BalloonText"/>
    <w:rsid w:val="001538D0"/>
    <w:rPr>
      <w:rFonts w:ascii="Tahoma" w:hAnsi="Tahoma" w:cs="Tahoma"/>
      <w:sz w:val="16"/>
      <w:szCs w:val="16"/>
    </w:rPr>
  </w:style>
  <w:style w:type="paragraph" w:styleId="PlainText">
    <w:name w:val="Plain Text"/>
    <w:basedOn w:val="Normal"/>
    <w:link w:val="PlainTextChar"/>
    <w:uiPriority w:val="99"/>
    <w:unhideWhenUsed/>
    <w:rsid w:val="00841F7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41F7C"/>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82967">
      <w:bodyDiv w:val="1"/>
      <w:marLeft w:val="0"/>
      <w:marRight w:val="0"/>
      <w:marTop w:val="0"/>
      <w:marBottom w:val="0"/>
      <w:divBdr>
        <w:top w:val="none" w:sz="0" w:space="0" w:color="auto"/>
        <w:left w:val="none" w:sz="0" w:space="0" w:color="auto"/>
        <w:bottom w:val="none" w:sz="0" w:space="0" w:color="auto"/>
        <w:right w:val="none" w:sz="0" w:space="0" w:color="auto"/>
      </w:divBdr>
      <w:divsChild>
        <w:div w:id="349180154">
          <w:marLeft w:val="0"/>
          <w:marRight w:val="0"/>
          <w:marTop w:val="0"/>
          <w:marBottom w:val="0"/>
          <w:divBdr>
            <w:top w:val="none" w:sz="0" w:space="0" w:color="auto"/>
            <w:left w:val="none" w:sz="0" w:space="0" w:color="auto"/>
            <w:bottom w:val="none" w:sz="0" w:space="0" w:color="auto"/>
            <w:right w:val="none" w:sz="0" w:space="0" w:color="auto"/>
          </w:divBdr>
          <w:divsChild>
            <w:div w:id="1072048278">
              <w:marLeft w:val="0"/>
              <w:marRight w:val="0"/>
              <w:marTop w:val="0"/>
              <w:marBottom w:val="0"/>
              <w:divBdr>
                <w:top w:val="none" w:sz="0" w:space="0" w:color="auto"/>
                <w:left w:val="none" w:sz="0" w:space="0" w:color="auto"/>
                <w:bottom w:val="none" w:sz="0" w:space="0" w:color="auto"/>
                <w:right w:val="none" w:sz="0" w:space="0" w:color="auto"/>
              </w:divBdr>
              <w:divsChild>
                <w:div w:id="1740249318">
                  <w:marLeft w:val="0"/>
                  <w:marRight w:val="0"/>
                  <w:marTop w:val="0"/>
                  <w:marBottom w:val="0"/>
                  <w:divBdr>
                    <w:top w:val="none" w:sz="0" w:space="0" w:color="auto"/>
                    <w:left w:val="none" w:sz="0" w:space="0" w:color="auto"/>
                    <w:bottom w:val="none" w:sz="0" w:space="0" w:color="auto"/>
                    <w:right w:val="none" w:sz="0" w:space="0" w:color="auto"/>
                  </w:divBdr>
                  <w:divsChild>
                    <w:div w:id="656762126">
                      <w:marLeft w:val="300"/>
                      <w:marRight w:val="300"/>
                      <w:marTop w:val="0"/>
                      <w:marBottom w:val="0"/>
                      <w:divBdr>
                        <w:top w:val="none" w:sz="0" w:space="0" w:color="auto"/>
                        <w:left w:val="none" w:sz="0" w:space="0" w:color="auto"/>
                        <w:bottom w:val="none" w:sz="0" w:space="0" w:color="auto"/>
                        <w:right w:val="none" w:sz="0" w:space="0" w:color="auto"/>
                      </w:divBdr>
                      <w:divsChild>
                        <w:div w:id="1394154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066162">
      <w:bodyDiv w:val="1"/>
      <w:marLeft w:val="0"/>
      <w:marRight w:val="0"/>
      <w:marTop w:val="0"/>
      <w:marBottom w:val="0"/>
      <w:divBdr>
        <w:top w:val="none" w:sz="0" w:space="0" w:color="auto"/>
        <w:left w:val="none" w:sz="0" w:space="0" w:color="auto"/>
        <w:bottom w:val="none" w:sz="0" w:space="0" w:color="auto"/>
        <w:right w:val="none" w:sz="0" w:space="0" w:color="auto"/>
      </w:divBdr>
      <w:divsChild>
        <w:div w:id="949701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0A578-0CDD-448B-BB54-2AFFE3F5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24</cp:revision>
  <cp:lastPrinted>2012-02-06T16:17:00Z</cp:lastPrinted>
  <dcterms:created xsi:type="dcterms:W3CDTF">2012-02-01T20:02:00Z</dcterms:created>
  <dcterms:modified xsi:type="dcterms:W3CDTF">2012-02-06T16:22:00Z</dcterms:modified>
</cp:coreProperties>
</file>