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7C" w:rsidRDefault="004D6955" w:rsidP="004D6955">
      <w:pPr>
        <w:jc w:val="center"/>
        <w:rPr>
          <w:b/>
        </w:rPr>
      </w:pPr>
      <w:r>
        <w:rPr>
          <w:b/>
        </w:rPr>
        <w:t>BEFORE THE</w:t>
      </w:r>
    </w:p>
    <w:p w:rsidR="004D6955" w:rsidRDefault="004D6955" w:rsidP="004D6955">
      <w:pPr>
        <w:jc w:val="center"/>
      </w:pPr>
      <w:r>
        <w:rPr>
          <w:b/>
        </w:rPr>
        <w:t>PENNSYLVANIA PUBLIC UTILITY COMMISSION</w:t>
      </w:r>
    </w:p>
    <w:p w:rsidR="004D6955" w:rsidRDefault="004D6955" w:rsidP="004D6955"/>
    <w:p w:rsidR="004D6955" w:rsidRDefault="004D6955" w:rsidP="004D6955"/>
    <w:p w:rsidR="001563C5" w:rsidRDefault="001563C5" w:rsidP="004D6955"/>
    <w:p w:rsidR="004D6955" w:rsidRDefault="004D6955" w:rsidP="004D6955">
      <w:r>
        <w:t>John E. Green</w:t>
      </w:r>
      <w:r>
        <w:tab/>
      </w:r>
      <w:r>
        <w:tab/>
      </w:r>
      <w:r>
        <w:tab/>
      </w:r>
      <w:r>
        <w:tab/>
      </w:r>
      <w:r>
        <w:tab/>
      </w:r>
      <w:r>
        <w:tab/>
        <w:t>:</w:t>
      </w:r>
    </w:p>
    <w:p w:rsidR="004D6955" w:rsidRDefault="004D6955" w:rsidP="004D6955">
      <w:r>
        <w:tab/>
      </w:r>
      <w:r>
        <w:tab/>
      </w:r>
      <w:r>
        <w:tab/>
      </w:r>
      <w:r>
        <w:tab/>
      </w:r>
      <w:r>
        <w:tab/>
      </w:r>
      <w:r>
        <w:tab/>
      </w:r>
      <w:r>
        <w:tab/>
        <w:t>:</w:t>
      </w:r>
    </w:p>
    <w:p w:rsidR="004D6955" w:rsidRDefault="004D6955" w:rsidP="004D6955">
      <w:r>
        <w:tab/>
        <w:t>v.</w:t>
      </w:r>
      <w:r>
        <w:tab/>
      </w:r>
      <w:r>
        <w:tab/>
      </w:r>
      <w:r>
        <w:tab/>
      </w:r>
      <w:r>
        <w:tab/>
      </w:r>
      <w:r>
        <w:tab/>
      </w:r>
      <w:r>
        <w:tab/>
        <w:t>:</w:t>
      </w:r>
      <w:r>
        <w:tab/>
      </w:r>
      <w:r>
        <w:tab/>
        <w:t>C-2011-2237672</w:t>
      </w:r>
    </w:p>
    <w:p w:rsidR="004D6955" w:rsidRDefault="004D6955" w:rsidP="004D6955">
      <w:r>
        <w:tab/>
      </w:r>
      <w:r>
        <w:tab/>
      </w:r>
      <w:r>
        <w:tab/>
      </w:r>
      <w:r>
        <w:tab/>
      </w:r>
      <w:r>
        <w:tab/>
      </w:r>
      <w:r>
        <w:tab/>
      </w:r>
      <w:r>
        <w:tab/>
        <w:t>:</w:t>
      </w:r>
    </w:p>
    <w:p w:rsidR="004D6955" w:rsidRDefault="004D6955" w:rsidP="004D6955">
      <w:r>
        <w:t>PPL Electric Utilities Corporation</w:t>
      </w:r>
      <w:r>
        <w:tab/>
      </w:r>
      <w:r>
        <w:tab/>
      </w:r>
      <w:r>
        <w:tab/>
        <w:t>:</w:t>
      </w:r>
    </w:p>
    <w:p w:rsidR="001563C5" w:rsidRDefault="001563C5" w:rsidP="004D6955"/>
    <w:p w:rsidR="004D6955" w:rsidRDefault="004D6955" w:rsidP="004D6955"/>
    <w:p w:rsidR="004D6955" w:rsidRDefault="004D6955" w:rsidP="004D6955"/>
    <w:p w:rsidR="004D6955" w:rsidRDefault="004D6955" w:rsidP="004D6955">
      <w:pPr>
        <w:jc w:val="center"/>
      </w:pPr>
      <w:r>
        <w:rPr>
          <w:b/>
          <w:u w:val="single"/>
        </w:rPr>
        <w:t>INITIAL DECISION</w:t>
      </w:r>
    </w:p>
    <w:p w:rsidR="004D6955" w:rsidRDefault="004D6955" w:rsidP="004D6955">
      <w:pPr>
        <w:jc w:val="center"/>
      </w:pPr>
    </w:p>
    <w:p w:rsidR="004D6955" w:rsidRDefault="004D6955" w:rsidP="004D6955">
      <w:pPr>
        <w:jc w:val="center"/>
      </w:pPr>
    </w:p>
    <w:p w:rsidR="004D6955" w:rsidRDefault="004D6955" w:rsidP="004D6955">
      <w:pPr>
        <w:jc w:val="center"/>
      </w:pPr>
      <w:r>
        <w:t>Before</w:t>
      </w:r>
    </w:p>
    <w:p w:rsidR="004D6955" w:rsidRDefault="004D6955" w:rsidP="004D6955">
      <w:pPr>
        <w:jc w:val="center"/>
      </w:pPr>
      <w:r>
        <w:t>John H. Corbett, Jr.</w:t>
      </w:r>
    </w:p>
    <w:p w:rsidR="004D6955" w:rsidRDefault="004D6955" w:rsidP="004D6955">
      <w:pPr>
        <w:jc w:val="center"/>
      </w:pPr>
      <w:r>
        <w:t>Administrative Law Judge</w:t>
      </w:r>
    </w:p>
    <w:p w:rsidR="004D6955" w:rsidRDefault="004D6955" w:rsidP="004D6955">
      <w:pPr>
        <w:jc w:val="center"/>
      </w:pPr>
    </w:p>
    <w:p w:rsidR="004D6955" w:rsidRDefault="004D6955" w:rsidP="004D6955">
      <w:pPr>
        <w:jc w:val="center"/>
      </w:pPr>
    </w:p>
    <w:p w:rsidR="004D6955" w:rsidRDefault="001563C5" w:rsidP="004D6955">
      <w:pPr>
        <w:jc w:val="center"/>
      </w:pPr>
      <w:r>
        <w:rPr>
          <w:u w:val="single"/>
        </w:rPr>
        <w:t>HISTORY OF THE PROCEEDING</w:t>
      </w:r>
    </w:p>
    <w:p w:rsidR="001563C5" w:rsidRDefault="001563C5" w:rsidP="001563C5"/>
    <w:p w:rsidR="001563C5" w:rsidRDefault="001563C5" w:rsidP="001563C5"/>
    <w:p w:rsidR="001563C5" w:rsidRDefault="001563C5" w:rsidP="001563C5">
      <w:pPr>
        <w:spacing w:line="360" w:lineRule="auto"/>
      </w:pPr>
      <w:r>
        <w:tab/>
      </w:r>
      <w:r>
        <w:tab/>
      </w:r>
      <w:r w:rsidR="00A06396">
        <w:t xml:space="preserve">On April 13, 2011, John E. Green (“Complainant”) filed a complaint with the Pennsylvania Public Utility Commission (“Commission”).  Mr. Green disputes certain bills he received from PPL Electric Utilities Corporation (“Respondent” or “PPL”) for residential electric </w:t>
      </w:r>
      <w:r w:rsidR="00F429F9">
        <w:t>service to property that he owned</w:t>
      </w:r>
      <w:r w:rsidR="00A06396">
        <w:t xml:space="preserve"> in</w:t>
      </w:r>
      <w:r w:rsidR="00F429F9">
        <w:t xml:space="preserve"> Tobyhanna</w:t>
      </w:r>
      <w:r w:rsidR="00A06396">
        <w:t>, Pennsylvania.  For relief, he wants the electric meter tested</w:t>
      </w:r>
      <w:r w:rsidR="00CE5F25">
        <w:t xml:space="preserve"> and an adjustment of this bill.  Respondent answered the complaint on May 16, 2011 denying any wrongdoing.</w:t>
      </w:r>
    </w:p>
    <w:p w:rsidR="00CE5F25" w:rsidRDefault="00CE5F25" w:rsidP="001563C5">
      <w:pPr>
        <w:spacing w:line="360" w:lineRule="auto"/>
      </w:pPr>
    </w:p>
    <w:p w:rsidR="00CE5F25" w:rsidRDefault="00CE5F25" w:rsidP="001563C5">
      <w:pPr>
        <w:spacing w:line="360" w:lineRule="auto"/>
      </w:pPr>
      <w:r>
        <w:tab/>
      </w:r>
      <w:r>
        <w:tab/>
        <w:t xml:space="preserve">I received this case assignment on November 4, 2011. </w:t>
      </w:r>
      <w:r w:rsidR="00B274EC">
        <w:t xml:space="preserve"> </w:t>
      </w:r>
      <w:r>
        <w:t>A standard Prehearing Order was issued on November 7, 2011.</w:t>
      </w:r>
    </w:p>
    <w:p w:rsidR="00CE5F25" w:rsidRDefault="00CE5F25" w:rsidP="001563C5">
      <w:pPr>
        <w:spacing w:line="360" w:lineRule="auto"/>
      </w:pPr>
    </w:p>
    <w:p w:rsidR="00CE5F25" w:rsidRDefault="00CE5F25" w:rsidP="001563C5">
      <w:pPr>
        <w:spacing w:line="360" w:lineRule="auto"/>
      </w:pPr>
      <w:r>
        <w:tab/>
      </w:r>
      <w:r>
        <w:tab/>
        <w:t xml:space="preserve">A telephonic hearing convened at 1:30 p.m. on December 12, 2011.  Complainant appeared </w:t>
      </w:r>
      <w:r w:rsidRPr="00CE5F25">
        <w:rPr>
          <w:i/>
        </w:rPr>
        <w:t>pro se</w:t>
      </w:r>
      <w:r>
        <w:t xml:space="preserve">.  Kimberly G. </w:t>
      </w:r>
      <w:proofErr w:type="spellStart"/>
      <w:r>
        <w:t>Krupka</w:t>
      </w:r>
      <w:proofErr w:type="spellEnd"/>
      <w:r>
        <w:t>, Esq.,</w:t>
      </w:r>
      <w:r w:rsidR="00117C70">
        <w:t xml:space="preserve"> represented the Respondent, which offered four exhibits for the record (“PPL </w:t>
      </w:r>
      <w:proofErr w:type="spellStart"/>
      <w:r w:rsidR="00117C70">
        <w:t>Exhs</w:t>
      </w:r>
      <w:proofErr w:type="spellEnd"/>
      <w:r w:rsidR="00117C70">
        <w:t>. 1-2, 4-5”).  The hearing generated 46 pages of notes of testimony.  No briefs were filed.  The record closed on January 11, 2012.</w:t>
      </w:r>
    </w:p>
    <w:p w:rsidR="00117C70" w:rsidRDefault="00117C70" w:rsidP="001563C5">
      <w:pPr>
        <w:spacing w:line="360" w:lineRule="auto"/>
      </w:pPr>
    </w:p>
    <w:p w:rsidR="00117C70" w:rsidRDefault="00117C70" w:rsidP="00117C70">
      <w:pPr>
        <w:spacing w:line="360" w:lineRule="auto"/>
        <w:jc w:val="center"/>
      </w:pPr>
      <w:r>
        <w:rPr>
          <w:u w:val="single"/>
        </w:rPr>
        <w:lastRenderedPageBreak/>
        <w:t>FINDINGS OF FACT</w:t>
      </w:r>
    </w:p>
    <w:p w:rsidR="00117C70" w:rsidRDefault="00117C70" w:rsidP="00117C70">
      <w:pPr>
        <w:spacing w:line="360" w:lineRule="auto"/>
      </w:pPr>
    </w:p>
    <w:p w:rsidR="00117C70" w:rsidRDefault="003D29B4" w:rsidP="00117C70">
      <w:pPr>
        <w:pStyle w:val="ListParagraph"/>
        <w:numPr>
          <w:ilvl w:val="0"/>
          <w:numId w:val="1"/>
        </w:numPr>
        <w:spacing w:line="360" w:lineRule="auto"/>
        <w:ind w:left="0" w:firstLine="1440"/>
      </w:pPr>
      <w:r>
        <w:t>Complainant, John E. Green, now resides at 2800 Northwest Second Terrace, Cape Coral, Florida 33993 (N.T. 12).</w:t>
      </w:r>
    </w:p>
    <w:p w:rsidR="003D29B4" w:rsidRDefault="003D29B4" w:rsidP="003D29B4">
      <w:pPr>
        <w:pStyle w:val="ListParagraph"/>
        <w:spacing w:line="360" w:lineRule="auto"/>
        <w:ind w:left="1440"/>
      </w:pPr>
    </w:p>
    <w:p w:rsidR="003D29B4" w:rsidRDefault="0039306B" w:rsidP="00117C70">
      <w:pPr>
        <w:pStyle w:val="ListParagraph"/>
        <w:numPr>
          <w:ilvl w:val="0"/>
          <w:numId w:val="1"/>
        </w:numPr>
        <w:spacing w:line="360" w:lineRule="auto"/>
        <w:ind w:left="0" w:firstLine="1440"/>
      </w:pPr>
      <w:r>
        <w:t>For 50 years u</w:t>
      </w:r>
      <w:r w:rsidR="00C068E8">
        <w:t>ntil August 12, 2011, Complainant lived at 408 Little Billy Lane, Tobyhanna, Pennsylvania 18466 (N.T. 12-1</w:t>
      </w:r>
      <w:r>
        <w:t>4</w:t>
      </w:r>
      <w:r w:rsidR="004D6560">
        <w:t>, 23</w:t>
      </w:r>
      <w:r w:rsidR="00CC0909">
        <w:t>, 29-30</w:t>
      </w:r>
      <w:r w:rsidR="00C068E8">
        <w:t xml:space="preserve">; PPL </w:t>
      </w:r>
      <w:proofErr w:type="spellStart"/>
      <w:r w:rsidR="00C068E8">
        <w:t>Exh</w:t>
      </w:r>
      <w:proofErr w:type="spellEnd"/>
      <w:r w:rsidR="00C068E8">
        <w:t>. 1).</w:t>
      </w:r>
    </w:p>
    <w:p w:rsidR="00C068E8" w:rsidRDefault="00C068E8" w:rsidP="00C068E8">
      <w:pPr>
        <w:pStyle w:val="ListParagraph"/>
      </w:pPr>
    </w:p>
    <w:p w:rsidR="00C068E8" w:rsidRDefault="0039306B" w:rsidP="00117C70">
      <w:pPr>
        <w:pStyle w:val="ListParagraph"/>
        <w:numPr>
          <w:ilvl w:val="0"/>
          <w:numId w:val="1"/>
        </w:numPr>
        <w:spacing w:line="360" w:lineRule="auto"/>
        <w:ind w:left="0" w:firstLine="1440"/>
      </w:pPr>
      <w:r>
        <w:t>Respondent,</w:t>
      </w:r>
      <w:r w:rsidRPr="0039306B">
        <w:t xml:space="preserve"> </w:t>
      </w:r>
      <w:r>
        <w:t>PPL Electric Utilities Corporation, provided residential electric service to Complainant at 408 Little Billy Lane (N.T. 16).</w:t>
      </w:r>
    </w:p>
    <w:p w:rsidR="0039306B" w:rsidRDefault="0039306B" w:rsidP="0039306B">
      <w:pPr>
        <w:pStyle w:val="ListParagraph"/>
      </w:pPr>
    </w:p>
    <w:p w:rsidR="0039306B" w:rsidRDefault="008D34DA" w:rsidP="00117C70">
      <w:pPr>
        <w:pStyle w:val="ListParagraph"/>
        <w:numPr>
          <w:ilvl w:val="0"/>
          <w:numId w:val="1"/>
        </w:numPr>
        <w:spacing w:line="360" w:lineRule="auto"/>
        <w:ind w:left="0" w:firstLine="1440"/>
      </w:pPr>
      <w:r>
        <w:t>The residence at 408 Little Billy Lane consisted of a three bedroom ranch house with a living room, dining room, kitchen and bathroom, all on one floor.  There was no basement (N.T. 14-15).</w:t>
      </w:r>
    </w:p>
    <w:p w:rsidR="008D34DA" w:rsidRDefault="008D34DA" w:rsidP="008D34DA">
      <w:pPr>
        <w:pStyle w:val="ListParagraph"/>
      </w:pPr>
    </w:p>
    <w:p w:rsidR="008D34DA" w:rsidRDefault="008D34DA" w:rsidP="00117C70">
      <w:pPr>
        <w:pStyle w:val="ListParagraph"/>
        <w:numPr>
          <w:ilvl w:val="0"/>
          <w:numId w:val="1"/>
        </w:numPr>
        <w:spacing w:line="360" w:lineRule="auto"/>
        <w:ind w:left="0" w:firstLine="1440"/>
      </w:pPr>
      <w:r>
        <w:t>During the relevant time period, Complainant lived there alone (N.T. 15).</w:t>
      </w:r>
    </w:p>
    <w:p w:rsidR="008D34DA" w:rsidRDefault="008D34DA" w:rsidP="008D34DA">
      <w:pPr>
        <w:pStyle w:val="ListParagraph"/>
      </w:pPr>
    </w:p>
    <w:p w:rsidR="008D34DA" w:rsidRDefault="008D34DA" w:rsidP="00117C70">
      <w:pPr>
        <w:pStyle w:val="ListParagraph"/>
        <w:numPr>
          <w:ilvl w:val="0"/>
          <w:numId w:val="1"/>
        </w:numPr>
        <w:spacing w:line="360" w:lineRule="auto"/>
        <w:ind w:left="0" w:firstLine="1440"/>
      </w:pPr>
      <w:r>
        <w:t xml:space="preserve">For electrical appliances, Complainant </w:t>
      </w:r>
      <w:r w:rsidR="003E4258">
        <w:t xml:space="preserve">claims to have </w:t>
      </w:r>
      <w:r>
        <w:t>had</w:t>
      </w:r>
      <w:r w:rsidR="00653737">
        <w:t xml:space="preserve"> a television, refri</w:t>
      </w:r>
      <w:r w:rsidR="00971E0A">
        <w:t xml:space="preserve">gerator, oven, microwave, </w:t>
      </w:r>
      <w:proofErr w:type="gramStart"/>
      <w:r w:rsidR="00971E0A">
        <w:t>water</w:t>
      </w:r>
      <w:proofErr w:type="gramEnd"/>
      <w:r w:rsidR="00971E0A">
        <w:t xml:space="preserve"> </w:t>
      </w:r>
      <w:r w:rsidR="00653737">
        <w:t>heater</w:t>
      </w:r>
      <w:r w:rsidR="00971E0A">
        <w:t>,</w:t>
      </w:r>
      <w:r w:rsidR="00653737">
        <w:t xml:space="preserve"> 47 feet of baseboard heaters in the bedrooms</w:t>
      </w:r>
      <w:r w:rsidR="00971E0A">
        <w:t>, and a filter/pump for an above-ground swimming pool that he claims that he ran for 15-20 minutes twice a week</w:t>
      </w:r>
      <w:r w:rsidR="00653737">
        <w:t xml:space="preserve"> </w:t>
      </w:r>
      <w:r w:rsidR="00971E0A">
        <w:t xml:space="preserve">during the summer </w:t>
      </w:r>
      <w:r w:rsidR="00653737">
        <w:t>(N.T. 15-1</w:t>
      </w:r>
      <w:r w:rsidR="00971E0A">
        <w:t>8</w:t>
      </w:r>
      <w:r w:rsidR="00653737">
        <w:t>).</w:t>
      </w:r>
    </w:p>
    <w:p w:rsidR="00653737" w:rsidRDefault="00653737" w:rsidP="00653737">
      <w:pPr>
        <w:pStyle w:val="ListParagraph"/>
      </w:pPr>
    </w:p>
    <w:p w:rsidR="00653737" w:rsidRDefault="00653737" w:rsidP="00117C70">
      <w:pPr>
        <w:pStyle w:val="ListParagraph"/>
        <w:numPr>
          <w:ilvl w:val="0"/>
          <w:numId w:val="1"/>
        </w:numPr>
        <w:spacing w:line="360" w:lineRule="auto"/>
        <w:ind w:left="0" w:firstLine="1440"/>
      </w:pPr>
      <w:r>
        <w:t xml:space="preserve">Complainant insists that he burned wood in his fireplace as the main source of heat in his home.  He claims he burned wood “24/7,” except when he was sleeping. Then, he states that </w:t>
      </w:r>
      <w:r w:rsidR="00FC53E7">
        <w:t xml:space="preserve">his home would stay warm </w:t>
      </w:r>
      <w:r>
        <w:t>about six hours, which is how long he slep</w:t>
      </w:r>
      <w:r w:rsidR="00FC53E7">
        <w:t>t</w:t>
      </w:r>
      <w:r>
        <w:t xml:space="preserve"> (N.T. 16).</w:t>
      </w:r>
    </w:p>
    <w:p w:rsidR="001B6EF6" w:rsidRDefault="001B6EF6" w:rsidP="001B6EF6">
      <w:pPr>
        <w:pStyle w:val="ListParagraph"/>
      </w:pPr>
    </w:p>
    <w:p w:rsidR="001B6EF6" w:rsidRDefault="001B6EF6" w:rsidP="00117C70">
      <w:pPr>
        <w:pStyle w:val="ListParagraph"/>
        <w:numPr>
          <w:ilvl w:val="0"/>
          <w:numId w:val="1"/>
        </w:numPr>
        <w:spacing w:line="360" w:lineRule="auto"/>
        <w:ind w:left="0" w:firstLine="1440"/>
      </w:pPr>
      <w:r>
        <w:t xml:space="preserve">Complainant admits that an electrical extension cord ran from his house </w:t>
      </w:r>
      <w:r w:rsidR="00ED21D4">
        <w:t xml:space="preserve">to </w:t>
      </w:r>
      <w:r>
        <w:t xml:space="preserve">a small trailer on his property, but he insists the trailer was owned by a friend, who used the trailer during the fall hunting season. </w:t>
      </w:r>
      <w:r w:rsidR="004D6560">
        <w:t xml:space="preserve"> </w:t>
      </w:r>
      <w:r>
        <w:t>The friend would only use electricity</w:t>
      </w:r>
      <w:r w:rsidR="00433EFA">
        <w:t xml:space="preserve"> for a single light bulb (N.T. 19-20).</w:t>
      </w:r>
    </w:p>
    <w:p w:rsidR="00F56488" w:rsidRDefault="00F56488" w:rsidP="00F56488">
      <w:pPr>
        <w:pStyle w:val="ListParagraph"/>
      </w:pPr>
    </w:p>
    <w:p w:rsidR="00F56488" w:rsidRDefault="002551C7" w:rsidP="00117C70">
      <w:pPr>
        <w:pStyle w:val="ListParagraph"/>
        <w:numPr>
          <w:ilvl w:val="0"/>
          <w:numId w:val="1"/>
        </w:numPr>
        <w:spacing w:line="360" w:lineRule="auto"/>
        <w:ind w:left="0" w:firstLine="1440"/>
      </w:pPr>
      <w:r>
        <w:lastRenderedPageBreak/>
        <w:t xml:space="preserve">Complainant </w:t>
      </w:r>
      <w:r w:rsidR="00433EFA">
        <w:t xml:space="preserve">contends </w:t>
      </w:r>
      <w:r>
        <w:t>the electric bills he received for the cold weather months of November through March of each year were unreasonably high, since he was burning wood to heat his home</w:t>
      </w:r>
      <w:r w:rsidR="00433EFA">
        <w:t xml:space="preserve">. </w:t>
      </w:r>
      <w:r w:rsidR="004D6560">
        <w:t xml:space="preserve"> </w:t>
      </w:r>
      <w:r w:rsidR="00433EFA">
        <w:t xml:space="preserve">He believes his electric usage should have been no more than 3,000 kWh per month </w:t>
      </w:r>
      <w:r>
        <w:t>(N.T. 17, 19</w:t>
      </w:r>
      <w:r w:rsidR="00433EFA">
        <w:t>-20</w:t>
      </w:r>
      <w:r w:rsidR="00DA40D4">
        <w:t>, 24</w:t>
      </w:r>
      <w:r>
        <w:t>).</w:t>
      </w:r>
    </w:p>
    <w:p w:rsidR="00433EFA" w:rsidRDefault="00433EFA" w:rsidP="00433EFA">
      <w:pPr>
        <w:pStyle w:val="ListParagraph"/>
      </w:pPr>
    </w:p>
    <w:p w:rsidR="00433EFA" w:rsidRDefault="00433EFA" w:rsidP="00117C70">
      <w:pPr>
        <w:pStyle w:val="ListParagraph"/>
        <w:numPr>
          <w:ilvl w:val="0"/>
          <w:numId w:val="1"/>
        </w:numPr>
        <w:spacing w:line="360" w:lineRule="auto"/>
        <w:ind w:left="0" w:firstLine="1440"/>
      </w:pPr>
      <w:r>
        <w:t>Complainant insists that he “pretty much never” used his electric baseboard heaters</w:t>
      </w:r>
      <w:r w:rsidR="0016714D">
        <w:t xml:space="preserve">. </w:t>
      </w:r>
      <w:r w:rsidR="004D6560">
        <w:t xml:space="preserve"> </w:t>
      </w:r>
      <w:r w:rsidR="0016714D">
        <w:t>He claims that he would shut off the electricity at the fuse box whenever he left the house (N.T. 21</w:t>
      </w:r>
      <w:r w:rsidR="00A2029F">
        <w:t>-22</w:t>
      </w:r>
      <w:r w:rsidR="000F4D87">
        <w:t>, 25</w:t>
      </w:r>
      <w:r w:rsidR="0016714D">
        <w:t>).</w:t>
      </w:r>
    </w:p>
    <w:p w:rsidR="0016714D" w:rsidRDefault="0016714D" w:rsidP="0016714D">
      <w:pPr>
        <w:pStyle w:val="ListParagraph"/>
      </w:pPr>
    </w:p>
    <w:p w:rsidR="00A2029F" w:rsidRDefault="00D24377" w:rsidP="00117C70">
      <w:pPr>
        <w:pStyle w:val="ListParagraph"/>
        <w:numPr>
          <w:ilvl w:val="0"/>
          <w:numId w:val="1"/>
        </w:numPr>
        <w:spacing w:line="360" w:lineRule="auto"/>
        <w:ind w:left="0" w:firstLine="1440"/>
      </w:pPr>
      <w:r>
        <w:t xml:space="preserve">Because he believes his bills were too high, Complainant </w:t>
      </w:r>
      <w:r w:rsidR="00AC11CD">
        <w:t xml:space="preserve">asserts </w:t>
      </w:r>
      <w:r>
        <w:t>he does not owe Respondent anything on this account (N.T. 24).</w:t>
      </w:r>
    </w:p>
    <w:p w:rsidR="00D24377" w:rsidRDefault="00D24377" w:rsidP="00D24377">
      <w:pPr>
        <w:pStyle w:val="ListParagraph"/>
      </w:pPr>
    </w:p>
    <w:p w:rsidR="00D24377" w:rsidRDefault="00F271A1" w:rsidP="00117C70">
      <w:pPr>
        <w:pStyle w:val="ListParagraph"/>
        <w:numPr>
          <w:ilvl w:val="0"/>
          <w:numId w:val="1"/>
        </w:numPr>
        <w:spacing w:line="360" w:lineRule="auto"/>
        <w:ind w:left="0" w:firstLine="1440"/>
      </w:pPr>
      <w:r>
        <w:t>While living in Florida now, Complainant notes that his electric bills are $62.00 a month (N.T. 21, 25</w:t>
      </w:r>
      <w:r w:rsidR="00782831">
        <w:t>-26</w:t>
      </w:r>
      <w:r w:rsidR="009F0498">
        <w:t>, 39</w:t>
      </w:r>
      <w:r>
        <w:t>).</w:t>
      </w:r>
    </w:p>
    <w:p w:rsidR="00F271A1" w:rsidRDefault="00F271A1" w:rsidP="00F271A1">
      <w:pPr>
        <w:pStyle w:val="ListParagraph"/>
      </w:pPr>
    </w:p>
    <w:p w:rsidR="00F271A1" w:rsidRDefault="00782831" w:rsidP="00782831">
      <w:pPr>
        <w:pStyle w:val="ListParagraph"/>
        <w:numPr>
          <w:ilvl w:val="0"/>
          <w:numId w:val="1"/>
        </w:numPr>
        <w:spacing w:line="360" w:lineRule="auto"/>
        <w:ind w:left="0" w:firstLine="1440"/>
      </w:pPr>
      <w:r>
        <w:t>Complainant’s electric meter was located outside the house (N.T. 23).</w:t>
      </w:r>
    </w:p>
    <w:p w:rsidR="00782831" w:rsidRDefault="00782831" w:rsidP="00782831">
      <w:pPr>
        <w:pStyle w:val="ListParagraph"/>
      </w:pPr>
    </w:p>
    <w:p w:rsidR="00782831" w:rsidRDefault="00782831" w:rsidP="00782831">
      <w:pPr>
        <w:pStyle w:val="ListParagraph"/>
        <w:numPr>
          <w:ilvl w:val="0"/>
          <w:numId w:val="1"/>
        </w:numPr>
        <w:spacing w:line="360" w:lineRule="auto"/>
        <w:ind w:left="0" w:firstLine="1440"/>
      </w:pPr>
      <w:r>
        <w:t xml:space="preserve">Respondent installed </w:t>
      </w:r>
      <w:r w:rsidR="00AC11CD">
        <w:t xml:space="preserve">an </w:t>
      </w:r>
      <w:r>
        <w:t>electric meter at Complainant’s residence on August 7, 2003 (N.T. 29).</w:t>
      </w:r>
    </w:p>
    <w:p w:rsidR="00782831" w:rsidRDefault="00782831" w:rsidP="00782831">
      <w:pPr>
        <w:pStyle w:val="ListParagraph"/>
      </w:pPr>
    </w:p>
    <w:p w:rsidR="00782831" w:rsidRDefault="00DD7530" w:rsidP="00782831">
      <w:pPr>
        <w:pStyle w:val="ListParagraph"/>
        <w:numPr>
          <w:ilvl w:val="0"/>
          <w:numId w:val="1"/>
        </w:numPr>
        <w:spacing w:line="360" w:lineRule="auto"/>
        <w:ind w:left="0" w:firstLine="1440"/>
      </w:pPr>
      <w:r>
        <w:t>The final amount owed on this account is $509.13 (N.T. </w:t>
      </w:r>
      <w:r w:rsidR="002738CE">
        <w:t>30-</w:t>
      </w:r>
      <w:r>
        <w:t xml:space="preserve">32; PPL </w:t>
      </w:r>
      <w:proofErr w:type="spellStart"/>
      <w:r>
        <w:t>Exh</w:t>
      </w:r>
      <w:proofErr w:type="spellEnd"/>
      <w:r>
        <w:t>. 1).</w:t>
      </w:r>
    </w:p>
    <w:p w:rsidR="00520505" w:rsidRDefault="00520505" w:rsidP="00520505">
      <w:pPr>
        <w:pStyle w:val="ListParagraph"/>
      </w:pPr>
    </w:p>
    <w:p w:rsidR="00520505" w:rsidRDefault="00520505" w:rsidP="00782831">
      <w:pPr>
        <w:pStyle w:val="ListParagraph"/>
        <w:numPr>
          <w:ilvl w:val="0"/>
          <w:numId w:val="1"/>
        </w:numPr>
        <w:spacing w:line="360" w:lineRule="auto"/>
        <w:ind w:left="0" w:firstLine="1440"/>
      </w:pPr>
      <w:r>
        <w:t xml:space="preserve">During an interview with a representative of Respondent on December 12, 2010, Complainant stated that he used electric baseboard heaters in the bedrooms (N.T. 34; PPL </w:t>
      </w:r>
      <w:proofErr w:type="spellStart"/>
      <w:r>
        <w:t>Exh</w:t>
      </w:r>
      <w:proofErr w:type="spellEnd"/>
      <w:r>
        <w:t>. 2).</w:t>
      </w:r>
    </w:p>
    <w:p w:rsidR="00DD7530" w:rsidRDefault="00DD7530" w:rsidP="00DD7530">
      <w:pPr>
        <w:pStyle w:val="ListParagraph"/>
      </w:pPr>
    </w:p>
    <w:p w:rsidR="00DD7530" w:rsidRDefault="00572C3B" w:rsidP="00782831">
      <w:pPr>
        <w:pStyle w:val="ListParagraph"/>
        <w:numPr>
          <w:ilvl w:val="0"/>
          <w:numId w:val="1"/>
        </w:numPr>
        <w:spacing w:line="360" w:lineRule="auto"/>
        <w:ind w:left="0" w:firstLine="1440"/>
      </w:pPr>
      <w:r>
        <w:t>On January 5, 2011, a representative of Respondent met with Complainant at his residence to investigate his high bill complaint.</w:t>
      </w:r>
      <w:r w:rsidR="007C4B5A">
        <w:t xml:space="preserve">  He discovered the house was built in 1964.  It had 47 feet of </w:t>
      </w:r>
      <w:r w:rsidR="00520505">
        <w:t xml:space="preserve">electric </w:t>
      </w:r>
      <w:r w:rsidR="007C4B5A">
        <w:t>baseboard heaters and an extension cord ran</w:t>
      </w:r>
      <w:r w:rsidR="00520505">
        <w:t xml:space="preserve"> to a trailer on the property</w:t>
      </w:r>
      <w:r w:rsidR="006C38BC">
        <w:t xml:space="preserve">.  The representative also found an electric range, microwave oven, drip coffee maker, </w:t>
      </w:r>
      <w:r w:rsidR="006C38BC">
        <w:lastRenderedPageBreak/>
        <w:t>stackable washer and dryer, 14-18 cubic foot refrigerator, water heater, two television sets, satellite dish, vacuum cleaner, and well pump</w:t>
      </w:r>
      <w:r w:rsidR="00520505">
        <w:t xml:space="preserve"> (N.T. 32-34</w:t>
      </w:r>
      <w:r w:rsidR="006C38BC">
        <w:t>, 37</w:t>
      </w:r>
      <w:r w:rsidR="00520505">
        <w:t xml:space="preserve">; PPL </w:t>
      </w:r>
      <w:proofErr w:type="spellStart"/>
      <w:r w:rsidR="00520505">
        <w:t>Exh</w:t>
      </w:r>
      <w:proofErr w:type="spellEnd"/>
      <w:r w:rsidR="00520505">
        <w:t>. 2).</w:t>
      </w:r>
    </w:p>
    <w:p w:rsidR="00520505" w:rsidRDefault="00520505" w:rsidP="00520505">
      <w:pPr>
        <w:pStyle w:val="ListParagraph"/>
      </w:pPr>
    </w:p>
    <w:p w:rsidR="00520505" w:rsidRDefault="0006400E" w:rsidP="00782831">
      <w:pPr>
        <w:pStyle w:val="ListParagraph"/>
        <w:numPr>
          <w:ilvl w:val="0"/>
          <w:numId w:val="1"/>
        </w:numPr>
        <w:spacing w:line="360" w:lineRule="auto"/>
        <w:ind w:left="0" w:firstLine="1440"/>
      </w:pPr>
      <w:r>
        <w:t xml:space="preserve">Respondent pulled Complainant’s electric meter on April 28, 2011 and tested it on May 4, 2011, finding that it was on average 100% accurate (N.T. 34-35; PPL </w:t>
      </w:r>
      <w:proofErr w:type="spellStart"/>
      <w:r>
        <w:t>Exh</w:t>
      </w:r>
      <w:proofErr w:type="spellEnd"/>
      <w:r>
        <w:t>. 4).</w:t>
      </w:r>
    </w:p>
    <w:p w:rsidR="0006400E" w:rsidRDefault="0006400E" w:rsidP="0006400E">
      <w:pPr>
        <w:pStyle w:val="ListParagraph"/>
      </w:pPr>
    </w:p>
    <w:p w:rsidR="0006400E" w:rsidRDefault="00600781" w:rsidP="00782831">
      <w:pPr>
        <w:pStyle w:val="ListParagraph"/>
        <w:numPr>
          <w:ilvl w:val="0"/>
          <w:numId w:val="1"/>
        </w:numPr>
        <w:spacing w:line="360" w:lineRule="auto"/>
        <w:ind w:left="0" w:firstLine="1440"/>
      </w:pPr>
      <w:r>
        <w:t>Respondent estimates the electric baseboard heaters have the potential to draw 8,460 kWh in a 30 day period.  The remaining electrical appliances have the potential to use 978 kWh in a 30 day period, for a total of 9,438 kWh</w:t>
      </w:r>
      <w:r w:rsidR="00517998">
        <w:t>.  Respondent assigned no usage for the trailer on Complainant’s property</w:t>
      </w:r>
      <w:r>
        <w:t xml:space="preserve"> (N.T. 36-37; PPL </w:t>
      </w:r>
      <w:proofErr w:type="spellStart"/>
      <w:r>
        <w:t>Exh</w:t>
      </w:r>
      <w:proofErr w:type="spellEnd"/>
      <w:r>
        <w:t>. 5).</w:t>
      </w:r>
    </w:p>
    <w:p w:rsidR="009D4764" w:rsidRDefault="009D4764" w:rsidP="009D4764">
      <w:pPr>
        <w:pStyle w:val="ListParagraph"/>
      </w:pPr>
    </w:p>
    <w:p w:rsidR="009D4764" w:rsidRDefault="00AC11CD" w:rsidP="00782831">
      <w:pPr>
        <w:pStyle w:val="ListParagraph"/>
        <w:numPr>
          <w:ilvl w:val="0"/>
          <w:numId w:val="1"/>
        </w:numPr>
        <w:spacing w:line="360" w:lineRule="auto"/>
        <w:ind w:left="0" w:firstLine="1440"/>
      </w:pPr>
      <w:r>
        <w:t xml:space="preserve">During the two years preceding the hearing, Complainant’s highest electric bill was for 3,992 kWh for the billing cycle ending January 19, 2010 (N.T. 37; PPL </w:t>
      </w:r>
      <w:proofErr w:type="spellStart"/>
      <w:r>
        <w:t>Exh</w:t>
      </w:r>
      <w:proofErr w:type="spellEnd"/>
      <w:r>
        <w:t>. 1).</w:t>
      </w:r>
    </w:p>
    <w:p w:rsidR="00AC11CD" w:rsidRDefault="00AC11CD" w:rsidP="00AC11CD">
      <w:pPr>
        <w:pStyle w:val="ListParagraph"/>
      </w:pPr>
    </w:p>
    <w:p w:rsidR="00AC11CD" w:rsidRDefault="00AF1CCE" w:rsidP="00782831">
      <w:pPr>
        <w:pStyle w:val="ListParagraph"/>
        <w:numPr>
          <w:ilvl w:val="0"/>
          <w:numId w:val="1"/>
        </w:numPr>
        <w:spacing w:line="360" w:lineRule="auto"/>
        <w:ind w:left="0" w:firstLine="1440"/>
      </w:pPr>
      <w:r>
        <w:t xml:space="preserve">Respondent posits it has never recorded greater usage </w:t>
      </w:r>
      <w:r w:rsidR="009F0498">
        <w:t xml:space="preserve">for </w:t>
      </w:r>
      <w:r>
        <w:t>Complainant</w:t>
      </w:r>
      <w:r w:rsidR="009F0498">
        <w:t xml:space="preserve"> than his</w:t>
      </w:r>
      <w:r>
        <w:t xml:space="preserve"> potential consumption (N.T. 38; PPL </w:t>
      </w:r>
      <w:proofErr w:type="spellStart"/>
      <w:r>
        <w:t>Exh</w:t>
      </w:r>
      <w:proofErr w:type="spellEnd"/>
      <w:r>
        <w:t>. 1).</w:t>
      </w:r>
    </w:p>
    <w:p w:rsidR="005B54E6" w:rsidRDefault="005B54E6" w:rsidP="005B54E6">
      <w:pPr>
        <w:pStyle w:val="ListParagraph"/>
      </w:pPr>
    </w:p>
    <w:p w:rsidR="005B54E6" w:rsidRDefault="005B54E6" w:rsidP="005B54E6">
      <w:pPr>
        <w:spacing w:line="360" w:lineRule="auto"/>
        <w:jc w:val="center"/>
      </w:pPr>
      <w:r>
        <w:rPr>
          <w:u w:val="single"/>
        </w:rPr>
        <w:t>DISCUSSION</w:t>
      </w:r>
    </w:p>
    <w:p w:rsidR="005B54E6" w:rsidRDefault="005B54E6" w:rsidP="005B54E6">
      <w:pPr>
        <w:spacing w:line="360" w:lineRule="auto"/>
      </w:pPr>
    </w:p>
    <w:p w:rsidR="005B54E6" w:rsidRDefault="00DA12D4" w:rsidP="005B54E6">
      <w:pPr>
        <w:spacing w:line="360" w:lineRule="auto"/>
      </w:pPr>
      <w:r>
        <w:tab/>
      </w:r>
      <w:r>
        <w:tab/>
        <w:t>Complainant disputes the bills that he received from Respondent for residential electric service during the cold weather months of November through March of each year, because he burned wood to heat his home</w:t>
      </w:r>
      <w:r w:rsidR="00356D3C">
        <w:t xml:space="preserve"> and he did not use electric heat</w:t>
      </w:r>
      <w:r>
        <w:t xml:space="preserve">.  </w:t>
      </w:r>
      <w:r w:rsidRPr="00C7307B">
        <w:t xml:space="preserve">As the party seeking affirmative relief from the Commission, Complainant bears the burden of proving </w:t>
      </w:r>
      <w:r>
        <w:t xml:space="preserve">that he </w:t>
      </w:r>
      <w:r w:rsidRPr="00C7307B">
        <w:t>is entitle</w:t>
      </w:r>
      <w:r>
        <w:t>d</w:t>
      </w:r>
      <w:r w:rsidRPr="00C7307B">
        <w:t xml:space="preserve"> to relief.  </w:t>
      </w:r>
      <w:proofErr w:type="gramStart"/>
      <w:r w:rsidRPr="00C7307B">
        <w:t>66 Pa. C.S. §332(a).</w:t>
      </w:r>
      <w:proofErr w:type="gramEnd"/>
    </w:p>
    <w:p w:rsidR="00DA12D4" w:rsidRDefault="00DA12D4" w:rsidP="005B54E6">
      <w:pPr>
        <w:spacing w:line="360" w:lineRule="auto"/>
      </w:pPr>
    </w:p>
    <w:p w:rsidR="00F1172C" w:rsidRDefault="00DA12D4" w:rsidP="00F1172C">
      <w:pPr>
        <w:spacing w:line="360" w:lineRule="auto"/>
      </w:pPr>
      <w:r>
        <w:tab/>
      </w:r>
      <w:r>
        <w:tab/>
      </w:r>
      <w:r w:rsidR="00F1172C" w:rsidRPr="00C24DC1">
        <w:t xml:space="preserve">The term “burden of proof” means a duty to establish a fact by a preponderance of the evidence.  </w:t>
      </w:r>
      <w:proofErr w:type="gramStart"/>
      <w:r w:rsidR="00F1172C" w:rsidRPr="00A539BD">
        <w:rPr>
          <w:u w:val="single"/>
        </w:rPr>
        <w:t>Se-Ling Hosiery v. Mar</w:t>
      </w:r>
      <w:r w:rsidR="00F1172C">
        <w:rPr>
          <w:u w:val="single"/>
        </w:rPr>
        <w:t>g</w:t>
      </w:r>
      <w:r w:rsidR="00F1172C" w:rsidRPr="00A539BD">
        <w:rPr>
          <w:u w:val="single"/>
        </w:rPr>
        <w:t>ulies</w:t>
      </w:r>
      <w:r w:rsidR="00F1172C" w:rsidRPr="00C24DC1">
        <w:t xml:space="preserve">, 364 Pa. 45, 70 A.2d 854 (1954); </w:t>
      </w:r>
      <w:r w:rsidR="00F1172C" w:rsidRPr="00A539BD">
        <w:rPr>
          <w:u w:val="single"/>
        </w:rPr>
        <w:t>Feinstein v. Philadelphia Suburban Water Company</w:t>
      </w:r>
      <w:r w:rsidR="00F1172C" w:rsidRPr="00C24DC1">
        <w:t>, 50 Pa. P.U.C. 300 (1976).</w:t>
      </w:r>
      <w:proofErr w:type="gramEnd"/>
      <w:r w:rsidR="00F1172C" w:rsidRPr="00C24DC1">
        <w:t xml:space="preserve">  The term “preponderance of the evidence” means one party must present evidence which is more convincing, by even the smallest amount, than the evidence presented by the other party.  </w:t>
      </w:r>
      <w:smartTag w:uri="urn:schemas-microsoft-com:office:smarttags" w:element="State">
        <w:smartTag w:uri="urn:schemas-microsoft-com:office:smarttags" w:element="place">
          <w:r w:rsidR="00F1172C" w:rsidRPr="00287572">
            <w:rPr>
              <w:i/>
            </w:rPr>
            <w:t>Id</w:t>
          </w:r>
          <w:r w:rsidR="00F1172C" w:rsidRPr="00C24DC1">
            <w:t>.</w:t>
          </w:r>
        </w:smartTag>
      </w:smartTag>
      <w:r w:rsidR="00F1172C" w:rsidRPr="00C24DC1">
        <w:t xml:space="preserve">  Accordingly, one must </w:t>
      </w:r>
      <w:r w:rsidR="00F1172C" w:rsidRPr="00C24DC1">
        <w:lastRenderedPageBreak/>
        <w:t xml:space="preserve">review the record in this case to determine whether Complainant has satisfied </w:t>
      </w:r>
      <w:r w:rsidR="00F1172C">
        <w:t xml:space="preserve">his </w:t>
      </w:r>
      <w:r w:rsidR="00F1172C" w:rsidRPr="00C24DC1">
        <w:t xml:space="preserve">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proofErr w:type="gramStart"/>
      <w:r w:rsidR="005A2801" w:rsidRPr="00287572">
        <w:rPr>
          <w:u w:val="single"/>
        </w:rPr>
        <w:t>Morrissey</w:t>
      </w:r>
      <w:r w:rsidR="00F1172C" w:rsidRPr="00287572">
        <w:rPr>
          <w:u w:val="single"/>
        </w:rPr>
        <w:t xml:space="preserve"> v. Pa. Dept. of Highways</w:t>
      </w:r>
      <w:r w:rsidR="00F1172C" w:rsidRPr="00C24DC1">
        <w:t xml:space="preserve">, 424 Pa. 87, 225 A.2d 895 (1967); </w:t>
      </w:r>
      <w:r w:rsidR="00F1172C" w:rsidRPr="00287572">
        <w:rPr>
          <w:u w:val="single"/>
        </w:rPr>
        <w:t>Burleson v. Pa. P.U.C.</w:t>
      </w:r>
      <w:r w:rsidR="00F1172C" w:rsidRPr="00C24DC1">
        <w:t xml:space="preserve">, 443 A.2d 1373 (Pa. </w:t>
      </w:r>
      <w:proofErr w:type="spellStart"/>
      <w:r w:rsidR="00F1172C" w:rsidRPr="00C24DC1">
        <w:t>Cmwlth</w:t>
      </w:r>
      <w:proofErr w:type="spellEnd"/>
      <w:r w:rsidR="00F1172C" w:rsidRPr="00C24DC1">
        <w:t>. 1982).</w:t>
      </w:r>
      <w:proofErr w:type="gramEnd"/>
    </w:p>
    <w:p w:rsidR="00F1172C" w:rsidRDefault="00F1172C" w:rsidP="00F1172C">
      <w:pPr>
        <w:spacing w:line="360" w:lineRule="auto"/>
      </w:pPr>
    </w:p>
    <w:p w:rsidR="00F1172C" w:rsidRDefault="00F1172C" w:rsidP="00F1172C">
      <w:pPr>
        <w:spacing w:line="360" w:lineRule="auto"/>
      </w:pPr>
      <w:r>
        <w:tab/>
      </w:r>
      <w:r>
        <w:tab/>
      </w:r>
      <w:r w:rsidRPr="00C24DC1">
        <w:t xml:space="preserve">Furthermore, substantial evidence in the record must support the decision of the Commission.  </w:t>
      </w:r>
      <w:r w:rsidRPr="00F03E90">
        <w:rPr>
          <w:i/>
        </w:rPr>
        <w:t>See</w:t>
      </w:r>
      <w:r w:rsidRPr="00C24DC1">
        <w:t xml:space="preserve">, </w:t>
      </w:r>
      <w:r w:rsidRPr="00F03E90">
        <w:rPr>
          <w:i/>
        </w:rPr>
        <w:t>e.g.</w:t>
      </w:r>
      <w:r w:rsidRPr="00C24DC1">
        <w:t xml:space="preserve">, Section 704 of the Administrative Agency Law, 2 Pa. C.S. §704; </w:t>
      </w:r>
      <w:r w:rsidRPr="00F03E90">
        <w:rPr>
          <w:u w:val="single"/>
        </w:rPr>
        <w:t>Yellow Cab Company v. Pa. P.U.C.</w:t>
      </w:r>
      <w:r w:rsidRPr="00C24DC1">
        <w:t xml:space="preserve">, 524 A.2d 1069 (Pa. </w:t>
      </w:r>
      <w:proofErr w:type="spellStart"/>
      <w:r w:rsidRPr="00C24DC1">
        <w:t>Cmwlth</w:t>
      </w:r>
      <w:proofErr w:type="spellEnd"/>
      <w:r w:rsidRPr="00C24DC1">
        <w:t>. 1987).  The term “substantial evidence” mean</w:t>
      </w:r>
      <w:r>
        <w:t>s</w:t>
      </w:r>
      <w:r w:rsidRPr="00C24DC1">
        <w:t xml:space="preserve"> such relevant evidence that a reasonable mind may accept as adequate to support a conclusion.  More is required than a mere trace of evidence or a suspicion of the existence of a fact sought to be established.  </w:t>
      </w:r>
      <w:r w:rsidRPr="00F03E90">
        <w:rPr>
          <w:u w:val="single"/>
        </w:rPr>
        <w:t>Norfolk &amp; Western Ry. Co. v. Pa. P.U.C.</w:t>
      </w:r>
      <w:r w:rsidRPr="00C24DC1">
        <w:t xml:space="preserve">, 489 Pa. 109, 413 A.2d 1037 (1980); </w:t>
      </w:r>
      <w:r w:rsidRPr="00F03E90">
        <w:rPr>
          <w:u w:val="single"/>
        </w:rPr>
        <w:t>Erie Resistor Corp. v. Unemployment Comp. Bd. of Review</w:t>
      </w:r>
      <w:r w:rsidRPr="00C24DC1">
        <w:t xml:space="preserve">, 194 Pa. Superior Ct. 278, 166 A.2d 96 (1961); </w:t>
      </w:r>
      <w:r w:rsidRPr="00F03E90">
        <w:rPr>
          <w:u w:val="single"/>
        </w:rPr>
        <w:t>Murphy v. Pa. Dept. of Public Welfare, White Haven Center</w:t>
      </w:r>
      <w:r w:rsidRPr="00C24DC1">
        <w:t xml:space="preserve">, 480 A.2d 382 (Pa. </w:t>
      </w:r>
      <w:proofErr w:type="spellStart"/>
      <w:r w:rsidRPr="00C24DC1">
        <w:t>Cmwlth</w:t>
      </w:r>
      <w:proofErr w:type="spellEnd"/>
      <w:r w:rsidRPr="00C24DC1">
        <w:t xml:space="preserve">. 1984).  The Commission has held that a complainant, to establish a sufficient case against a utility and satisfy the burden of proof, must show the utility is responsible or accountable for the problem described in the complaint.  </w:t>
      </w:r>
      <w:r w:rsidRPr="00F03E90">
        <w:rPr>
          <w:u w:val="single"/>
        </w:rPr>
        <w:t>Feinstein</w:t>
      </w:r>
      <w:r w:rsidRPr="00C24DC1">
        <w:t xml:space="preserve">, </w:t>
      </w:r>
      <w:r w:rsidRPr="00F03E90">
        <w:rPr>
          <w:i/>
        </w:rPr>
        <w:t>supra</w:t>
      </w:r>
      <w:r w:rsidRPr="00C24DC1">
        <w:t>.</w:t>
      </w:r>
    </w:p>
    <w:p w:rsidR="00DA12D4" w:rsidRDefault="00DA12D4" w:rsidP="005B54E6">
      <w:pPr>
        <w:spacing w:line="360" w:lineRule="auto"/>
      </w:pPr>
    </w:p>
    <w:p w:rsidR="00133CDC" w:rsidRPr="00156790" w:rsidRDefault="00A1188B" w:rsidP="00133CDC">
      <w:pPr>
        <w:spacing w:line="360" w:lineRule="auto"/>
      </w:pPr>
      <w:r>
        <w:tab/>
      </w:r>
      <w:r>
        <w:tab/>
      </w:r>
      <w:r w:rsidR="00133CDC" w:rsidRPr="00156790">
        <w:t xml:space="preserve">In </w:t>
      </w:r>
      <w:r w:rsidR="00133CDC" w:rsidRPr="00156790">
        <w:rPr>
          <w:u w:val="single"/>
        </w:rPr>
        <w:t>Waldron v. Philadelphia Electric Company</w:t>
      </w:r>
      <w:r w:rsidR="00133CDC" w:rsidRPr="00156790">
        <w:t xml:space="preserve">, 54 Pa. P.U.C. 98 (1980), the Commission outlined the general dynamics for the burden of proof in a case that raises a high bill dispute.  In order to determine whether a complainant has established a </w:t>
      </w:r>
      <w:r w:rsidR="00133CDC" w:rsidRPr="00156790">
        <w:rPr>
          <w:i/>
        </w:rPr>
        <w:t>prima facie</w:t>
      </w:r>
      <w:r w:rsidR="00133CDC" w:rsidRPr="00156790">
        <w:t xml:space="preserve"> case </w:t>
      </w:r>
    </w:p>
    <w:p w:rsidR="00133CDC" w:rsidRPr="00156790" w:rsidRDefault="00133CDC" w:rsidP="00133CDC">
      <w:pPr>
        <w:spacing w:line="360" w:lineRule="auto"/>
      </w:pPr>
      <w:r w:rsidRPr="00156790">
        <w:t>where there are claims of unusually high bills, this Commission has declared that certain factors must be considered.  While the accuracy of the meter is an important factor in resolving a billing dispute,</w:t>
      </w:r>
      <w:r w:rsidR="00356D3C">
        <w:rPr>
          <w:rStyle w:val="FootnoteReference"/>
        </w:rPr>
        <w:footnoteReference w:id="1"/>
      </w:r>
      <w:r w:rsidRPr="00156790">
        <w:t xml:space="preserve"> it is not the sole criterion.  </w:t>
      </w:r>
      <w:r w:rsidRPr="00156790">
        <w:rPr>
          <w:i/>
        </w:rPr>
        <w:t>Id</w:t>
      </w:r>
      <w:r w:rsidRPr="00156790">
        <w:t xml:space="preserve">. at 100.  A complainant may establish a </w:t>
      </w:r>
      <w:r w:rsidRPr="00156790">
        <w:rPr>
          <w:i/>
        </w:rPr>
        <w:t>prima facie</w:t>
      </w:r>
      <w:r w:rsidRPr="00156790">
        <w:t xml:space="preserve"> case by showing that: (1) the disputed bill was abnormally high when compared to prior usage patterns; and (2) his/her pattern of usage had not changed.  </w:t>
      </w:r>
      <w:smartTag w:uri="urn:schemas-microsoft-com:office:smarttags" w:element="place">
        <w:smartTag w:uri="urn:schemas-microsoft-com:office:smarttags" w:element="State">
          <w:r w:rsidRPr="00156790">
            <w:rPr>
              <w:i/>
            </w:rPr>
            <w:t>Id</w:t>
          </w:r>
          <w:r w:rsidRPr="00156790">
            <w:t>.</w:t>
          </w:r>
        </w:smartTag>
      </w:smartTag>
      <w:r w:rsidRPr="00156790">
        <w:t xml:space="preserve">  In looking at these criteria, one may consider the billing history of the account, any change in the number of occupants residing </w:t>
      </w:r>
      <w:r w:rsidRPr="00156790">
        <w:lastRenderedPageBreak/>
        <w:t xml:space="preserve">in the household, the potential for energy utilization, and any other relevant facts or circumstances that come to light during the proceeding.  </w:t>
      </w:r>
      <w:proofErr w:type="spellStart"/>
      <w:r w:rsidRPr="00156790">
        <w:rPr>
          <w:u w:val="single"/>
        </w:rPr>
        <w:t>Replogle</w:t>
      </w:r>
      <w:proofErr w:type="spellEnd"/>
      <w:r w:rsidRPr="00156790">
        <w:rPr>
          <w:u w:val="single"/>
        </w:rPr>
        <w:t xml:space="preserve"> v. Pennsylvania Electric Company</w:t>
      </w:r>
      <w:r w:rsidRPr="00156790">
        <w:t xml:space="preserve">, 54 Pa. P.U.C. 528 (1980).  In this way, a complainant may prove entitlement to relief by wholly circumstantial evidence, rather than direct evidence of some utility misfeasance.  </w:t>
      </w:r>
      <w:proofErr w:type="spellStart"/>
      <w:r w:rsidRPr="00156790">
        <w:rPr>
          <w:u w:val="single"/>
        </w:rPr>
        <w:t>Milkie</w:t>
      </w:r>
      <w:proofErr w:type="spellEnd"/>
      <w:r w:rsidRPr="00156790">
        <w:rPr>
          <w:u w:val="single"/>
        </w:rPr>
        <w:t xml:space="preserve"> v. Pa. P.U.C.</w:t>
      </w:r>
      <w:r w:rsidRPr="00156790">
        <w:t xml:space="preserve">, 768 A.2d 1217 (Pa. </w:t>
      </w:r>
      <w:proofErr w:type="spellStart"/>
      <w:r w:rsidRPr="00156790">
        <w:t>Cmwlth</w:t>
      </w:r>
      <w:proofErr w:type="spellEnd"/>
      <w:r w:rsidRPr="00156790">
        <w:t>. 2001).</w:t>
      </w:r>
    </w:p>
    <w:p w:rsidR="00133CDC" w:rsidRPr="00156790" w:rsidRDefault="00133CDC" w:rsidP="00133CDC">
      <w:pPr>
        <w:spacing w:line="360" w:lineRule="auto"/>
      </w:pPr>
    </w:p>
    <w:p w:rsidR="00133CDC" w:rsidRPr="00156790" w:rsidRDefault="00133CDC" w:rsidP="00133CDC">
      <w:pPr>
        <w:spacing w:line="360" w:lineRule="auto"/>
      </w:pPr>
      <w:r w:rsidRPr="00156790">
        <w:tab/>
      </w:r>
      <w:r w:rsidRPr="00156790">
        <w:tab/>
        <w:t xml:space="preserve">The “Waldron Rule” is nothing more than an evidentiary rule, which the Commission adopted to apportion the burden of going forward with the evidence.  </w:t>
      </w:r>
      <w:r w:rsidRPr="00156790">
        <w:rPr>
          <w:u w:val="single"/>
        </w:rPr>
        <w:t>Pennsylvania Electric Company v. Pa. P.U.C.</w:t>
      </w:r>
      <w:r w:rsidRPr="00156790">
        <w:t>, 473 A.2d 704, 705-</w:t>
      </w:r>
      <w:r>
        <w:t>70</w:t>
      </w:r>
      <w:r w:rsidRPr="00156790">
        <w:t xml:space="preserve">6 (Pa. </w:t>
      </w:r>
      <w:proofErr w:type="spellStart"/>
      <w:r w:rsidRPr="00156790">
        <w:t>Cmwlth</w:t>
      </w:r>
      <w:proofErr w:type="spellEnd"/>
      <w:r w:rsidRPr="00156790">
        <w:t xml:space="preserve">. 1984).  As such, it is immaterial to the applicability of the rule whether the customer is residential, commercial or industrial.  </w:t>
      </w:r>
      <w:proofErr w:type="spellStart"/>
      <w:r w:rsidRPr="00156790">
        <w:rPr>
          <w:u w:val="single"/>
        </w:rPr>
        <w:t>Kupstas</w:t>
      </w:r>
      <w:proofErr w:type="spellEnd"/>
      <w:r w:rsidRPr="00156790">
        <w:rPr>
          <w:u w:val="single"/>
        </w:rPr>
        <w:t xml:space="preserve"> v. Pennsylvania Gas &amp; Water Company</w:t>
      </w:r>
      <w:r w:rsidRPr="00156790">
        <w:t xml:space="preserve">, Docket No. F-09136863 (Order entered September 17, 1992).  The Commission applied the Waldron Rule to a commercial account in </w:t>
      </w:r>
      <w:proofErr w:type="spellStart"/>
      <w:r w:rsidRPr="00156790">
        <w:rPr>
          <w:u w:val="single"/>
        </w:rPr>
        <w:t>Chiaverini</w:t>
      </w:r>
      <w:proofErr w:type="spellEnd"/>
      <w:r w:rsidRPr="00156790">
        <w:rPr>
          <w:u w:val="single"/>
        </w:rPr>
        <w:t xml:space="preserve"> v. Duquesne Light Company</w:t>
      </w:r>
      <w:r w:rsidRPr="00156790">
        <w:t xml:space="preserve">, Docket No. C-00945562 (Order entered February 13, 1995).  Application of these criteria to the present case reveals Complainant has not carried </w:t>
      </w:r>
      <w:r>
        <w:t xml:space="preserve">his </w:t>
      </w:r>
      <w:r w:rsidRPr="00156790">
        <w:t>burden of proving that he is entitled to the relief he seeks.</w:t>
      </w:r>
    </w:p>
    <w:p w:rsidR="00A1188B" w:rsidRDefault="00A1188B" w:rsidP="005B54E6">
      <w:pPr>
        <w:spacing w:line="360" w:lineRule="auto"/>
      </w:pPr>
    </w:p>
    <w:p w:rsidR="00133CDC" w:rsidRDefault="00133CDC" w:rsidP="005B54E6">
      <w:pPr>
        <w:spacing w:line="360" w:lineRule="auto"/>
      </w:pPr>
      <w:r>
        <w:tab/>
      </w:r>
      <w:r>
        <w:tab/>
        <w:t xml:space="preserve">While he now lives in Florida, </w:t>
      </w:r>
      <w:r w:rsidR="00F429F9">
        <w:t>Complainant, while residing in</w:t>
      </w:r>
      <w:r w:rsidR="00F429F9" w:rsidRPr="00F429F9">
        <w:t xml:space="preserve"> </w:t>
      </w:r>
      <w:r w:rsidR="00F429F9">
        <w:t>Tobyhanna, Pennsylvania, lived alone in a three bedroom ranch house with a living room, dining room, kitchen and bathroom, all on one floor.  There was no basement (N.T. 14-15).</w:t>
      </w:r>
      <w:r w:rsidR="00D009BA">
        <w:t xml:space="preserve">  In response to his complaint of unreasonably high bills, a representative of Respondent met with Complainant at his residence on January 5, 2011.  The representative discovered the house was built in 1964.  It had 47 feet of electric baseboard heaters and an extension cord ran to a trailer on the property.  The representative also found an electric range, microwave oven, drip coffee maker, stackable washer and dryer, 14-18 cubic foot refrigerator, water heater, two television sets, satellite dish, vacuum cleaner, and well pump (N.T. 32-34, 37; PPL </w:t>
      </w:r>
      <w:proofErr w:type="spellStart"/>
      <w:r w:rsidR="00D009BA">
        <w:t>Exh</w:t>
      </w:r>
      <w:proofErr w:type="spellEnd"/>
      <w:r w:rsidR="00D009BA">
        <w:t>. 2).</w:t>
      </w:r>
    </w:p>
    <w:p w:rsidR="004D4F40" w:rsidRDefault="004D4F40" w:rsidP="005B54E6">
      <w:pPr>
        <w:spacing w:line="360" w:lineRule="auto"/>
      </w:pPr>
    </w:p>
    <w:p w:rsidR="004D4F40" w:rsidRDefault="004D4F40" w:rsidP="005B54E6">
      <w:pPr>
        <w:spacing w:line="360" w:lineRule="auto"/>
      </w:pPr>
      <w:r>
        <w:tab/>
      </w:r>
      <w:r>
        <w:tab/>
        <w:t>Respondent estimates the electric baseboard heaters have the potential to draw 8,460 kWh in a 30 day period.  The remaining electrical appliances have the potential to use 978 kWh in a 30 day period, for a total of 9,438 kWh.  Respondent assign</w:t>
      </w:r>
      <w:r w:rsidR="006532EA">
        <w:t>s</w:t>
      </w:r>
      <w:r>
        <w:t xml:space="preserve"> no usage for the trailer on Complainant’s property (N.T. 36-37; PPL </w:t>
      </w:r>
      <w:proofErr w:type="spellStart"/>
      <w:r>
        <w:t>Exh</w:t>
      </w:r>
      <w:proofErr w:type="spellEnd"/>
      <w:r>
        <w:t>. 5).</w:t>
      </w:r>
      <w:r w:rsidR="006C0C3C">
        <w:t xml:space="preserve">  During the two years preceding the hearing, </w:t>
      </w:r>
      <w:r w:rsidR="006C0C3C">
        <w:lastRenderedPageBreak/>
        <w:t xml:space="preserve">Complainant’s highest electric bill was for 3,992 kWh for the billing cycle ending January 19, 2010 (N.T. 37; PPL </w:t>
      </w:r>
      <w:proofErr w:type="spellStart"/>
      <w:r w:rsidR="006C0C3C">
        <w:t>Exh</w:t>
      </w:r>
      <w:proofErr w:type="spellEnd"/>
      <w:r w:rsidR="006C0C3C">
        <w:t xml:space="preserve">. 1).  In fact, </w:t>
      </w:r>
      <w:r w:rsidR="006532EA">
        <w:t xml:space="preserve">a full review of </w:t>
      </w:r>
      <w:r w:rsidR="00D5383C">
        <w:t>this Account’s Activity Statement, covering the period of</w:t>
      </w:r>
      <w:r w:rsidR="00E24114">
        <w:t xml:space="preserve"> July 12, 2007 until August 12, </w:t>
      </w:r>
      <w:r w:rsidR="00D5383C">
        <w:t>2011</w:t>
      </w:r>
      <w:r w:rsidR="006532EA">
        <w:t xml:space="preserve">, discloses </w:t>
      </w:r>
      <w:r w:rsidR="00356D3C">
        <w:t xml:space="preserve">the highest bill was for </w:t>
      </w:r>
      <w:r w:rsidR="00E24114">
        <w:t xml:space="preserve">4,388 kWh </w:t>
      </w:r>
      <w:r w:rsidR="006532EA">
        <w:t xml:space="preserve">during </w:t>
      </w:r>
      <w:r w:rsidR="00E24114">
        <w:t xml:space="preserve">the </w:t>
      </w:r>
      <w:r w:rsidR="0070189A">
        <w:t>January 19, 2009 bill</w:t>
      </w:r>
      <w:r w:rsidR="006532EA">
        <w:t>ing cycle</w:t>
      </w:r>
      <w:r w:rsidR="0070189A">
        <w:t xml:space="preserve"> (PPL </w:t>
      </w:r>
      <w:proofErr w:type="spellStart"/>
      <w:r w:rsidR="0070189A">
        <w:t>Exh</w:t>
      </w:r>
      <w:proofErr w:type="spellEnd"/>
      <w:r w:rsidR="0070189A">
        <w:t>. 1).</w:t>
      </w:r>
    </w:p>
    <w:p w:rsidR="001A3F09" w:rsidRDefault="001A3F09" w:rsidP="005B54E6">
      <w:pPr>
        <w:spacing w:line="360" w:lineRule="auto"/>
      </w:pPr>
    </w:p>
    <w:p w:rsidR="001A3F09" w:rsidRDefault="001A3F09" w:rsidP="005B54E6">
      <w:pPr>
        <w:spacing w:line="360" w:lineRule="auto"/>
      </w:pPr>
      <w:r>
        <w:tab/>
      </w:r>
      <w:r>
        <w:tab/>
        <w:t xml:space="preserve">These </w:t>
      </w:r>
      <w:r w:rsidR="00D243B4">
        <w:t xml:space="preserve">data </w:t>
      </w:r>
      <w:r>
        <w:t xml:space="preserve">follow a consistent pattern whereby Complainant’s highest recorded electric usage occurred during the cold weather months of November through March of each year depicted in this Account’s Activity Statement.  </w:t>
      </w:r>
      <w:r>
        <w:rPr>
          <w:i/>
        </w:rPr>
        <w:t>Id</w:t>
      </w:r>
      <w:r>
        <w:t>.  While Complainant insists he burn</w:t>
      </w:r>
      <w:r w:rsidR="005C60EE">
        <w:t>ed</w:t>
      </w:r>
      <w:r>
        <w:t xml:space="preserve"> wood to heat his home (N.T. 17, 19-20, 24)</w:t>
      </w:r>
      <w:r w:rsidR="00E37E1C">
        <w:t xml:space="preserve"> and he </w:t>
      </w:r>
      <w:r w:rsidR="005C60EE">
        <w:t>“pretty much never” used his electric baseboard heaters (N.T. 21-22, 25), the fact is he admitted</w:t>
      </w:r>
      <w:r w:rsidR="00EA359A" w:rsidRPr="00EA359A">
        <w:t xml:space="preserve"> </w:t>
      </w:r>
      <w:r w:rsidR="00EA359A">
        <w:t xml:space="preserve">during an interview with </w:t>
      </w:r>
      <w:bookmarkStart w:id="0" w:name="_GoBack"/>
      <w:bookmarkEnd w:id="0"/>
      <w:r w:rsidR="00EA359A">
        <w:t xml:space="preserve">Respondent’s representative on December 12, 2010 that he used electric baseboard heaters in the bedrooms (N.T. 34; PPL </w:t>
      </w:r>
      <w:proofErr w:type="spellStart"/>
      <w:r w:rsidR="00EA359A">
        <w:t>Exh</w:t>
      </w:r>
      <w:proofErr w:type="spellEnd"/>
      <w:r w:rsidR="00EA359A">
        <w:t>. 2).</w:t>
      </w:r>
      <w:r w:rsidR="00D243B4">
        <w:t xml:space="preserve">  Obviously, use of these electric baseboard heaters could account for Complainant’s higher recorded consumption during the winter.</w:t>
      </w:r>
    </w:p>
    <w:p w:rsidR="001E2021" w:rsidRDefault="001E2021" w:rsidP="005B54E6">
      <w:pPr>
        <w:spacing w:line="360" w:lineRule="auto"/>
      </w:pPr>
    </w:p>
    <w:p w:rsidR="001E2021" w:rsidRDefault="001E2021" w:rsidP="005B54E6">
      <w:pPr>
        <w:spacing w:line="360" w:lineRule="auto"/>
      </w:pPr>
      <w:r>
        <w:tab/>
      </w:r>
      <w:r>
        <w:tab/>
        <w:t xml:space="preserve">Finally, Complainant’s claim that he only pays $62.00 a month for electricity now while living in Florida is not persuasive.  Many circumstances may account for the difference.  The most obvious, of course, is the milder weather in Florida.  Another </w:t>
      </w:r>
      <w:r w:rsidR="004D532B">
        <w:t>could be a difference in rates between the utilities.  In summary, Complainant has failed to meet his burden of proving Respondent’s bills were unreasonably high.  For these reasons, the complaint must be denied.</w:t>
      </w:r>
    </w:p>
    <w:p w:rsidR="004D532B" w:rsidRDefault="004D532B" w:rsidP="005B54E6">
      <w:pPr>
        <w:spacing w:line="360" w:lineRule="auto"/>
      </w:pPr>
    </w:p>
    <w:p w:rsidR="004D532B" w:rsidRDefault="004D532B" w:rsidP="004D532B">
      <w:pPr>
        <w:spacing w:line="360" w:lineRule="auto"/>
        <w:jc w:val="center"/>
      </w:pPr>
      <w:r>
        <w:rPr>
          <w:u w:val="single"/>
        </w:rPr>
        <w:t>CONCLUSIONS OF LAW</w:t>
      </w:r>
    </w:p>
    <w:p w:rsidR="004D532B" w:rsidRDefault="004D532B" w:rsidP="004D532B">
      <w:pPr>
        <w:spacing w:line="360" w:lineRule="auto"/>
      </w:pPr>
    </w:p>
    <w:p w:rsidR="004D532B" w:rsidRDefault="00FE3941" w:rsidP="000F7CF7">
      <w:pPr>
        <w:pStyle w:val="ListParagraph"/>
        <w:numPr>
          <w:ilvl w:val="0"/>
          <w:numId w:val="2"/>
        </w:numPr>
        <w:spacing w:line="360" w:lineRule="auto"/>
        <w:ind w:left="0" w:firstLine="1440"/>
      </w:pPr>
      <w:r>
        <w:t xml:space="preserve">The Commission has jurisdiction over the subject matter and the parties to this proceeding.  66 Pa. C.S. §§701, </w:t>
      </w:r>
      <w:r>
        <w:rPr>
          <w:i/>
        </w:rPr>
        <w:t>et seq</w:t>
      </w:r>
      <w:r>
        <w:t>.</w:t>
      </w:r>
    </w:p>
    <w:p w:rsidR="00FE3941" w:rsidRDefault="00FE3941" w:rsidP="00FE3941">
      <w:pPr>
        <w:pStyle w:val="ListParagraph"/>
        <w:spacing w:line="360" w:lineRule="auto"/>
        <w:ind w:left="1440"/>
      </w:pPr>
    </w:p>
    <w:p w:rsidR="00FE3941" w:rsidRDefault="00FE3941" w:rsidP="000F7CF7">
      <w:pPr>
        <w:pStyle w:val="ListParagraph"/>
        <w:numPr>
          <w:ilvl w:val="0"/>
          <w:numId w:val="2"/>
        </w:numPr>
        <w:spacing w:line="360" w:lineRule="auto"/>
        <w:ind w:left="0" w:firstLine="1440"/>
      </w:pPr>
      <w:r>
        <w:t>Complainant has failed to meet his burden of proving that Respondent has over</w:t>
      </w:r>
      <w:r w:rsidR="004541DC">
        <w:t>-</w:t>
      </w:r>
      <w:r>
        <w:t>billed him for the electric service that it has provided or otherwise violated the Public Utility Code, a regulation or an Order of the Commission.  66 Pa. C.S. §332(a).</w:t>
      </w:r>
    </w:p>
    <w:p w:rsidR="00FE3941" w:rsidRDefault="00FE3941" w:rsidP="00FE3941">
      <w:pPr>
        <w:pStyle w:val="ListParagraph"/>
      </w:pPr>
    </w:p>
    <w:p w:rsidR="00FE3941" w:rsidRDefault="00FE3941" w:rsidP="00FE3941">
      <w:pPr>
        <w:spacing w:line="360" w:lineRule="auto"/>
      </w:pPr>
    </w:p>
    <w:p w:rsidR="00FE3941" w:rsidRDefault="00FE3941" w:rsidP="00FE3941">
      <w:pPr>
        <w:spacing w:line="360" w:lineRule="auto"/>
        <w:jc w:val="center"/>
      </w:pPr>
      <w:r>
        <w:rPr>
          <w:u w:val="single"/>
        </w:rPr>
        <w:lastRenderedPageBreak/>
        <w:t>ORDER</w:t>
      </w:r>
    </w:p>
    <w:p w:rsidR="00FE3941" w:rsidRDefault="00FE3941" w:rsidP="00FE3941">
      <w:pPr>
        <w:spacing w:line="360" w:lineRule="auto"/>
      </w:pPr>
    </w:p>
    <w:p w:rsidR="00FE3941" w:rsidRDefault="00FE3941" w:rsidP="00FE3941">
      <w:pPr>
        <w:spacing w:line="360" w:lineRule="auto"/>
      </w:pPr>
      <w:r>
        <w:tab/>
      </w:r>
      <w:r>
        <w:tab/>
        <w:t>THEREFORE,</w:t>
      </w:r>
    </w:p>
    <w:p w:rsidR="00FE3941" w:rsidRDefault="00FE3941" w:rsidP="00FE3941">
      <w:pPr>
        <w:spacing w:line="360" w:lineRule="auto"/>
      </w:pPr>
    </w:p>
    <w:p w:rsidR="00FE3941" w:rsidRDefault="00FE3941" w:rsidP="00FE3941">
      <w:pPr>
        <w:spacing w:line="360" w:lineRule="auto"/>
      </w:pPr>
      <w:r>
        <w:tab/>
      </w:r>
      <w:r>
        <w:tab/>
        <w:t>IT IS ORDERED:</w:t>
      </w:r>
    </w:p>
    <w:p w:rsidR="00FE3941" w:rsidRDefault="00FE3941" w:rsidP="00FE3941">
      <w:pPr>
        <w:spacing w:line="360" w:lineRule="auto"/>
      </w:pPr>
    </w:p>
    <w:p w:rsidR="00E161F0" w:rsidRDefault="00FE3941" w:rsidP="00FE3941">
      <w:pPr>
        <w:spacing w:line="360" w:lineRule="auto"/>
      </w:pPr>
      <w:r>
        <w:tab/>
      </w:r>
      <w:r>
        <w:tab/>
        <w:t xml:space="preserve">That the complaint of John E. Green against PPL Electric Utilities Corporation at Docket No. </w:t>
      </w:r>
      <w:r w:rsidR="00E161F0">
        <w:t>C-2011-2237672 is hereby denied.</w:t>
      </w:r>
    </w:p>
    <w:p w:rsidR="00E161F0" w:rsidRDefault="00E161F0" w:rsidP="00FE3941">
      <w:pPr>
        <w:spacing w:line="360" w:lineRule="auto"/>
      </w:pPr>
    </w:p>
    <w:p w:rsidR="00E161F0" w:rsidRDefault="00E161F0" w:rsidP="00FE3941">
      <w:pPr>
        <w:spacing w:line="360" w:lineRule="auto"/>
      </w:pPr>
    </w:p>
    <w:p w:rsidR="00E161F0" w:rsidRDefault="00E161F0" w:rsidP="00E161F0">
      <w:r>
        <w:t xml:space="preserve">Date: </w:t>
      </w:r>
      <w:r>
        <w:rPr>
          <w:u w:val="single"/>
        </w:rPr>
        <w:t>January 30, 2012</w:t>
      </w:r>
      <w:r>
        <w:tab/>
      </w:r>
      <w:r>
        <w:tab/>
      </w:r>
      <w:r>
        <w:tab/>
      </w:r>
      <w:r>
        <w:tab/>
      </w:r>
      <w:r>
        <w:rPr>
          <w:u w:val="single"/>
        </w:rPr>
        <w:tab/>
      </w:r>
      <w:r>
        <w:rPr>
          <w:u w:val="single"/>
        </w:rPr>
        <w:tab/>
      </w:r>
      <w:r>
        <w:rPr>
          <w:u w:val="single"/>
        </w:rPr>
        <w:tab/>
      </w:r>
      <w:r>
        <w:rPr>
          <w:u w:val="single"/>
        </w:rPr>
        <w:tab/>
      </w:r>
      <w:r>
        <w:rPr>
          <w:u w:val="single"/>
        </w:rPr>
        <w:tab/>
      </w:r>
      <w:r>
        <w:rPr>
          <w:u w:val="single"/>
        </w:rPr>
        <w:tab/>
      </w:r>
    </w:p>
    <w:p w:rsidR="00E161F0" w:rsidRDefault="00E161F0" w:rsidP="00E161F0">
      <w:r>
        <w:tab/>
      </w:r>
      <w:r>
        <w:tab/>
      </w:r>
      <w:r>
        <w:tab/>
      </w:r>
      <w:r>
        <w:tab/>
      </w:r>
      <w:r>
        <w:tab/>
      </w:r>
      <w:r>
        <w:tab/>
      </w:r>
      <w:r>
        <w:tab/>
        <w:t>John H. Corbett, Jr.</w:t>
      </w:r>
    </w:p>
    <w:p w:rsidR="00E161F0" w:rsidRDefault="00E161F0" w:rsidP="00E161F0">
      <w:r>
        <w:tab/>
      </w:r>
      <w:r>
        <w:tab/>
      </w:r>
      <w:r>
        <w:tab/>
      </w:r>
      <w:r>
        <w:tab/>
      </w:r>
      <w:r>
        <w:tab/>
      </w:r>
      <w:r>
        <w:tab/>
      </w:r>
      <w:r>
        <w:tab/>
        <w:t>Administrative Law Judge</w:t>
      </w:r>
    </w:p>
    <w:p w:rsidR="00E161F0" w:rsidRPr="00E161F0" w:rsidRDefault="00E161F0" w:rsidP="00E161F0"/>
    <w:sectPr w:rsidR="00E161F0" w:rsidRPr="00E161F0" w:rsidSect="008A53F1">
      <w:footerReference w:type="default" r:id="rId8"/>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39" w:rsidRDefault="00236D39" w:rsidP="00117C70">
      <w:r>
        <w:separator/>
      </w:r>
    </w:p>
  </w:endnote>
  <w:endnote w:type="continuationSeparator" w:id="0">
    <w:p w:rsidR="00236D39" w:rsidRDefault="00236D39" w:rsidP="0011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666103"/>
      <w:docPartObj>
        <w:docPartGallery w:val="Page Numbers (Bottom of Page)"/>
        <w:docPartUnique/>
      </w:docPartObj>
    </w:sdtPr>
    <w:sdtEndPr>
      <w:rPr>
        <w:noProof/>
      </w:rPr>
    </w:sdtEndPr>
    <w:sdtContent>
      <w:p w:rsidR="00117C70" w:rsidRDefault="00117C70">
        <w:pPr>
          <w:pStyle w:val="Footer"/>
          <w:jc w:val="center"/>
        </w:pPr>
        <w:r>
          <w:fldChar w:fldCharType="begin"/>
        </w:r>
        <w:r>
          <w:instrText xml:space="preserve"> PAGE   \* MERGEFORMAT </w:instrText>
        </w:r>
        <w:r>
          <w:fldChar w:fldCharType="separate"/>
        </w:r>
        <w:r w:rsidR="00A06024">
          <w:rPr>
            <w:noProof/>
          </w:rPr>
          <w:t>7</w:t>
        </w:r>
        <w:r>
          <w:rPr>
            <w:noProof/>
          </w:rPr>
          <w:fldChar w:fldCharType="end"/>
        </w:r>
      </w:p>
    </w:sdtContent>
  </w:sdt>
  <w:p w:rsidR="00117C70" w:rsidRDefault="00117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39" w:rsidRDefault="00236D39" w:rsidP="00117C70">
      <w:r>
        <w:separator/>
      </w:r>
    </w:p>
  </w:footnote>
  <w:footnote w:type="continuationSeparator" w:id="0">
    <w:p w:rsidR="00236D39" w:rsidRDefault="00236D39" w:rsidP="00117C70">
      <w:r>
        <w:continuationSeparator/>
      </w:r>
    </w:p>
  </w:footnote>
  <w:footnote w:id="1">
    <w:p w:rsidR="00356D3C" w:rsidRDefault="00356D3C" w:rsidP="00356D3C">
      <w:pPr>
        <w:pStyle w:val="FootnoteText"/>
        <w:ind w:firstLine="720"/>
      </w:pPr>
      <w:r>
        <w:rPr>
          <w:rStyle w:val="FootnoteReference"/>
        </w:rPr>
        <w:footnoteRef/>
      </w:r>
      <w:r>
        <w:t xml:space="preserve"> </w:t>
      </w:r>
      <w:r>
        <w:tab/>
        <w:t xml:space="preserve">In this case, </w:t>
      </w:r>
      <w:r w:rsidRPr="00356D3C">
        <w:t xml:space="preserve">Respondent pulled Complainant’s electric meter on April 28, 2011 and tested it on May 4, 2011, finding that it was on average 100% accurate (N.T. 34-35; PPL </w:t>
      </w:r>
      <w:proofErr w:type="spellStart"/>
      <w:r w:rsidRPr="00356D3C">
        <w:t>Exh</w:t>
      </w:r>
      <w:proofErr w:type="spellEnd"/>
      <w:r w:rsidRPr="00356D3C">
        <w:t>.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7C88"/>
    <w:multiLevelType w:val="hybridMultilevel"/>
    <w:tmpl w:val="79460668"/>
    <w:lvl w:ilvl="0" w:tplc="B8EE2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7445F"/>
    <w:multiLevelType w:val="hybridMultilevel"/>
    <w:tmpl w:val="A78C1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0697ED3-5337-4A97-922B-811DE8E8B64F}"/>
    <w:docVar w:name="dgnword-eventsink" w:val="98596336"/>
  </w:docVars>
  <w:rsids>
    <w:rsidRoot w:val="004D6955"/>
    <w:rsid w:val="00002E71"/>
    <w:rsid w:val="0000610B"/>
    <w:rsid w:val="0001444C"/>
    <w:rsid w:val="000158F5"/>
    <w:rsid w:val="00015C87"/>
    <w:rsid w:val="000200B5"/>
    <w:rsid w:val="00022031"/>
    <w:rsid w:val="00022664"/>
    <w:rsid w:val="00024AA5"/>
    <w:rsid w:val="00027171"/>
    <w:rsid w:val="00027E4C"/>
    <w:rsid w:val="0003505B"/>
    <w:rsid w:val="00035D88"/>
    <w:rsid w:val="000404B5"/>
    <w:rsid w:val="00041450"/>
    <w:rsid w:val="00041943"/>
    <w:rsid w:val="00042860"/>
    <w:rsid w:val="00044944"/>
    <w:rsid w:val="0004591A"/>
    <w:rsid w:val="00047F6E"/>
    <w:rsid w:val="0005471E"/>
    <w:rsid w:val="00056339"/>
    <w:rsid w:val="00063896"/>
    <w:rsid w:val="0006400E"/>
    <w:rsid w:val="0006554F"/>
    <w:rsid w:val="00067C8F"/>
    <w:rsid w:val="00070D98"/>
    <w:rsid w:val="000716B7"/>
    <w:rsid w:val="000767FF"/>
    <w:rsid w:val="0008135A"/>
    <w:rsid w:val="0008257A"/>
    <w:rsid w:val="00085610"/>
    <w:rsid w:val="00087CC5"/>
    <w:rsid w:val="0009005C"/>
    <w:rsid w:val="000921BC"/>
    <w:rsid w:val="00095B50"/>
    <w:rsid w:val="00096F74"/>
    <w:rsid w:val="000A0A7F"/>
    <w:rsid w:val="000A510C"/>
    <w:rsid w:val="000A7EFE"/>
    <w:rsid w:val="000B3598"/>
    <w:rsid w:val="000B53F0"/>
    <w:rsid w:val="000B629F"/>
    <w:rsid w:val="000B6D95"/>
    <w:rsid w:val="000C1A6B"/>
    <w:rsid w:val="000C269C"/>
    <w:rsid w:val="000C5510"/>
    <w:rsid w:val="000C6BC8"/>
    <w:rsid w:val="000C71B2"/>
    <w:rsid w:val="000C76C7"/>
    <w:rsid w:val="000D0A51"/>
    <w:rsid w:val="000D1336"/>
    <w:rsid w:val="000D715A"/>
    <w:rsid w:val="000D7906"/>
    <w:rsid w:val="000E0C64"/>
    <w:rsid w:val="000E1700"/>
    <w:rsid w:val="000E4E82"/>
    <w:rsid w:val="000E6C36"/>
    <w:rsid w:val="000F0CB0"/>
    <w:rsid w:val="000F1E2C"/>
    <w:rsid w:val="000F22AD"/>
    <w:rsid w:val="000F331D"/>
    <w:rsid w:val="000F4D87"/>
    <w:rsid w:val="000F6BCB"/>
    <w:rsid w:val="000F7CF7"/>
    <w:rsid w:val="0010180F"/>
    <w:rsid w:val="00105690"/>
    <w:rsid w:val="001059C3"/>
    <w:rsid w:val="001079C3"/>
    <w:rsid w:val="0011082D"/>
    <w:rsid w:val="00114A5C"/>
    <w:rsid w:val="00114D69"/>
    <w:rsid w:val="001163B8"/>
    <w:rsid w:val="00117158"/>
    <w:rsid w:val="00117289"/>
    <w:rsid w:val="00117C70"/>
    <w:rsid w:val="0012337D"/>
    <w:rsid w:val="00126555"/>
    <w:rsid w:val="001273A7"/>
    <w:rsid w:val="0013358A"/>
    <w:rsid w:val="001336B2"/>
    <w:rsid w:val="00133CDC"/>
    <w:rsid w:val="0013746C"/>
    <w:rsid w:val="00140ED5"/>
    <w:rsid w:val="001422C9"/>
    <w:rsid w:val="0014695E"/>
    <w:rsid w:val="00147A1C"/>
    <w:rsid w:val="00150F38"/>
    <w:rsid w:val="00151828"/>
    <w:rsid w:val="00152DD8"/>
    <w:rsid w:val="001534FA"/>
    <w:rsid w:val="00153BB2"/>
    <w:rsid w:val="001551FE"/>
    <w:rsid w:val="00155E3F"/>
    <w:rsid w:val="001563C5"/>
    <w:rsid w:val="00157F7C"/>
    <w:rsid w:val="00163667"/>
    <w:rsid w:val="0016714D"/>
    <w:rsid w:val="00171BA7"/>
    <w:rsid w:val="00177B41"/>
    <w:rsid w:val="00177C22"/>
    <w:rsid w:val="0018502A"/>
    <w:rsid w:val="00186713"/>
    <w:rsid w:val="00190B52"/>
    <w:rsid w:val="00192F81"/>
    <w:rsid w:val="00194EDA"/>
    <w:rsid w:val="00197214"/>
    <w:rsid w:val="00197FE7"/>
    <w:rsid w:val="001A3F09"/>
    <w:rsid w:val="001A517C"/>
    <w:rsid w:val="001A6616"/>
    <w:rsid w:val="001B1283"/>
    <w:rsid w:val="001B37F9"/>
    <w:rsid w:val="001B389A"/>
    <w:rsid w:val="001B6147"/>
    <w:rsid w:val="001B669F"/>
    <w:rsid w:val="001B6767"/>
    <w:rsid w:val="001B6EF6"/>
    <w:rsid w:val="001B7B44"/>
    <w:rsid w:val="001C16F1"/>
    <w:rsid w:val="001C1DA4"/>
    <w:rsid w:val="001D0B3C"/>
    <w:rsid w:val="001D4EAA"/>
    <w:rsid w:val="001E13F6"/>
    <w:rsid w:val="001E2021"/>
    <w:rsid w:val="001E4606"/>
    <w:rsid w:val="001E480F"/>
    <w:rsid w:val="001E49BB"/>
    <w:rsid w:val="001E6948"/>
    <w:rsid w:val="001E6AC2"/>
    <w:rsid w:val="001E7A10"/>
    <w:rsid w:val="001F1F9D"/>
    <w:rsid w:val="001F1FC5"/>
    <w:rsid w:val="001F5E84"/>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6D39"/>
    <w:rsid w:val="00237F95"/>
    <w:rsid w:val="002432B5"/>
    <w:rsid w:val="00244DC3"/>
    <w:rsid w:val="00246D74"/>
    <w:rsid w:val="00254AC4"/>
    <w:rsid w:val="0025505D"/>
    <w:rsid w:val="002551C7"/>
    <w:rsid w:val="0025568C"/>
    <w:rsid w:val="0025624A"/>
    <w:rsid w:val="00256602"/>
    <w:rsid w:val="002569D2"/>
    <w:rsid w:val="00256F15"/>
    <w:rsid w:val="00264827"/>
    <w:rsid w:val="002659C1"/>
    <w:rsid w:val="00265F08"/>
    <w:rsid w:val="00266EEA"/>
    <w:rsid w:val="002705F3"/>
    <w:rsid w:val="002715D6"/>
    <w:rsid w:val="00273113"/>
    <w:rsid w:val="002738CE"/>
    <w:rsid w:val="00273CD5"/>
    <w:rsid w:val="00274AEB"/>
    <w:rsid w:val="0028196A"/>
    <w:rsid w:val="00282E72"/>
    <w:rsid w:val="00286013"/>
    <w:rsid w:val="00286E18"/>
    <w:rsid w:val="00292413"/>
    <w:rsid w:val="00292C52"/>
    <w:rsid w:val="0029312D"/>
    <w:rsid w:val="00297007"/>
    <w:rsid w:val="002A08AE"/>
    <w:rsid w:val="002A0C6D"/>
    <w:rsid w:val="002A5634"/>
    <w:rsid w:val="002B080D"/>
    <w:rsid w:val="002B43C8"/>
    <w:rsid w:val="002B693E"/>
    <w:rsid w:val="002C0A83"/>
    <w:rsid w:val="002C5195"/>
    <w:rsid w:val="002C6736"/>
    <w:rsid w:val="002D15FF"/>
    <w:rsid w:val="002D3212"/>
    <w:rsid w:val="002D46AD"/>
    <w:rsid w:val="002D50E8"/>
    <w:rsid w:val="002D5902"/>
    <w:rsid w:val="002E414F"/>
    <w:rsid w:val="002E62AE"/>
    <w:rsid w:val="002E7B4F"/>
    <w:rsid w:val="002E7CBD"/>
    <w:rsid w:val="002F0988"/>
    <w:rsid w:val="002F0CDC"/>
    <w:rsid w:val="002F58C1"/>
    <w:rsid w:val="003009B5"/>
    <w:rsid w:val="00303C1E"/>
    <w:rsid w:val="003065A6"/>
    <w:rsid w:val="003105EB"/>
    <w:rsid w:val="00313224"/>
    <w:rsid w:val="00314634"/>
    <w:rsid w:val="0031504C"/>
    <w:rsid w:val="00320C3C"/>
    <w:rsid w:val="0032184B"/>
    <w:rsid w:val="00322AAB"/>
    <w:rsid w:val="00323CE9"/>
    <w:rsid w:val="0032536B"/>
    <w:rsid w:val="0032582D"/>
    <w:rsid w:val="003367D1"/>
    <w:rsid w:val="003413E4"/>
    <w:rsid w:val="00343DF7"/>
    <w:rsid w:val="00344BBD"/>
    <w:rsid w:val="00347D4D"/>
    <w:rsid w:val="00354367"/>
    <w:rsid w:val="003560A1"/>
    <w:rsid w:val="003567DC"/>
    <w:rsid w:val="00356D3C"/>
    <w:rsid w:val="0036055F"/>
    <w:rsid w:val="00363FC4"/>
    <w:rsid w:val="00364892"/>
    <w:rsid w:val="00372BCE"/>
    <w:rsid w:val="00375FC7"/>
    <w:rsid w:val="00376FD2"/>
    <w:rsid w:val="00377219"/>
    <w:rsid w:val="00383E9E"/>
    <w:rsid w:val="00386EC2"/>
    <w:rsid w:val="003914A1"/>
    <w:rsid w:val="003915CD"/>
    <w:rsid w:val="003928FD"/>
    <w:rsid w:val="0039306B"/>
    <w:rsid w:val="00393A51"/>
    <w:rsid w:val="003A51FD"/>
    <w:rsid w:val="003A5775"/>
    <w:rsid w:val="003A645A"/>
    <w:rsid w:val="003A7731"/>
    <w:rsid w:val="003B0F7E"/>
    <w:rsid w:val="003B5554"/>
    <w:rsid w:val="003C0F08"/>
    <w:rsid w:val="003C49C9"/>
    <w:rsid w:val="003C4FBC"/>
    <w:rsid w:val="003D00C1"/>
    <w:rsid w:val="003D15D0"/>
    <w:rsid w:val="003D29B4"/>
    <w:rsid w:val="003D38F7"/>
    <w:rsid w:val="003D3EE2"/>
    <w:rsid w:val="003D42D0"/>
    <w:rsid w:val="003D5AB0"/>
    <w:rsid w:val="003D6669"/>
    <w:rsid w:val="003D6830"/>
    <w:rsid w:val="003E4258"/>
    <w:rsid w:val="003E5628"/>
    <w:rsid w:val="003E5D1E"/>
    <w:rsid w:val="003F100E"/>
    <w:rsid w:val="003F347A"/>
    <w:rsid w:val="003F69AF"/>
    <w:rsid w:val="003F69C5"/>
    <w:rsid w:val="0040464B"/>
    <w:rsid w:val="00405757"/>
    <w:rsid w:val="00407E2D"/>
    <w:rsid w:val="00415484"/>
    <w:rsid w:val="0041758B"/>
    <w:rsid w:val="00417A48"/>
    <w:rsid w:val="00417FB9"/>
    <w:rsid w:val="004255AD"/>
    <w:rsid w:val="00425F5E"/>
    <w:rsid w:val="00427446"/>
    <w:rsid w:val="00427731"/>
    <w:rsid w:val="00431ED9"/>
    <w:rsid w:val="0043213F"/>
    <w:rsid w:val="00433EFA"/>
    <w:rsid w:val="004345F2"/>
    <w:rsid w:val="00434DC9"/>
    <w:rsid w:val="00441E8C"/>
    <w:rsid w:val="00443FC3"/>
    <w:rsid w:val="00444F84"/>
    <w:rsid w:val="00447594"/>
    <w:rsid w:val="00447DAD"/>
    <w:rsid w:val="00451BB3"/>
    <w:rsid w:val="004541DC"/>
    <w:rsid w:val="00456B68"/>
    <w:rsid w:val="004606F8"/>
    <w:rsid w:val="004610DD"/>
    <w:rsid w:val="00465CA9"/>
    <w:rsid w:val="00466EEB"/>
    <w:rsid w:val="004763CF"/>
    <w:rsid w:val="00476406"/>
    <w:rsid w:val="004801CF"/>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CC"/>
    <w:rsid w:val="004D0F86"/>
    <w:rsid w:val="004D17EE"/>
    <w:rsid w:val="004D1AF6"/>
    <w:rsid w:val="004D26B3"/>
    <w:rsid w:val="004D3CF4"/>
    <w:rsid w:val="004D4F40"/>
    <w:rsid w:val="004D532B"/>
    <w:rsid w:val="004D5571"/>
    <w:rsid w:val="004D6560"/>
    <w:rsid w:val="004D6955"/>
    <w:rsid w:val="004D6A84"/>
    <w:rsid w:val="004E1384"/>
    <w:rsid w:val="004E1A31"/>
    <w:rsid w:val="004E1AA7"/>
    <w:rsid w:val="004E2DEE"/>
    <w:rsid w:val="004E3130"/>
    <w:rsid w:val="004E3916"/>
    <w:rsid w:val="004E48B8"/>
    <w:rsid w:val="004E56E5"/>
    <w:rsid w:val="004F3674"/>
    <w:rsid w:val="004F52CA"/>
    <w:rsid w:val="00500E04"/>
    <w:rsid w:val="00501290"/>
    <w:rsid w:val="005013AB"/>
    <w:rsid w:val="00503B65"/>
    <w:rsid w:val="005055FD"/>
    <w:rsid w:val="005071E6"/>
    <w:rsid w:val="00510BCD"/>
    <w:rsid w:val="00513A0D"/>
    <w:rsid w:val="00513E78"/>
    <w:rsid w:val="00517998"/>
    <w:rsid w:val="00520505"/>
    <w:rsid w:val="00520B4D"/>
    <w:rsid w:val="00522F41"/>
    <w:rsid w:val="005235D3"/>
    <w:rsid w:val="005245B1"/>
    <w:rsid w:val="00526125"/>
    <w:rsid w:val="0052693F"/>
    <w:rsid w:val="005319D7"/>
    <w:rsid w:val="00544B49"/>
    <w:rsid w:val="005463A9"/>
    <w:rsid w:val="00546F57"/>
    <w:rsid w:val="005474D6"/>
    <w:rsid w:val="0055234E"/>
    <w:rsid w:val="00553A47"/>
    <w:rsid w:val="00562BF1"/>
    <w:rsid w:val="0056301D"/>
    <w:rsid w:val="0057174D"/>
    <w:rsid w:val="00572C3B"/>
    <w:rsid w:val="005756A2"/>
    <w:rsid w:val="005756F9"/>
    <w:rsid w:val="00575B38"/>
    <w:rsid w:val="00576844"/>
    <w:rsid w:val="005773BD"/>
    <w:rsid w:val="00580C5C"/>
    <w:rsid w:val="0058134C"/>
    <w:rsid w:val="00581E78"/>
    <w:rsid w:val="0058593F"/>
    <w:rsid w:val="00590615"/>
    <w:rsid w:val="005945F6"/>
    <w:rsid w:val="00595C07"/>
    <w:rsid w:val="005963C4"/>
    <w:rsid w:val="005A127F"/>
    <w:rsid w:val="005A2801"/>
    <w:rsid w:val="005A560D"/>
    <w:rsid w:val="005B0099"/>
    <w:rsid w:val="005B04D0"/>
    <w:rsid w:val="005B4EAA"/>
    <w:rsid w:val="005B54E6"/>
    <w:rsid w:val="005B7AAB"/>
    <w:rsid w:val="005C5138"/>
    <w:rsid w:val="005C5ED9"/>
    <w:rsid w:val="005C60EE"/>
    <w:rsid w:val="005C6FAE"/>
    <w:rsid w:val="005D141F"/>
    <w:rsid w:val="005D45C9"/>
    <w:rsid w:val="005D5EE7"/>
    <w:rsid w:val="005E3C0F"/>
    <w:rsid w:val="005E45BD"/>
    <w:rsid w:val="005E6C7E"/>
    <w:rsid w:val="005F4331"/>
    <w:rsid w:val="005F4AA1"/>
    <w:rsid w:val="00600781"/>
    <w:rsid w:val="0060255E"/>
    <w:rsid w:val="00603FCF"/>
    <w:rsid w:val="00605A5C"/>
    <w:rsid w:val="00611B45"/>
    <w:rsid w:val="00613DA8"/>
    <w:rsid w:val="00614058"/>
    <w:rsid w:val="00614B07"/>
    <w:rsid w:val="006168E8"/>
    <w:rsid w:val="00616EF1"/>
    <w:rsid w:val="0062040F"/>
    <w:rsid w:val="00622936"/>
    <w:rsid w:val="0062391C"/>
    <w:rsid w:val="00631809"/>
    <w:rsid w:val="00631CED"/>
    <w:rsid w:val="006352C1"/>
    <w:rsid w:val="00635E6D"/>
    <w:rsid w:val="00636172"/>
    <w:rsid w:val="0064016B"/>
    <w:rsid w:val="006503D8"/>
    <w:rsid w:val="00651BF9"/>
    <w:rsid w:val="006532EA"/>
    <w:rsid w:val="00653737"/>
    <w:rsid w:val="0065509C"/>
    <w:rsid w:val="00655A67"/>
    <w:rsid w:val="0065674E"/>
    <w:rsid w:val="00657F07"/>
    <w:rsid w:val="00661B4E"/>
    <w:rsid w:val="00662C19"/>
    <w:rsid w:val="006646A6"/>
    <w:rsid w:val="0067080A"/>
    <w:rsid w:val="00670B1B"/>
    <w:rsid w:val="006729FF"/>
    <w:rsid w:val="006734EC"/>
    <w:rsid w:val="00675F41"/>
    <w:rsid w:val="00676400"/>
    <w:rsid w:val="00677E47"/>
    <w:rsid w:val="0068098C"/>
    <w:rsid w:val="00686666"/>
    <w:rsid w:val="00692D9A"/>
    <w:rsid w:val="00694B4C"/>
    <w:rsid w:val="006A1BB3"/>
    <w:rsid w:val="006A3C03"/>
    <w:rsid w:val="006A4740"/>
    <w:rsid w:val="006A6097"/>
    <w:rsid w:val="006A64F2"/>
    <w:rsid w:val="006B3C1B"/>
    <w:rsid w:val="006B3EFB"/>
    <w:rsid w:val="006B690F"/>
    <w:rsid w:val="006C0C3C"/>
    <w:rsid w:val="006C245B"/>
    <w:rsid w:val="006C3402"/>
    <w:rsid w:val="006C38BC"/>
    <w:rsid w:val="006C3AD5"/>
    <w:rsid w:val="006C5DA4"/>
    <w:rsid w:val="006C6F08"/>
    <w:rsid w:val="006C7836"/>
    <w:rsid w:val="006D370E"/>
    <w:rsid w:val="006D3B1F"/>
    <w:rsid w:val="006D491B"/>
    <w:rsid w:val="006D4B7E"/>
    <w:rsid w:val="006D4E8D"/>
    <w:rsid w:val="006D51A2"/>
    <w:rsid w:val="006E1DF2"/>
    <w:rsid w:val="006E57E8"/>
    <w:rsid w:val="006F08AE"/>
    <w:rsid w:val="006F2ACE"/>
    <w:rsid w:val="007000FB"/>
    <w:rsid w:val="007008E0"/>
    <w:rsid w:val="0070189A"/>
    <w:rsid w:val="00705235"/>
    <w:rsid w:val="007107AD"/>
    <w:rsid w:val="00724A27"/>
    <w:rsid w:val="007342EA"/>
    <w:rsid w:val="00735001"/>
    <w:rsid w:val="007354F0"/>
    <w:rsid w:val="00742C25"/>
    <w:rsid w:val="00743300"/>
    <w:rsid w:val="00745364"/>
    <w:rsid w:val="00747A6F"/>
    <w:rsid w:val="007520AB"/>
    <w:rsid w:val="00752308"/>
    <w:rsid w:val="00752B0E"/>
    <w:rsid w:val="00756B4F"/>
    <w:rsid w:val="007575D6"/>
    <w:rsid w:val="00763043"/>
    <w:rsid w:val="00766C21"/>
    <w:rsid w:val="0077010C"/>
    <w:rsid w:val="00770452"/>
    <w:rsid w:val="00781BAD"/>
    <w:rsid w:val="00782831"/>
    <w:rsid w:val="007854CF"/>
    <w:rsid w:val="00787B82"/>
    <w:rsid w:val="007900D4"/>
    <w:rsid w:val="00796F08"/>
    <w:rsid w:val="007A0FA3"/>
    <w:rsid w:val="007A1A4C"/>
    <w:rsid w:val="007A3609"/>
    <w:rsid w:val="007A4181"/>
    <w:rsid w:val="007A46A0"/>
    <w:rsid w:val="007A7CF3"/>
    <w:rsid w:val="007A7EA7"/>
    <w:rsid w:val="007B21DD"/>
    <w:rsid w:val="007B430A"/>
    <w:rsid w:val="007B5630"/>
    <w:rsid w:val="007C0BAC"/>
    <w:rsid w:val="007C4B5A"/>
    <w:rsid w:val="007C679F"/>
    <w:rsid w:val="007D2137"/>
    <w:rsid w:val="007D6606"/>
    <w:rsid w:val="007D67D1"/>
    <w:rsid w:val="007D682B"/>
    <w:rsid w:val="007E2A88"/>
    <w:rsid w:val="007E5C59"/>
    <w:rsid w:val="007E6CAF"/>
    <w:rsid w:val="007E73C3"/>
    <w:rsid w:val="007F378A"/>
    <w:rsid w:val="008046A7"/>
    <w:rsid w:val="00805E1E"/>
    <w:rsid w:val="0080763A"/>
    <w:rsid w:val="008101A5"/>
    <w:rsid w:val="0082072C"/>
    <w:rsid w:val="008211B6"/>
    <w:rsid w:val="008215F2"/>
    <w:rsid w:val="0082561C"/>
    <w:rsid w:val="00826247"/>
    <w:rsid w:val="00831A19"/>
    <w:rsid w:val="00831EDA"/>
    <w:rsid w:val="008363BD"/>
    <w:rsid w:val="00836A1D"/>
    <w:rsid w:val="00837349"/>
    <w:rsid w:val="008433EA"/>
    <w:rsid w:val="00844572"/>
    <w:rsid w:val="008461EA"/>
    <w:rsid w:val="00847619"/>
    <w:rsid w:val="008527AF"/>
    <w:rsid w:val="00853982"/>
    <w:rsid w:val="00854310"/>
    <w:rsid w:val="0085796E"/>
    <w:rsid w:val="00860CE9"/>
    <w:rsid w:val="00870493"/>
    <w:rsid w:val="008733F2"/>
    <w:rsid w:val="008739F3"/>
    <w:rsid w:val="00875888"/>
    <w:rsid w:val="00877335"/>
    <w:rsid w:val="00881A7C"/>
    <w:rsid w:val="00884320"/>
    <w:rsid w:val="00885412"/>
    <w:rsid w:val="0089092B"/>
    <w:rsid w:val="00890FD6"/>
    <w:rsid w:val="0089104A"/>
    <w:rsid w:val="00891D27"/>
    <w:rsid w:val="00895B38"/>
    <w:rsid w:val="008979D0"/>
    <w:rsid w:val="008A3128"/>
    <w:rsid w:val="008A53F1"/>
    <w:rsid w:val="008B629C"/>
    <w:rsid w:val="008B6C4F"/>
    <w:rsid w:val="008C0A8C"/>
    <w:rsid w:val="008C1CCC"/>
    <w:rsid w:val="008C4B08"/>
    <w:rsid w:val="008C4DAE"/>
    <w:rsid w:val="008C6C90"/>
    <w:rsid w:val="008C6CD3"/>
    <w:rsid w:val="008D25CC"/>
    <w:rsid w:val="008D34DA"/>
    <w:rsid w:val="008D3E8B"/>
    <w:rsid w:val="008D409A"/>
    <w:rsid w:val="008D70A6"/>
    <w:rsid w:val="008E121E"/>
    <w:rsid w:val="008E31F7"/>
    <w:rsid w:val="008F6929"/>
    <w:rsid w:val="00904091"/>
    <w:rsid w:val="009044B7"/>
    <w:rsid w:val="00906E26"/>
    <w:rsid w:val="00912360"/>
    <w:rsid w:val="00914472"/>
    <w:rsid w:val="00917AE9"/>
    <w:rsid w:val="0092041D"/>
    <w:rsid w:val="00921DA9"/>
    <w:rsid w:val="00922734"/>
    <w:rsid w:val="00923457"/>
    <w:rsid w:val="009262AC"/>
    <w:rsid w:val="0093663B"/>
    <w:rsid w:val="0094137F"/>
    <w:rsid w:val="00941BFF"/>
    <w:rsid w:val="00941E0A"/>
    <w:rsid w:val="00942B3C"/>
    <w:rsid w:val="00945A38"/>
    <w:rsid w:val="00950A70"/>
    <w:rsid w:val="00951681"/>
    <w:rsid w:val="00951BC4"/>
    <w:rsid w:val="009538F8"/>
    <w:rsid w:val="009603C9"/>
    <w:rsid w:val="00960B87"/>
    <w:rsid w:val="00962AAD"/>
    <w:rsid w:val="009635AB"/>
    <w:rsid w:val="00964ECF"/>
    <w:rsid w:val="00971A09"/>
    <w:rsid w:val="00971E0A"/>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D1A"/>
    <w:rsid w:val="009B3268"/>
    <w:rsid w:val="009B5FBB"/>
    <w:rsid w:val="009B64C4"/>
    <w:rsid w:val="009D0659"/>
    <w:rsid w:val="009D119A"/>
    <w:rsid w:val="009D4764"/>
    <w:rsid w:val="009E047A"/>
    <w:rsid w:val="009E0743"/>
    <w:rsid w:val="009E0762"/>
    <w:rsid w:val="009E0D5F"/>
    <w:rsid w:val="009E16BB"/>
    <w:rsid w:val="009E3575"/>
    <w:rsid w:val="009E3DB9"/>
    <w:rsid w:val="009E558C"/>
    <w:rsid w:val="009E6878"/>
    <w:rsid w:val="009F0498"/>
    <w:rsid w:val="009F07ED"/>
    <w:rsid w:val="009F17FE"/>
    <w:rsid w:val="009F18DD"/>
    <w:rsid w:val="009F34A1"/>
    <w:rsid w:val="009F4221"/>
    <w:rsid w:val="009F4617"/>
    <w:rsid w:val="009F47A7"/>
    <w:rsid w:val="009F5718"/>
    <w:rsid w:val="009F61DA"/>
    <w:rsid w:val="009F707B"/>
    <w:rsid w:val="009F7990"/>
    <w:rsid w:val="009F7A6D"/>
    <w:rsid w:val="00A009D4"/>
    <w:rsid w:val="00A0320E"/>
    <w:rsid w:val="00A06024"/>
    <w:rsid w:val="00A06396"/>
    <w:rsid w:val="00A1188B"/>
    <w:rsid w:val="00A12944"/>
    <w:rsid w:val="00A14EFC"/>
    <w:rsid w:val="00A1691E"/>
    <w:rsid w:val="00A2029F"/>
    <w:rsid w:val="00A22BE0"/>
    <w:rsid w:val="00A22FF3"/>
    <w:rsid w:val="00A2365D"/>
    <w:rsid w:val="00A24980"/>
    <w:rsid w:val="00A24C4F"/>
    <w:rsid w:val="00A2719F"/>
    <w:rsid w:val="00A312B8"/>
    <w:rsid w:val="00A32C82"/>
    <w:rsid w:val="00A33A9C"/>
    <w:rsid w:val="00A3408C"/>
    <w:rsid w:val="00A35315"/>
    <w:rsid w:val="00A442C3"/>
    <w:rsid w:val="00A4684B"/>
    <w:rsid w:val="00A474D4"/>
    <w:rsid w:val="00A50F6C"/>
    <w:rsid w:val="00A5372D"/>
    <w:rsid w:val="00A6600B"/>
    <w:rsid w:val="00A66018"/>
    <w:rsid w:val="00A66558"/>
    <w:rsid w:val="00A7014D"/>
    <w:rsid w:val="00A71047"/>
    <w:rsid w:val="00A72D1A"/>
    <w:rsid w:val="00A751B8"/>
    <w:rsid w:val="00A835FF"/>
    <w:rsid w:val="00A83846"/>
    <w:rsid w:val="00A83E30"/>
    <w:rsid w:val="00A85EA9"/>
    <w:rsid w:val="00A916E8"/>
    <w:rsid w:val="00A92349"/>
    <w:rsid w:val="00A944BC"/>
    <w:rsid w:val="00AA1CCA"/>
    <w:rsid w:val="00AB0007"/>
    <w:rsid w:val="00AB07B5"/>
    <w:rsid w:val="00AB0B25"/>
    <w:rsid w:val="00AB6557"/>
    <w:rsid w:val="00AC0550"/>
    <w:rsid w:val="00AC11CD"/>
    <w:rsid w:val="00AC3607"/>
    <w:rsid w:val="00AC54FF"/>
    <w:rsid w:val="00AC7B96"/>
    <w:rsid w:val="00AD066A"/>
    <w:rsid w:val="00AD069F"/>
    <w:rsid w:val="00AD6C0F"/>
    <w:rsid w:val="00AE3450"/>
    <w:rsid w:val="00AE5055"/>
    <w:rsid w:val="00AE699D"/>
    <w:rsid w:val="00AF0886"/>
    <w:rsid w:val="00AF1477"/>
    <w:rsid w:val="00AF1CCE"/>
    <w:rsid w:val="00AF33FC"/>
    <w:rsid w:val="00AF4C7A"/>
    <w:rsid w:val="00AF5D5B"/>
    <w:rsid w:val="00AF6B9A"/>
    <w:rsid w:val="00B00AA3"/>
    <w:rsid w:val="00B026D9"/>
    <w:rsid w:val="00B05442"/>
    <w:rsid w:val="00B072ED"/>
    <w:rsid w:val="00B10BF4"/>
    <w:rsid w:val="00B1170E"/>
    <w:rsid w:val="00B11A62"/>
    <w:rsid w:val="00B14A97"/>
    <w:rsid w:val="00B15030"/>
    <w:rsid w:val="00B150FA"/>
    <w:rsid w:val="00B20D8C"/>
    <w:rsid w:val="00B20EE3"/>
    <w:rsid w:val="00B21B7C"/>
    <w:rsid w:val="00B22AC5"/>
    <w:rsid w:val="00B24C6D"/>
    <w:rsid w:val="00B273CB"/>
    <w:rsid w:val="00B274EC"/>
    <w:rsid w:val="00B323F0"/>
    <w:rsid w:val="00B34146"/>
    <w:rsid w:val="00B3465A"/>
    <w:rsid w:val="00B37E41"/>
    <w:rsid w:val="00B43E1A"/>
    <w:rsid w:val="00B47709"/>
    <w:rsid w:val="00B50794"/>
    <w:rsid w:val="00B51738"/>
    <w:rsid w:val="00B51E90"/>
    <w:rsid w:val="00B57380"/>
    <w:rsid w:val="00B67C1A"/>
    <w:rsid w:val="00B7271C"/>
    <w:rsid w:val="00B763C7"/>
    <w:rsid w:val="00B763FA"/>
    <w:rsid w:val="00B774A8"/>
    <w:rsid w:val="00B816DD"/>
    <w:rsid w:val="00B81A18"/>
    <w:rsid w:val="00B81D8F"/>
    <w:rsid w:val="00B82AC2"/>
    <w:rsid w:val="00B83C4A"/>
    <w:rsid w:val="00B91A4A"/>
    <w:rsid w:val="00B97B9F"/>
    <w:rsid w:val="00BA3333"/>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2F4A"/>
    <w:rsid w:val="00BF3093"/>
    <w:rsid w:val="00BF3C89"/>
    <w:rsid w:val="00C04531"/>
    <w:rsid w:val="00C04558"/>
    <w:rsid w:val="00C04EA1"/>
    <w:rsid w:val="00C068E8"/>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855"/>
    <w:rsid w:val="00C374CC"/>
    <w:rsid w:val="00C379FE"/>
    <w:rsid w:val="00C37CD0"/>
    <w:rsid w:val="00C43CFE"/>
    <w:rsid w:val="00C46557"/>
    <w:rsid w:val="00C46DC6"/>
    <w:rsid w:val="00C4789A"/>
    <w:rsid w:val="00C5077F"/>
    <w:rsid w:val="00C5093C"/>
    <w:rsid w:val="00C52731"/>
    <w:rsid w:val="00C54B2A"/>
    <w:rsid w:val="00C55401"/>
    <w:rsid w:val="00C60CCE"/>
    <w:rsid w:val="00C669E5"/>
    <w:rsid w:val="00C679CE"/>
    <w:rsid w:val="00C704C9"/>
    <w:rsid w:val="00C71914"/>
    <w:rsid w:val="00C7784C"/>
    <w:rsid w:val="00C77B0E"/>
    <w:rsid w:val="00C80F04"/>
    <w:rsid w:val="00C81090"/>
    <w:rsid w:val="00C81C16"/>
    <w:rsid w:val="00C86564"/>
    <w:rsid w:val="00C90531"/>
    <w:rsid w:val="00C93740"/>
    <w:rsid w:val="00CA06B1"/>
    <w:rsid w:val="00CA6B55"/>
    <w:rsid w:val="00CB75FF"/>
    <w:rsid w:val="00CB7B6B"/>
    <w:rsid w:val="00CC0060"/>
    <w:rsid w:val="00CC0909"/>
    <w:rsid w:val="00CC0BE8"/>
    <w:rsid w:val="00CC147D"/>
    <w:rsid w:val="00CC3E11"/>
    <w:rsid w:val="00CC6237"/>
    <w:rsid w:val="00CC6700"/>
    <w:rsid w:val="00CC6D89"/>
    <w:rsid w:val="00CC6F63"/>
    <w:rsid w:val="00CD20F8"/>
    <w:rsid w:val="00CD3316"/>
    <w:rsid w:val="00CD34E9"/>
    <w:rsid w:val="00CD3706"/>
    <w:rsid w:val="00CE116F"/>
    <w:rsid w:val="00CE1403"/>
    <w:rsid w:val="00CE2FD5"/>
    <w:rsid w:val="00CE5F25"/>
    <w:rsid w:val="00CF1A8C"/>
    <w:rsid w:val="00CF35E9"/>
    <w:rsid w:val="00CF43F2"/>
    <w:rsid w:val="00CF4B8D"/>
    <w:rsid w:val="00CF543F"/>
    <w:rsid w:val="00D000B0"/>
    <w:rsid w:val="00D009BA"/>
    <w:rsid w:val="00D02312"/>
    <w:rsid w:val="00D0622E"/>
    <w:rsid w:val="00D06CF4"/>
    <w:rsid w:val="00D1088E"/>
    <w:rsid w:val="00D12BD9"/>
    <w:rsid w:val="00D162BC"/>
    <w:rsid w:val="00D167BB"/>
    <w:rsid w:val="00D16D6E"/>
    <w:rsid w:val="00D205BA"/>
    <w:rsid w:val="00D22216"/>
    <w:rsid w:val="00D24377"/>
    <w:rsid w:val="00D243B4"/>
    <w:rsid w:val="00D25F59"/>
    <w:rsid w:val="00D266C2"/>
    <w:rsid w:val="00D3255C"/>
    <w:rsid w:val="00D3420E"/>
    <w:rsid w:val="00D3478E"/>
    <w:rsid w:val="00D356CF"/>
    <w:rsid w:val="00D4206A"/>
    <w:rsid w:val="00D4620B"/>
    <w:rsid w:val="00D50C61"/>
    <w:rsid w:val="00D5383C"/>
    <w:rsid w:val="00D5467C"/>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12D4"/>
    <w:rsid w:val="00DA40D4"/>
    <w:rsid w:val="00DA56F0"/>
    <w:rsid w:val="00DA5F0B"/>
    <w:rsid w:val="00DA7A60"/>
    <w:rsid w:val="00DB4818"/>
    <w:rsid w:val="00DB5F13"/>
    <w:rsid w:val="00DC5B32"/>
    <w:rsid w:val="00DD173D"/>
    <w:rsid w:val="00DD40C0"/>
    <w:rsid w:val="00DD7530"/>
    <w:rsid w:val="00DE2FEA"/>
    <w:rsid w:val="00DE4AC1"/>
    <w:rsid w:val="00DE5630"/>
    <w:rsid w:val="00DE5FF0"/>
    <w:rsid w:val="00DF0EC6"/>
    <w:rsid w:val="00DF26E7"/>
    <w:rsid w:val="00DF4B57"/>
    <w:rsid w:val="00DF54D3"/>
    <w:rsid w:val="00DF6DBF"/>
    <w:rsid w:val="00E02E3B"/>
    <w:rsid w:val="00E049A4"/>
    <w:rsid w:val="00E04D8F"/>
    <w:rsid w:val="00E072AC"/>
    <w:rsid w:val="00E078FD"/>
    <w:rsid w:val="00E11477"/>
    <w:rsid w:val="00E11B0F"/>
    <w:rsid w:val="00E125AF"/>
    <w:rsid w:val="00E13082"/>
    <w:rsid w:val="00E1342A"/>
    <w:rsid w:val="00E14388"/>
    <w:rsid w:val="00E161F0"/>
    <w:rsid w:val="00E1687C"/>
    <w:rsid w:val="00E2017C"/>
    <w:rsid w:val="00E2076C"/>
    <w:rsid w:val="00E21788"/>
    <w:rsid w:val="00E24114"/>
    <w:rsid w:val="00E242D3"/>
    <w:rsid w:val="00E24CA4"/>
    <w:rsid w:val="00E27A3B"/>
    <w:rsid w:val="00E322FF"/>
    <w:rsid w:val="00E32889"/>
    <w:rsid w:val="00E33AFF"/>
    <w:rsid w:val="00E36C6E"/>
    <w:rsid w:val="00E37E1C"/>
    <w:rsid w:val="00E37FA1"/>
    <w:rsid w:val="00E414F8"/>
    <w:rsid w:val="00E43A15"/>
    <w:rsid w:val="00E4472A"/>
    <w:rsid w:val="00E47077"/>
    <w:rsid w:val="00E51C4C"/>
    <w:rsid w:val="00E52101"/>
    <w:rsid w:val="00E52779"/>
    <w:rsid w:val="00E53C53"/>
    <w:rsid w:val="00E553D5"/>
    <w:rsid w:val="00E56ADF"/>
    <w:rsid w:val="00E626F1"/>
    <w:rsid w:val="00E641A6"/>
    <w:rsid w:val="00E65624"/>
    <w:rsid w:val="00E661C9"/>
    <w:rsid w:val="00E6714F"/>
    <w:rsid w:val="00E705D3"/>
    <w:rsid w:val="00E7317F"/>
    <w:rsid w:val="00E73276"/>
    <w:rsid w:val="00E737FA"/>
    <w:rsid w:val="00E76ACE"/>
    <w:rsid w:val="00E84012"/>
    <w:rsid w:val="00E861DA"/>
    <w:rsid w:val="00E86364"/>
    <w:rsid w:val="00E904E5"/>
    <w:rsid w:val="00E959E8"/>
    <w:rsid w:val="00E96A0E"/>
    <w:rsid w:val="00EA174A"/>
    <w:rsid w:val="00EA359A"/>
    <w:rsid w:val="00EA4441"/>
    <w:rsid w:val="00EA460D"/>
    <w:rsid w:val="00EA7897"/>
    <w:rsid w:val="00EB154E"/>
    <w:rsid w:val="00EB1B66"/>
    <w:rsid w:val="00EB208A"/>
    <w:rsid w:val="00EB2FB3"/>
    <w:rsid w:val="00EB4B99"/>
    <w:rsid w:val="00EB7E3D"/>
    <w:rsid w:val="00EC11E4"/>
    <w:rsid w:val="00EC1AE7"/>
    <w:rsid w:val="00EC439F"/>
    <w:rsid w:val="00EC7FD4"/>
    <w:rsid w:val="00ED1EC3"/>
    <w:rsid w:val="00ED21D4"/>
    <w:rsid w:val="00ED2F45"/>
    <w:rsid w:val="00ED4012"/>
    <w:rsid w:val="00ED55A2"/>
    <w:rsid w:val="00EE010A"/>
    <w:rsid w:val="00EF0A65"/>
    <w:rsid w:val="00EF12CB"/>
    <w:rsid w:val="00EF331C"/>
    <w:rsid w:val="00EF3332"/>
    <w:rsid w:val="00EF41AC"/>
    <w:rsid w:val="00EF4F0C"/>
    <w:rsid w:val="00F0033E"/>
    <w:rsid w:val="00F02A7A"/>
    <w:rsid w:val="00F03624"/>
    <w:rsid w:val="00F03CCA"/>
    <w:rsid w:val="00F06057"/>
    <w:rsid w:val="00F1172C"/>
    <w:rsid w:val="00F26B72"/>
    <w:rsid w:val="00F271A1"/>
    <w:rsid w:val="00F3014C"/>
    <w:rsid w:val="00F353CE"/>
    <w:rsid w:val="00F3651B"/>
    <w:rsid w:val="00F37163"/>
    <w:rsid w:val="00F429F9"/>
    <w:rsid w:val="00F435F1"/>
    <w:rsid w:val="00F45F9D"/>
    <w:rsid w:val="00F47958"/>
    <w:rsid w:val="00F51224"/>
    <w:rsid w:val="00F53E88"/>
    <w:rsid w:val="00F56248"/>
    <w:rsid w:val="00F56488"/>
    <w:rsid w:val="00F61397"/>
    <w:rsid w:val="00F61F43"/>
    <w:rsid w:val="00F65411"/>
    <w:rsid w:val="00F66425"/>
    <w:rsid w:val="00F66C87"/>
    <w:rsid w:val="00F710FC"/>
    <w:rsid w:val="00F7161F"/>
    <w:rsid w:val="00F73E58"/>
    <w:rsid w:val="00F7406E"/>
    <w:rsid w:val="00F74249"/>
    <w:rsid w:val="00F75473"/>
    <w:rsid w:val="00F838BA"/>
    <w:rsid w:val="00F839BB"/>
    <w:rsid w:val="00F84751"/>
    <w:rsid w:val="00F85075"/>
    <w:rsid w:val="00F85AD4"/>
    <w:rsid w:val="00F93E48"/>
    <w:rsid w:val="00F95D50"/>
    <w:rsid w:val="00F96AA9"/>
    <w:rsid w:val="00FA2073"/>
    <w:rsid w:val="00FA2A0D"/>
    <w:rsid w:val="00FA521B"/>
    <w:rsid w:val="00FA7E0A"/>
    <w:rsid w:val="00FB0B72"/>
    <w:rsid w:val="00FB0CB0"/>
    <w:rsid w:val="00FB1797"/>
    <w:rsid w:val="00FC53E7"/>
    <w:rsid w:val="00FC789F"/>
    <w:rsid w:val="00FD241B"/>
    <w:rsid w:val="00FD3AAB"/>
    <w:rsid w:val="00FD4B19"/>
    <w:rsid w:val="00FD6D4E"/>
    <w:rsid w:val="00FE0A6D"/>
    <w:rsid w:val="00FE2301"/>
    <w:rsid w:val="00FE251E"/>
    <w:rsid w:val="00FE2D9A"/>
    <w:rsid w:val="00FE3202"/>
    <w:rsid w:val="00FE33A9"/>
    <w:rsid w:val="00FE3941"/>
    <w:rsid w:val="00FE3976"/>
    <w:rsid w:val="00FE3C14"/>
    <w:rsid w:val="00FE4274"/>
    <w:rsid w:val="00FE5327"/>
    <w:rsid w:val="00FE6A03"/>
    <w:rsid w:val="00FE6FF7"/>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C70"/>
    <w:pPr>
      <w:ind w:left="720"/>
      <w:contextualSpacing/>
    </w:pPr>
  </w:style>
  <w:style w:type="paragraph" w:styleId="Header">
    <w:name w:val="header"/>
    <w:basedOn w:val="Normal"/>
    <w:link w:val="HeaderChar"/>
    <w:rsid w:val="00117C70"/>
    <w:pPr>
      <w:tabs>
        <w:tab w:val="center" w:pos="4680"/>
        <w:tab w:val="right" w:pos="9360"/>
      </w:tabs>
    </w:pPr>
  </w:style>
  <w:style w:type="character" w:customStyle="1" w:styleId="HeaderChar">
    <w:name w:val="Header Char"/>
    <w:basedOn w:val="DefaultParagraphFont"/>
    <w:link w:val="Header"/>
    <w:rsid w:val="00117C70"/>
    <w:rPr>
      <w:sz w:val="24"/>
      <w:szCs w:val="24"/>
    </w:rPr>
  </w:style>
  <w:style w:type="paragraph" w:styleId="Footer">
    <w:name w:val="footer"/>
    <w:basedOn w:val="Normal"/>
    <w:link w:val="FooterChar"/>
    <w:uiPriority w:val="99"/>
    <w:rsid w:val="00117C70"/>
    <w:pPr>
      <w:tabs>
        <w:tab w:val="center" w:pos="4680"/>
        <w:tab w:val="right" w:pos="9360"/>
      </w:tabs>
    </w:pPr>
  </w:style>
  <w:style w:type="character" w:customStyle="1" w:styleId="FooterChar">
    <w:name w:val="Footer Char"/>
    <w:basedOn w:val="DefaultParagraphFont"/>
    <w:link w:val="Footer"/>
    <w:uiPriority w:val="99"/>
    <w:rsid w:val="00117C70"/>
    <w:rPr>
      <w:sz w:val="24"/>
      <w:szCs w:val="24"/>
    </w:rPr>
  </w:style>
  <w:style w:type="paragraph" w:styleId="FootnoteText">
    <w:name w:val="footnote text"/>
    <w:basedOn w:val="Normal"/>
    <w:link w:val="FootnoteTextChar"/>
    <w:rsid w:val="00356D3C"/>
    <w:rPr>
      <w:sz w:val="20"/>
      <w:szCs w:val="20"/>
    </w:rPr>
  </w:style>
  <w:style w:type="character" w:customStyle="1" w:styleId="FootnoteTextChar">
    <w:name w:val="Footnote Text Char"/>
    <w:basedOn w:val="DefaultParagraphFont"/>
    <w:link w:val="FootnoteText"/>
    <w:rsid w:val="00356D3C"/>
  </w:style>
  <w:style w:type="character" w:styleId="FootnoteReference">
    <w:name w:val="footnote reference"/>
    <w:basedOn w:val="DefaultParagraphFont"/>
    <w:rsid w:val="00356D3C"/>
    <w:rPr>
      <w:vertAlign w:val="superscript"/>
    </w:rPr>
  </w:style>
  <w:style w:type="paragraph" w:styleId="BalloonText">
    <w:name w:val="Balloon Text"/>
    <w:basedOn w:val="Normal"/>
    <w:link w:val="BalloonTextChar"/>
    <w:rsid w:val="00E161F0"/>
    <w:rPr>
      <w:rFonts w:ascii="Tahoma" w:hAnsi="Tahoma"/>
      <w:sz w:val="16"/>
      <w:szCs w:val="16"/>
    </w:rPr>
  </w:style>
  <w:style w:type="character" w:customStyle="1" w:styleId="BalloonTextChar">
    <w:name w:val="Balloon Text Char"/>
    <w:basedOn w:val="DefaultParagraphFont"/>
    <w:link w:val="BalloonText"/>
    <w:rsid w:val="00E161F0"/>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C70"/>
    <w:pPr>
      <w:ind w:left="720"/>
      <w:contextualSpacing/>
    </w:pPr>
  </w:style>
  <w:style w:type="paragraph" w:styleId="Header">
    <w:name w:val="header"/>
    <w:basedOn w:val="Normal"/>
    <w:link w:val="HeaderChar"/>
    <w:rsid w:val="00117C70"/>
    <w:pPr>
      <w:tabs>
        <w:tab w:val="center" w:pos="4680"/>
        <w:tab w:val="right" w:pos="9360"/>
      </w:tabs>
    </w:pPr>
  </w:style>
  <w:style w:type="character" w:customStyle="1" w:styleId="HeaderChar">
    <w:name w:val="Header Char"/>
    <w:basedOn w:val="DefaultParagraphFont"/>
    <w:link w:val="Header"/>
    <w:rsid w:val="00117C70"/>
    <w:rPr>
      <w:sz w:val="24"/>
      <w:szCs w:val="24"/>
    </w:rPr>
  </w:style>
  <w:style w:type="paragraph" w:styleId="Footer">
    <w:name w:val="footer"/>
    <w:basedOn w:val="Normal"/>
    <w:link w:val="FooterChar"/>
    <w:uiPriority w:val="99"/>
    <w:rsid w:val="00117C70"/>
    <w:pPr>
      <w:tabs>
        <w:tab w:val="center" w:pos="4680"/>
        <w:tab w:val="right" w:pos="9360"/>
      </w:tabs>
    </w:pPr>
  </w:style>
  <w:style w:type="character" w:customStyle="1" w:styleId="FooterChar">
    <w:name w:val="Footer Char"/>
    <w:basedOn w:val="DefaultParagraphFont"/>
    <w:link w:val="Footer"/>
    <w:uiPriority w:val="99"/>
    <w:rsid w:val="00117C70"/>
    <w:rPr>
      <w:sz w:val="24"/>
      <w:szCs w:val="24"/>
    </w:rPr>
  </w:style>
  <w:style w:type="paragraph" w:styleId="FootnoteText">
    <w:name w:val="footnote text"/>
    <w:basedOn w:val="Normal"/>
    <w:link w:val="FootnoteTextChar"/>
    <w:rsid w:val="00356D3C"/>
    <w:rPr>
      <w:sz w:val="20"/>
      <w:szCs w:val="20"/>
    </w:rPr>
  </w:style>
  <w:style w:type="character" w:customStyle="1" w:styleId="FootnoteTextChar">
    <w:name w:val="Footnote Text Char"/>
    <w:basedOn w:val="DefaultParagraphFont"/>
    <w:link w:val="FootnoteText"/>
    <w:rsid w:val="00356D3C"/>
  </w:style>
  <w:style w:type="character" w:styleId="FootnoteReference">
    <w:name w:val="footnote reference"/>
    <w:basedOn w:val="DefaultParagraphFont"/>
    <w:rsid w:val="00356D3C"/>
    <w:rPr>
      <w:vertAlign w:val="superscript"/>
    </w:rPr>
  </w:style>
  <w:style w:type="paragraph" w:styleId="BalloonText">
    <w:name w:val="Balloon Text"/>
    <w:basedOn w:val="Normal"/>
    <w:link w:val="BalloonTextChar"/>
    <w:rsid w:val="00E161F0"/>
    <w:rPr>
      <w:rFonts w:ascii="Tahoma" w:hAnsi="Tahoma"/>
      <w:sz w:val="16"/>
      <w:szCs w:val="16"/>
    </w:rPr>
  </w:style>
  <w:style w:type="character" w:customStyle="1" w:styleId="BalloonTextChar">
    <w:name w:val="Balloon Text Char"/>
    <w:basedOn w:val="DefaultParagraphFont"/>
    <w:link w:val="BalloonText"/>
    <w:rsid w:val="00E161F0"/>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bfaccenda</cp:lastModifiedBy>
  <cp:revision>3</cp:revision>
  <cp:lastPrinted>2012-01-31T13:32:00Z</cp:lastPrinted>
  <dcterms:created xsi:type="dcterms:W3CDTF">2012-01-31T13:39:00Z</dcterms:created>
  <dcterms:modified xsi:type="dcterms:W3CDTF">2012-02-07T18:27:00Z</dcterms:modified>
</cp:coreProperties>
</file>