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EC8" w:rsidRPr="007B2E82" w:rsidRDefault="00ED3EC8" w:rsidP="007B2E82">
      <w:pPr>
        <w:jc w:val="center"/>
        <w:rPr>
          <w:b/>
          <w:sz w:val="24"/>
          <w:szCs w:val="24"/>
        </w:rPr>
      </w:pPr>
      <w:r w:rsidRPr="007B2E82">
        <w:rPr>
          <w:b/>
          <w:sz w:val="24"/>
          <w:szCs w:val="24"/>
        </w:rPr>
        <w:t>BEFORE THE</w:t>
      </w:r>
    </w:p>
    <w:p w:rsidR="00ED3EC8" w:rsidRPr="007B2E82" w:rsidRDefault="00ED3EC8" w:rsidP="007B2E82">
      <w:pPr>
        <w:jc w:val="center"/>
        <w:rPr>
          <w:b/>
          <w:sz w:val="24"/>
          <w:szCs w:val="24"/>
        </w:rPr>
      </w:pPr>
      <w:r w:rsidRPr="007B2E82">
        <w:rPr>
          <w:b/>
          <w:sz w:val="24"/>
          <w:szCs w:val="24"/>
        </w:rPr>
        <w:t>PENNSYLVANIA PUBLIC UTILITY COMMISSION</w:t>
      </w:r>
    </w:p>
    <w:p w:rsidR="00ED3EC8" w:rsidRDefault="00ED3EC8" w:rsidP="007B2E82">
      <w:pPr>
        <w:jc w:val="center"/>
        <w:rPr>
          <w:b/>
          <w:sz w:val="24"/>
          <w:szCs w:val="24"/>
        </w:rPr>
      </w:pPr>
    </w:p>
    <w:p w:rsidR="007B2E82" w:rsidRPr="007B2E82" w:rsidRDefault="007B2E82" w:rsidP="007B2E82">
      <w:pPr>
        <w:jc w:val="center"/>
        <w:rPr>
          <w:b/>
          <w:sz w:val="24"/>
          <w:szCs w:val="24"/>
        </w:rPr>
      </w:pPr>
    </w:p>
    <w:p w:rsidR="00ED3EC8" w:rsidRPr="007B2E82" w:rsidRDefault="00ED3EC8" w:rsidP="007B2E82">
      <w:pPr>
        <w:jc w:val="center"/>
        <w:rPr>
          <w:b/>
          <w:sz w:val="24"/>
          <w:szCs w:val="24"/>
        </w:rPr>
      </w:pPr>
    </w:p>
    <w:p w:rsidR="00ED3EC8" w:rsidRPr="007B2E82" w:rsidRDefault="00124A2A" w:rsidP="007B2E82">
      <w:pPr>
        <w:rPr>
          <w:sz w:val="24"/>
          <w:szCs w:val="24"/>
        </w:rPr>
      </w:pPr>
      <w:r w:rsidRPr="007B2E82">
        <w:rPr>
          <w:sz w:val="24"/>
          <w:szCs w:val="24"/>
        </w:rPr>
        <w:t>Paul and Loretta London</w:t>
      </w:r>
      <w:r w:rsidR="00900735" w:rsidRPr="007B2E82">
        <w:rPr>
          <w:sz w:val="24"/>
          <w:szCs w:val="24"/>
        </w:rPr>
        <w:tab/>
      </w:r>
      <w:r w:rsidR="00900735" w:rsidRPr="007B2E82">
        <w:rPr>
          <w:sz w:val="24"/>
          <w:szCs w:val="24"/>
        </w:rPr>
        <w:tab/>
      </w:r>
      <w:r w:rsidR="00ED3EC8" w:rsidRPr="007B2E82">
        <w:rPr>
          <w:sz w:val="24"/>
          <w:szCs w:val="24"/>
        </w:rPr>
        <w:tab/>
      </w:r>
      <w:r w:rsidR="005E13BA" w:rsidRPr="007B2E82">
        <w:rPr>
          <w:sz w:val="24"/>
          <w:szCs w:val="24"/>
        </w:rPr>
        <w:tab/>
      </w:r>
      <w:r w:rsidR="00ED3EC8" w:rsidRPr="007B2E82">
        <w:rPr>
          <w:sz w:val="24"/>
          <w:szCs w:val="24"/>
        </w:rPr>
        <w:t>:</w:t>
      </w:r>
    </w:p>
    <w:p w:rsidR="00ED3EC8" w:rsidRPr="007B2E82" w:rsidRDefault="00ED3EC8" w:rsidP="007B2E82">
      <w:pPr>
        <w:rPr>
          <w:sz w:val="24"/>
          <w:szCs w:val="24"/>
        </w:rPr>
      </w:pPr>
      <w:r w:rsidRPr="007B2E82">
        <w:rPr>
          <w:sz w:val="24"/>
          <w:szCs w:val="24"/>
        </w:rPr>
        <w:tab/>
      </w:r>
      <w:r w:rsidRPr="007B2E82">
        <w:rPr>
          <w:sz w:val="24"/>
          <w:szCs w:val="24"/>
        </w:rPr>
        <w:tab/>
      </w:r>
      <w:r w:rsidRPr="007B2E82">
        <w:rPr>
          <w:sz w:val="24"/>
          <w:szCs w:val="24"/>
        </w:rPr>
        <w:tab/>
      </w:r>
      <w:r w:rsidRPr="007B2E82">
        <w:rPr>
          <w:sz w:val="24"/>
          <w:szCs w:val="24"/>
        </w:rPr>
        <w:tab/>
      </w:r>
      <w:r w:rsidRPr="007B2E82">
        <w:rPr>
          <w:sz w:val="24"/>
          <w:szCs w:val="24"/>
        </w:rPr>
        <w:tab/>
      </w:r>
      <w:r w:rsidRPr="007B2E82">
        <w:rPr>
          <w:sz w:val="24"/>
          <w:szCs w:val="24"/>
        </w:rPr>
        <w:tab/>
      </w:r>
      <w:r w:rsidR="005E13BA" w:rsidRPr="007B2E82">
        <w:rPr>
          <w:sz w:val="24"/>
          <w:szCs w:val="24"/>
        </w:rPr>
        <w:tab/>
      </w:r>
      <w:r w:rsidRPr="007B2E82">
        <w:rPr>
          <w:sz w:val="24"/>
          <w:szCs w:val="24"/>
        </w:rPr>
        <w:t>:</w:t>
      </w:r>
    </w:p>
    <w:p w:rsidR="00ED3EC8" w:rsidRPr="007B2E82" w:rsidRDefault="008E19D7" w:rsidP="007B2E82">
      <w:pPr>
        <w:rPr>
          <w:sz w:val="24"/>
          <w:szCs w:val="24"/>
        </w:rPr>
      </w:pPr>
      <w:r w:rsidRPr="007B2E82">
        <w:rPr>
          <w:sz w:val="24"/>
          <w:szCs w:val="24"/>
        </w:rPr>
        <w:tab/>
        <w:t>v.</w:t>
      </w:r>
      <w:r w:rsidRPr="007B2E82">
        <w:rPr>
          <w:sz w:val="24"/>
          <w:szCs w:val="24"/>
        </w:rPr>
        <w:tab/>
      </w:r>
      <w:r w:rsidRPr="007B2E82">
        <w:rPr>
          <w:sz w:val="24"/>
          <w:szCs w:val="24"/>
        </w:rPr>
        <w:tab/>
      </w:r>
      <w:r w:rsidRPr="007B2E82">
        <w:rPr>
          <w:sz w:val="24"/>
          <w:szCs w:val="24"/>
        </w:rPr>
        <w:tab/>
      </w:r>
      <w:r w:rsidRPr="007B2E82">
        <w:rPr>
          <w:sz w:val="24"/>
          <w:szCs w:val="24"/>
        </w:rPr>
        <w:tab/>
      </w:r>
      <w:r w:rsidRPr="007B2E82">
        <w:rPr>
          <w:sz w:val="24"/>
          <w:szCs w:val="24"/>
        </w:rPr>
        <w:tab/>
      </w:r>
      <w:r w:rsidR="005E13BA" w:rsidRPr="007B2E82">
        <w:rPr>
          <w:sz w:val="24"/>
          <w:szCs w:val="24"/>
        </w:rPr>
        <w:tab/>
      </w:r>
      <w:r w:rsidRPr="007B2E82">
        <w:rPr>
          <w:sz w:val="24"/>
          <w:szCs w:val="24"/>
        </w:rPr>
        <w:t>:</w:t>
      </w:r>
      <w:r w:rsidRPr="007B2E82">
        <w:rPr>
          <w:sz w:val="24"/>
          <w:szCs w:val="24"/>
        </w:rPr>
        <w:tab/>
      </w:r>
      <w:r w:rsidR="007B2E82">
        <w:rPr>
          <w:sz w:val="24"/>
          <w:szCs w:val="24"/>
        </w:rPr>
        <w:tab/>
      </w:r>
      <w:r w:rsidRPr="007B2E82">
        <w:rPr>
          <w:sz w:val="24"/>
          <w:szCs w:val="24"/>
        </w:rPr>
        <w:t xml:space="preserve"> C-201</w:t>
      </w:r>
      <w:r w:rsidR="00124A2A" w:rsidRPr="007B2E82">
        <w:rPr>
          <w:sz w:val="24"/>
          <w:szCs w:val="24"/>
        </w:rPr>
        <w:t>1</w:t>
      </w:r>
      <w:r w:rsidRPr="007B2E82">
        <w:rPr>
          <w:sz w:val="24"/>
          <w:szCs w:val="24"/>
        </w:rPr>
        <w:t>-2</w:t>
      </w:r>
      <w:r w:rsidR="00900735" w:rsidRPr="007B2E82">
        <w:rPr>
          <w:sz w:val="24"/>
          <w:szCs w:val="24"/>
        </w:rPr>
        <w:t>2</w:t>
      </w:r>
      <w:r w:rsidR="00124A2A" w:rsidRPr="007B2E82">
        <w:rPr>
          <w:sz w:val="24"/>
          <w:szCs w:val="24"/>
        </w:rPr>
        <w:t>44309</w:t>
      </w:r>
    </w:p>
    <w:p w:rsidR="00ED3EC8" w:rsidRPr="007B2E82" w:rsidRDefault="00ED3EC8" w:rsidP="007B2E82">
      <w:pPr>
        <w:rPr>
          <w:sz w:val="24"/>
          <w:szCs w:val="24"/>
        </w:rPr>
      </w:pPr>
      <w:r w:rsidRPr="007B2E82">
        <w:rPr>
          <w:sz w:val="24"/>
          <w:szCs w:val="24"/>
        </w:rPr>
        <w:tab/>
      </w:r>
      <w:r w:rsidRPr="007B2E82">
        <w:rPr>
          <w:sz w:val="24"/>
          <w:szCs w:val="24"/>
        </w:rPr>
        <w:tab/>
      </w:r>
      <w:r w:rsidRPr="007B2E82">
        <w:rPr>
          <w:sz w:val="24"/>
          <w:szCs w:val="24"/>
        </w:rPr>
        <w:tab/>
      </w:r>
      <w:r w:rsidRPr="007B2E82">
        <w:rPr>
          <w:sz w:val="24"/>
          <w:szCs w:val="24"/>
        </w:rPr>
        <w:tab/>
      </w:r>
      <w:r w:rsidRPr="007B2E82">
        <w:rPr>
          <w:sz w:val="24"/>
          <w:szCs w:val="24"/>
        </w:rPr>
        <w:tab/>
      </w:r>
      <w:r w:rsidRPr="007B2E82">
        <w:rPr>
          <w:sz w:val="24"/>
          <w:szCs w:val="24"/>
        </w:rPr>
        <w:tab/>
      </w:r>
      <w:r w:rsidR="005E13BA" w:rsidRPr="007B2E82">
        <w:rPr>
          <w:sz w:val="24"/>
          <w:szCs w:val="24"/>
        </w:rPr>
        <w:tab/>
      </w:r>
      <w:r w:rsidRPr="007B2E82">
        <w:rPr>
          <w:sz w:val="24"/>
          <w:szCs w:val="24"/>
        </w:rPr>
        <w:t>:</w:t>
      </w:r>
    </w:p>
    <w:p w:rsidR="00ED3EC8" w:rsidRPr="007B2E82" w:rsidRDefault="00124A2A" w:rsidP="007B2E82">
      <w:pPr>
        <w:rPr>
          <w:sz w:val="24"/>
          <w:szCs w:val="24"/>
        </w:rPr>
      </w:pPr>
      <w:r w:rsidRPr="007B2E82">
        <w:rPr>
          <w:sz w:val="24"/>
          <w:szCs w:val="24"/>
        </w:rPr>
        <w:t>Viridian Energy PA, LLC</w:t>
      </w:r>
      <w:r w:rsidR="00841FF2" w:rsidRPr="007B2E82">
        <w:rPr>
          <w:sz w:val="24"/>
          <w:szCs w:val="24"/>
        </w:rPr>
        <w:tab/>
      </w:r>
      <w:r w:rsidR="00ED3EC8" w:rsidRPr="007B2E82">
        <w:rPr>
          <w:sz w:val="24"/>
          <w:szCs w:val="24"/>
        </w:rPr>
        <w:tab/>
      </w:r>
      <w:r w:rsidR="00ED3EC8" w:rsidRPr="007B2E82">
        <w:rPr>
          <w:sz w:val="24"/>
          <w:szCs w:val="24"/>
        </w:rPr>
        <w:tab/>
      </w:r>
      <w:r w:rsidR="005E13BA" w:rsidRPr="007B2E82">
        <w:rPr>
          <w:sz w:val="24"/>
          <w:szCs w:val="24"/>
        </w:rPr>
        <w:tab/>
      </w:r>
      <w:r w:rsidR="00ED3EC8" w:rsidRPr="007B2E82">
        <w:rPr>
          <w:sz w:val="24"/>
          <w:szCs w:val="24"/>
        </w:rPr>
        <w:t>:</w:t>
      </w:r>
    </w:p>
    <w:p w:rsidR="00ED3EC8" w:rsidRPr="007B2E82" w:rsidRDefault="00ED3EC8" w:rsidP="007B2E82">
      <w:pPr>
        <w:rPr>
          <w:sz w:val="24"/>
          <w:szCs w:val="24"/>
        </w:rPr>
      </w:pPr>
    </w:p>
    <w:p w:rsidR="005E13BA" w:rsidRPr="007B2E82" w:rsidRDefault="005E13BA" w:rsidP="007B2E82">
      <w:pPr>
        <w:rPr>
          <w:sz w:val="24"/>
          <w:szCs w:val="24"/>
        </w:rPr>
      </w:pPr>
    </w:p>
    <w:p w:rsidR="00ED3EC8" w:rsidRPr="007B2E82" w:rsidRDefault="00ED3EC8" w:rsidP="007B2E82">
      <w:pPr>
        <w:rPr>
          <w:sz w:val="24"/>
          <w:szCs w:val="24"/>
        </w:rPr>
      </w:pPr>
    </w:p>
    <w:p w:rsidR="00ED3EC8" w:rsidRPr="007B2E82" w:rsidRDefault="00F8605D" w:rsidP="007B2E82">
      <w:pPr>
        <w:jc w:val="center"/>
        <w:rPr>
          <w:b/>
          <w:sz w:val="24"/>
          <w:szCs w:val="24"/>
          <w:u w:val="single"/>
        </w:rPr>
      </w:pPr>
      <w:r w:rsidRPr="007B2E82">
        <w:rPr>
          <w:b/>
          <w:sz w:val="24"/>
          <w:szCs w:val="24"/>
          <w:u w:val="single"/>
        </w:rPr>
        <w:t>INITIAL DECISION</w:t>
      </w:r>
    </w:p>
    <w:p w:rsidR="00ED3EC8" w:rsidRDefault="00ED3EC8" w:rsidP="007B2E82">
      <w:pPr>
        <w:jc w:val="center"/>
        <w:rPr>
          <w:b/>
          <w:sz w:val="24"/>
          <w:szCs w:val="24"/>
        </w:rPr>
      </w:pPr>
    </w:p>
    <w:p w:rsidR="007B2E82" w:rsidRPr="007B2E82" w:rsidRDefault="007B2E82" w:rsidP="007B2E82">
      <w:pPr>
        <w:jc w:val="center"/>
        <w:rPr>
          <w:b/>
          <w:sz w:val="24"/>
          <w:szCs w:val="24"/>
        </w:rPr>
      </w:pPr>
    </w:p>
    <w:p w:rsidR="00FC763F" w:rsidRPr="007B2E82" w:rsidRDefault="00FC763F" w:rsidP="007B2E82">
      <w:pPr>
        <w:pStyle w:val="BodyTextIndent"/>
        <w:widowControl/>
        <w:spacing w:line="240" w:lineRule="auto"/>
        <w:ind w:firstLine="0"/>
        <w:jc w:val="center"/>
        <w:rPr>
          <w:bCs/>
          <w:sz w:val="24"/>
          <w:szCs w:val="24"/>
        </w:rPr>
      </w:pPr>
      <w:r w:rsidRPr="007B2E82">
        <w:rPr>
          <w:bCs/>
          <w:sz w:val="24"/>
          <w:szCs w:val="24"/>
        </w:rPr>
        <w:t>Before</w:t>
      </w:r>
    </w:p>
    <w:p w:rsidR="00FC763F" w:rsidRPr="007B2E82" w:rsidRDefault="00FC763F" w:rsidP="007B2E82">
      <w:pPr>
        <w:pStyle w:val="BodyTextIndent"/>
        <w:widowControl/>
        <w:spacing w:line="240" w:lineRule="auto"/>
        <w:ind w:firstLine="0"/>
        <w:jc w:val="center"/>
        <w:rPr>
          <w:bCs/>
          <w:sz w:val="24"/>
          <w:szCs w:val="24"/>
        </w:rPr>
      </w:pPr>
      <w:r w:rsidRPr="007B2E82">
        <w:rPr>
          <w:bCs/>
          <w:sz w:val="24"/>
          <w:szCs w:val="24"/>
        </w:rPr>
        <w:t>Dennis J. Buckley</w:t>
      </w:r>
    </w:p>
    <w:p w:rsidR="00FC763F" w:rsidRPr="007B2E82" w:rsidRDefault="00FC763F" w:rsidP="007B2E82">
      <w:pPr>
        <w:pStyle w:val="BodyTextIndent"/>
        <w:widowControl/>
        <w:spacing w:line="240" w:lineRule="auto"/>
        <w:ind w:firstLine="0"/>
        <w:jc w:val="center"/>
        <w:rPr>
          <w:bCs/>
          <w:sz w:val="24"/>
          <w:szCs w:val="24"/>
        </w:rPr>
      </w:pPr>
      <w:r w:rsidRPr="007B2E82">
        <w:rPr>
          <w:bCs/>
          <w:sz w:val="24"/>
          <w:szCs w:val="24"/>
        </w:rPr>
        <w:t>Administrative Law Judge</w:t>
      </w:r>
    </w:p>
    <w:p w:rsidR="00ED3EC8" w:rsidRPr="007B2E82" w:rsidRDefault="00ED3EC8" w:rsidP="007B2E82">
      <w:pPr>
        <w:rPr>
          <w:b/>
          <w:sz w:val="24"/>
          <w:szCs w:val="24"/>
        </w:rPr>
      </w:pPr>
    </w:p>
    <w:p w:rsidR="00FC763F" w:rsidRPr="007B2E82" w:rsidRDefault="00FC763F" w:rsidP="007B2E82">
      <w:pPr>
        <w:rPr>
          <w:b/>
          <w:sz w:val="24"/>
          <w:szCs w:val="24"/>
        </w:rPr>
      </w:pPr>
    </w:p>
    <w:p w:rsidR="00FC763F" w:rsidRPr="007B2E82" w:rsidRDefault="00FC763F" w:rsidP="007B2E82">
      <w:pPr>
        <w:jc w:val="center"/>
        <w:rPr>
          <w:sz w:val="24"/>
          <w:szCs w:val="24"/>
          <w:u w:val="single"/>
        </w:rPr>
      </w:pPr>
      <w:r w:rsidRPr="007B2E82">
        <w:rPr>
          <w:sz w:val="24"/>
          <w:szCs w:val="24"/>
          <w:u w:val="single"/>
        </w:rPr>
        <w:t>HISTORY OF THE PROCEEDING</w:t>
      </w:r>
    </w:p>
    <w:p w:rsidR="00FC763F" w:rsidRPr="007B2E82" w:rsidRDefault="00FC763F" w:rsidP="007B2E82">
      <w:pPr>
        <w:jc w:val="center"/>
        <w:rPr>
          <w:sz w:val="24"/>
          <w:szCs w:val="24"/>
          <w:u w:val="single"/>
        </w:rPr>
      </w:pPr>
    </w:p>
    <w:p w:rsidR="00B11062" w:rsidRPr="007B2E82" w:rsidRDefault="00FC763F" w:rsidP="007B2E82">
      <w:pPr>
        <w:spacing w:line="360" w:lineRule="auto"/>
        <w:rPr>
          <w:sz w:val="24"/>
          <w:szCs w:val="24"/>
        </w:rPr>
      </w:pPr>
      <w:r w:rsidRPr="007B2E82">
        <w:rPr>
          <w:sz w:val="24"/>
          <w:szCs w:val="24"/>
        </w:rPr>
        <w:tab/>
      </w:r>
      <w:r w:rsidRPr="007B2E82">
        <w:rPr>
          <w:sz w:val="24"/>
          <w:szCs w:val="24"/>
        </w:rPr>
        <w:tab/>
      </w:r>
    </w:p>
    <w:p w:rsidR="00CC7377" w:rsidRPr="007B2E82" w:rsidRDefault="00B11062" w:rsidP="007B2E82">
      <w:pPr>
        <w:spacing w:line="360" w:lineRule="auto"/>
        <w:rPr>
          <w:sz w:val="24"/>
          <w:szCs w:val="24"/>
        </w:rPr>
      </w:pPr>
      <w:r w:rsidRPr="007B2E82">
        <w:rPr>
          <w:sz w:val="24"/>
          <w:szCs w:val="24"/>
        </w:rPr>
        <w:tab/>
      </w:r>
      <w:r w:rsidRPr="007B2E82">
        <w:rPr>
          <w:sz w:val="24"/>
          <w:szCs w:val="24"/>
        </w:rPr>
        <w:tab/>
      </w:r>
      <w:r w:rsidR="00647EF2" w:rsidRPr="007B2E82">
        <w:rPr>
          <w:sz w:val="24"/>
          <w:szCs w:val="24"/>
        </w:rPr>
        <w:t xml:space="preserve">On </w:t>
      </w:r>
      <w:r w:rsidRPr="007B2E82">
        <w:rPr>
          <w:sz w:val="24"/>
          <w:szCs w:val="24"/>
        </w:rPr>
        <w:t>May 19, 2011</w:t>
      </w:r>
      <w:r w:rsidR="00647EF2" w:rsidRPr="007B2E82">
        <w:rPr>
          <w:sz w:val="24"/>
          <w:szCs w:val="24"/>
        </w:rPr>
        <w:t xml:space="preserve">, </w:t>
      </w:r>
      <w:r w:rsidRPr="007B2E82">
        <w:rPr>
          <w:sz w:val="24"/>
          <w:szCs w:val="24"/>
        </w:rPr>
        <w:t>Paul and Loretta London</w:t>
      </w:r>
      <w:r w:rsidR="00647EF2" w:rsidRPr="007B2E82">
        <w:rPr>
          <w:sz w:val="24"/>
          <w:szCs w:val="24"/>
        </w:rPr>
        <w:t xml:space="preserve"> (Complainant</w:t>
      </w:r>
      <w:r w:rsidRPr="007B2E82">
        <w:rPr>
          <w:sz w:val="24"/>
          <w:szCs w:val="24"/>
        </w:rPr>
        <w:t>s</w:t>
      </w:r>
      <w:r w:rsidR="00647EF2" w:rsidRPr="007B2E82">
        <w:rPr>
          <w:sz w:val="24"/>
          <w:szCs w:val="24"/>
        </w:rPr>
        <w:t xml:space="preserve">) filed a formal Complaint with the Commission against </w:t>
      </w:r>
      <w:r w:rsidRPr="007B2E82">
        <w:rPr>
          <w:sz w:val="24"/>
          <w:szCs w:val="24"/>
        </w:rPr>
        <w:t xml:space="preserve">Viridian Energy </w:t>
      </w:r>
      <w:r w:rsidR="00CC7377" w:rsidRPr="007B2E82">
        <w:rPr>
          <w:sz w:val="24"/>
          <w:szCs w:val="24"/>
        </w:rPr>
        <w:t>PA LLC</w:t>
      </w:r>
      <w:r w:rsidR="00647EF2" w:rsidRPr="007B2E82">
        <w:rPr>
          <w:sz w:val="24"/>
          <w:szCs w:val="24"/>
        </w:rPr>
        <w:t xml:space="preserve"> (</w:t>
      </w:r>
      <w:r w:rsidR="00CC7377" w:rsidRPr="007B2E82">
        <w:rPr>
          <w:sz w:val="24"/>
          <w:szCs w:val="24"/>
        </w:rPr>
        <w:t xml:space="preserve">Viridian </w:t>
      </w:r>
      <w:r w:rsidR="00647EF2" w:rsidRPr="007B2E82">
        <w:rPr>
          <w:sz w:val="24"/>
          <w:szCs w:val="24"/>
        </w:rPr>
        <w:t>or Respondent) alleging that</w:t>
      </w:r>
      <w:r w:rsidR="00CC7377" w:rsidRPr="007B2E82">
        <w:rPr>
          <w:sz w:val="24"/>
          <w:szCs w:val="24"/>
        </w:rPr>
        <w:t xml:space="preserve"> Viridian engaged in misleading </w:t>
      </w:r>
      <w:r w:rsidR="001B0EF6" w:rsidRPr="007B2E82">
        <w:rPr>
          <w:sz w:val="24"/>
          <w:szCs w:val="24"/>
        </w:rPr>
        <w:t xml:space="preserve">radio </w:t>
      </w:r>
      <w:r w:rsidR="00CC7377" w:rsidRPr="007B2E82">
        <w:rPr>
          <w:sz w:val="24"/>
          <w:szCs w:val="24"/>
        </w:rPr>
        <w:t xml:space="preserve">advertising and failed to provide Complainants with the </w:t>
      </w:r>
      <w:r w:rsidR="001F6817" w:rsidRPr="007B2E82">
        <w:rPr>
          <w:sz w:val="24"/>
          <w:szCs w:val="24"/>
        </w:rPr>
        <w:t xml:space="preserve">14.5 percent </w:t>
      </w:r>
      <w:r w:rsidR="00CC7377" w:rsidRPr="007B2E82">
        <w:rPr>
          <w:sz w:val="24"/>
          <w:szCs w:val="24"/>
        </w:rPr>
        <w:t>level of advertised savings on their electricity generation</w:t>
      </w:r>
      <w:r w:rsidR="000513F0" w:rsidRPr="007B2E82">
        <w:rPr>
          <w:sz w:val="24"/>
          <w:szCs w:val="24"/>
        </w:rPr>
        <w:t xml:space="preserve"> that Complainants claim they were promised</w:t>
      </w:r>
      <w:r w:rsidR="00CC7377" w:rsidRPr="007B2E82">
        <w:rPr>
          <w:sz w:val="24"/>
          <w:szCs w:val="24"/>
        </w:rPr>
        <w:t>.  Enmeshed with this core issue is a question with respect to</w:t>
      </w:r>
      <w:r w:rsidR="001B0EF6" w:rsidRPr="007B2E82">
        <w:rPr>
          <w:sz w:val="24"/>
          <w:szCs w:val="24"/>
        </w:rPr>
        <w:t xml:space="preserve"> whether and</w:t>
      </w:r>
      <w:r w:rsidR="00CC7377" w:rsidRPr="007B2E82">
        <w:rPr>
          <w:sz w:val="24"/>
          <w:szCs w:val="24"/>
        </w:rPr>
        <w:t xml:space="preserve"> how the Complainants registered with Viridian, through the internet or over the telephone.  The Complainants want Viridian to be sanctioned by the Commission for the alleged misrepresentation and for the Commission to order Viridian to cease and desist from such practices.</w:t>
      </w:r>
      <w:r w:rsidR="001F6817" w:rsidRPr="007B2E82">
        <w:rPr>
          <w:rStyle w:val="FootnoteReference"/>
          <w:sz w:val="24"/>
          <w:szCs w:val="24"/>
        </w:rPr>
        <w:footnoteReference w:id="1"/>
      </w:r>
      <w:r w:rsidR="00CC7377" w:rsidRPr="007B2E82">
        <w:rPr>
          <w:sz w:val="24"/>
          <w:szCs w:val="24"/>
        </w:rPr>
        <w:t xml:space="preserve"> </w:t>
      </w:r>
    </w:p>
    <w:p w:rsidR="00CC7377" w:rsidRPr="007B2E82" w:rsidRDefault="00CC7377" w:rsidP="007B2E82">
      <w:pPr>
        <w:spacing w:line="360" w:lineRule="auto"/>
        <w:rPr>
          <w:sz w:val="24"/>
          <w:szCs w:val="24"/>
        </w:rPr>
      </w:pPr>
    </w:p>
    <w:p w:rsidR="001B0EF6" w:rsidRPr="007B2E82" w:rsidRDefault="00647EF2" w:rsidP="007B2E82">
      <w:pPr>
        <w:spacing w:line="360" w:lineRule="auto"/>
        <w:rPr>
          <w:sz w:val="24"/>
          <w:szCs w:val="24"/>
        </w:rPr>
      </w:pPr>
      <w:r w:rsidRPr="007B2E82">
        <w:rPr>
          <w:sz w:val="24"/>
          <w:szCs w:val="24"/>
        </w:rPr>
        <w:t xml:space="preserve"> </w:t>
      </w:r>
      <w:r w:rsidRPr="007B2E82">
        <w:rPr>
          <w:sz w:val="24"/>
          <w:szCs w:val="24"/>
        </w:rPr>
        <w:tab/>
      </w:r>
      <w:r w:rsidRPr="007B2E82">
        <w:rPr>
          <w:sz w:val="24"/>
          <w:szCs w:val="24"/>
        </w:rPr>
        <w:tab/>
        <w:t xml:space="preserve">On </w:t>
      </w:r>
      <w:r w:rsidR="001B0EF6" w:rsidRPr="007B2E82">
        <w:rPr>
          <w:sz w:val="24"/>
          <w:szCs w:val="24"/>
        </w:rPr>
        <w:t xml:space="preserve">June 1, 2011, Viridian was advised by the Secretary of the Commission of the pending Complaint and </w:t>
      </w:r>
      <w:r w:rsidR="000513F0" w:rsidRPr="007B2E82">
        <w:rPr>
          <w:sz w:val="24"/>
          <w:szCs w:val="24"/>
        </w:rPr>
        <w:t xml:space="preserve">was </w:t>
      </w:r>
      <w:r w:rsidR="001B0EF6" w:rsidRPr="007B2E82">
        <w:rPr>
          <w:sz w:val="24"/>
          <w:szCs w:val="24"/>
        </w:rPr>
        <w:t>directed to file an Answer.</w:t>
      </w:r>
    </w:p>
    <w:p w:rsidR="001B0EF6" w:rsidRPr="007B2E82" w:rsidRDefault="001B0EF6" w:rsidP="007B2E82">
      <w:pPr>
        <w:spacing w:line="360" w:lineRule="auto"/>
        <w:rPr>
          <w:sz w:val="24"/>
          <w:szCs w:val="24"/>
        </w:rPr>
      </w:pPr>
    </w:p>
    <w:p w:rsidR="001B0EF6" w:rsidRPr="007B2E82" w:rsidRDefault="001B0EF6" w:rsidP="007B2E82">
      <w:pPr>
        <w:spacing w:line="360" w:lineRule="auto"/>
        <w:rPr>
          <w:sz w:val="24"/>
          <w:szCs w:val="24"/>
        </w:rPr>
      </w:pPr>
      <w:r w:rsidRPr="007B2E82">
        <w:rPr>
          <w:sz w:val="24"/>
          <w:szCs w:val="24"/>
        </w:rPr>
        <w:lastRenderedPageBreak/>
        <w:tab/>
      </w:r>
      <w:r w:rsidRPr="007B2E82">
        <w:rPr>
          <w:sz w:val="24"/>
          <w:szCs w:val="24"/>
        </w:rPr>
        <w:tab/>
        <w:t>On June 15, 2011, Viridian filed an Answer to the Complaint.  That Answer was provided in letter format by Viridian’</w:t>
      </w:r>
      <w:r w:rsidR="000513F0" w:rsidRPr="007B2E82">
        <w:rPr>
          <w:sz w:val="24"/>
          <w:szCs w:val="24"/>
        </w:rPr>
        <w:t>s Vice President for R</w:t>
      </w:r>
      <w:r w:rsidRPr="007B2E82">
        <w:rPr>
          <w:sz w:val="24"/>
          <w:szCs w:val="24"/>
        </w:rPr>
        <w:t>egulatory Affairs, Betsy Webb.  Ms. Webb denied that Viridian advertises by radio in Pennsylvania.  She also stated that the Complainants enrolled with Viridian by telephone, but that at the time of their enrollment it was explained that Viridian offers a variable rate, not a guaranteed level of savings.</w:t>
      </w:r>
    </w:p>
    <w:p w:rsidR="001B0EF6" w:rsidRPr="007B2E82" w:rsidRDefault="001B0EF6" w:rsidP="007B2E82">
      <w:pPr>
        <w:spacing w:line="360" w:lineRule="auto"/>
        <w:rPr>
          <w:sz w:val="24"/>
          <w:szCs w:val="24"/>
        </w:rPr>
      </w:pPr>
    </w:p>
    <w:p w:rsidR="001B0EF6" w:rsidRPr="007B2E82" w:rsidRDefault="001B0EF6" w:rsidP="007B2E82">
      <w:pPr>
        <w:spacing w:line="360" w:lineRule="auto"/>
        <w:rPr>
          <w:sz w:val="24"/>
          <w:szCs w:val="24"/>
        </w:rPr>
      </w:pPr>
      <w:r w:rsidRPr="007B2E82">
        <w:rPr>
          <w:sz w:val="24"/>
          <w:szCs w:val="24"/>
        </w:rPr>
        <w:tab/>
      </w:r>
      <w:r w:rsidRPr="007B2E82">
        <w:rPr>
          <w:sz w:val="24"/>
          <w:szCs w:val="24"/>
        </w:rPr>
        <w:tab/>
        <w:t>On September 29, 2011, a Notice of telephonic hearing was issued by the Office of Administrative Law Judge (OALJ) setting November 8, 2011, as the date for the hearing in this matter.</w:t>
      </w:r>
    </w:p>
    <w:p w:rsidR="001B0EF6" w:rsidRPr="007B2E82" w:rsidRDefault="001B0EF6" w:rsidP="007B2E82">
      <w:pPr>
        <w:spacing w:line="360" w:lineRule="auto"/>
        <w:rPr>
          <w:sz w:val="24"/>
          <w:szCs w:val="24"/>
        </w:rPr>
      </w:pPr>
    </w:p>
    <w:p w:rsidR="001B0EF6" w:rsidRPr="007B2E82" w:rsidRDefault="001B0EF6" w:rsidP="007B2E82">
      <w:pPr>
        <w:spacing w:line="360" w:lineRule="auto"/>
        <w:rPr>
          <w:sz w:val="24"/>
          <w:szCs w:val="24"/>
        </w:rPr>
      </w:pPr>
      <w:r w:rsidRPr="007B2E82">
        <w:rPr>
          <w:sz w:val="24"/>
          <w:szCs w:val="24"/>
        </w:rPr>
        <w:tab/>
      </w:r>
      <w:r w:rsidRPr="007B2E82">
        <w:rPr>
          <w:sz w:val="24"/>
          <w:szCs w:val="24"/>
        </w:rPr>
        <w:tab/>
        <w:t>On October 18, 2011, a standard form Prehearing Order was issued by the undersigned, stressing to Viridian that as a corporate entity, Viridian must be represented by counsel in Commission proceedings</w:t>
      </w:r>
      <w:r w:rsidR="005C734F" w:rsidRPr="007B2E82">
        <w:rPr>
          <w:sz w:val="24"/>
          <w:szCs w:val="24"/>
        </w:rPr>
        <w:t>.</w:t>
      </w:r>
    </w:p>
    <w:p w:rsidR="005C734F" w:rsidRPr="007B2E82" w:rsidRDefault="005C734F" w:rsidP="007B2E82">
      <w:pPr>
        <w:spacing w:line="360" w:lineRule="auto"/>
        <w:rPr>
          <w:sz w:val="24"/>
          <w:szCs w:val="24"/>
        </w:rPr>
      </w:pPr>
    </w:p>
    <w:p w:rsidR="005C734F" w:rsidRPr="007B2E82" w:rsidRDefault="005C734F" w:rsidP="007B2E82">
      <w:pPr>
        <w:spacing w:line="360" w:lineRule="auto"/>
        <w:rPr>
          <w:sz w:val="24"/>
          <w:szCs w:val="24"/>
        </w:rPr>
      </w:pPr>
      <w:r w:rsidRPr="007B2E82">
        <w:rPr>
          <w:sz w:val="24"/>
          <w:szCs w:val="24"/>
        </w:rPr>
        <w:tab/>
      </w:r>
      <w:r w:rsidRPr="007B2E82">
        <w:rPr>
          <w:sz w:val="24"/>
          <w:szCs w:val="24"/>
        </w:rPr>
        <w:tab/>
        <w:t>On November 1, 2011, Ms. Jan L. Fox, Esquire, Vice President and General Counsel for Viridian, filed an Entry of Appearance on behalf of Viridian.</w:t>
      </w:r>
      <w:r w:rsidR="007E069F">
        <w:rPr>
          <w:sz w:val="24"/>
          <w:szCs w:val="24"/>
        </w:rPr>
        <w:t xml:space="preserve">  Also on November 1, </w:t>
      </w:r>
      <w:r w:rsidR="007B14BD" w:rsidRPr="007B2E82">
        <w:rPr>
          <w:sz w:val="24"/>
          <w:szCs w:val="24"/>
        </w:rPr>
        <w:t>2011, Viridian served its proposed hearing exhibits on the Complainants with copies provided to the Presiding Officer.</w:t>
      </w:r>
    </w:p>
    <w:p w:rsidR="007B14BD" w:rsidRPr="007B2E82" w:rsidRDefault="007B14BD" w:rsidP="007B2E82">
      <w:pPr>
        <w:spacing w:line="360" w:lineRule="auto"/>
        <w:rPr>
          <w:sz w:val="24"/>
          <w:szCs w:val="24"/>
        </w:rPr>
      </w:pPr>
    </w:p>
    <w:p w:rsidR="007B14BD" w:rsidRPr="007B2E82" w:rsidRDefault="007B14BD" w:rsidP="007B2E82">
      <w:pPr>
        <w:spacing w:line="360" w:lineRule="auto"/>
        <w:rPr>
          <w:sz w:val="24"/>
          <w:szCs w:val="24"/>
        </w:rPr>
      </w:pPr>
      <w:r w:rsidRPr="007B2E82">
        <w:rPr>
          <w:sz w:val="24"/>
          <w:szCs w:val="24"/>
        </w:rPr>
        <w:tab/>
      </w:r>
      <w:r w:rsidRPr="007B2E82">
        <w:rPr>
          <w:sz w:val="24"/>
          <w:szCs w:val="24"/>
        </w:rPr>
        <w:tab/>
      </w:r>
      <w:r w:rsidR="00C57D9D" w:rsidRPr="007B2E82">
        <w:rPr>
          <w:sz w:val="24"/>
          <w:szCs w:val="24"/>
        </w:rPr>
        <w:t xml:space="preserve">On November 8, 2011, a telephonic hearing took place, originating from the Commission’s Harrisburg office.  Paul London and Loretta London testified on their own behalf.  They offered no exhibits.  Attorney Fox represented Viridian and presented the testimony of Betsy Webb and Ryan Fernandez, the latter being a Viridian Customer Care Team lead.   </w:t>
      </w:r>
      <w:r w:rsidR="00ED5EB3" w:rsidRPr="007B2E82">
        <w:rPr>
          <w:sz w:val="24"/>
          <w:szCs w:val="24"/>
        </w:rPr>
        <w:t>Viridian offered six exhibits: Viridian Exhibit No. 1, the BCS informal complaint resolution summary sheet and an attached transmitting e-mail; Viridian Exhibit No. 2, a computer screen shot of Viridian enrollment data; Viridian Exhibit No. 4, a letter to Ruby Lidle, a BCS investigator; Viridian Exhibit No. 5, a copy of the formal Complaint in this case; Viridian Exhibit No. 6, Viridian’s answer to the formal Complaint, with attachments; and, Viridian Exhibit No. 7, a “Paul London billing breakdown.”</w:t>
      </w:r>
      <w:r w:rsidR="000513F0" w:rsidRPr="007B2E82">
        <w:rPr>
          <w:rStyle w:val="FootnoteReference"/>
          <w:sz w:val="24"/>
          <w:szCs w:val="24"/>
        </w:rPr>
        <w:footnoteReference w:id="2"/>
      </w:r>
      <w:r w:rsidR="00ED5EB3" w:rsidRPr="007B2E82">
        <w:rPr>
          <w:sz w:val="24"/>
          <w:szCs w:val="24"/>
        </w:rPr>
        <w:t xml:space="preserve">  The record in this case consists of the hearing transcript of 80 pages and Viridian’s exhibits, though many of those exhibits are documents such as the Complaint and Answer already filed in this proceeding.  The record was closed on November 8, 2011.  No briefs were filed.</w:t>
      </w:r>
    </w:p>
    <w:p w:rsidR="006C5928" w:rsidRPr="007B2E82" w:rsidRDefault="006C5928" w:rsidP="007B2E82">
      <w:pPr>
        <w:spacing w:line="360" w:lineRule="auto"/>
        <w:rPr>
          <w:sz w:val="24"/>
          <w:szCs w:val="24"/>
        </w:rPr>
      </w:pPr>
    </w:p>
    <w:p w:rsidR="00BE2FC0" w:rsidRPr="007B2E82" w:rsidRDefault="006C5928" w:rsidP="007B2E82">
      <w:pPr>
        <w:spacing w:line="360" w:lineRule="auto"/>
        <w:jc w:val="center"/>
        <w:rPr>
          <w:sz w:val="24"/>
          <w:szCs w:val="24"/>
        </w:rPr>
      </w:pPr>
      <w:r w:rsidRPr="007B2E82">
        <w:rPr>
          <w:sz w:val="24"/>
          <w:szCs w:val="24"/>
          <w:u w:val="single"/>
        </w:rPr>
        <w:t>FINDINGS OF FACT</w:t>
      </w:r>
    </w:p>
    <w:p w:rsidR="006C5928" w:rsidRPr="007B2E82" w:rsidRDefault="006C5928" w:rsidP="007B2E82">
      <w:pPr>
        <w:spacing w:line="360" w:lineRule="auto"/>
        <w:jc w:val="center"/>
        <w:rPr>
          <w:sz w:val="24"/>
          <w:szCs w:val="24"/>
        </w:rPr>
      </w:pPr>
    </w:p>
    <w:p w:rsidR="006C5928" w:rsidRPr="007B2E82" w:rsidRDefault="000006BA" w:rsidP="007B2E82">
      <w:pPr>
        <w:spacing w:line="360" w:lineRule="auto"/>
        <w:rPr>
          <w:sz w:val="24"/>
          <w:szCs w:val="24"/>
        </w:rPr>
      </w:pPr>
      <w:r w:rsidRPr="007B2E82">
        <w:rPr>
          <w:sz w:val="24"/>
          <w:szCs w:val="24"/>
        </w:rPr>
        <w:tab/>
      </w:r>
      <w:r w:rsidRPr="007B2E82">
        <w:rPr>
          <w:sz w:val="24"/>
          <w:szCs w:val="24"/>
        </w:rPr>
        <w:tab/>
        <w:t>1.</w:t>
      </w:r>
      <w:r w:rsidRPr="007B2E82">
        <w:rPr>
          <w:sz w:val="24"/>
          <w:szCs w:val="24"/>
        </w:rPr>
        <w:tab/>
        <w:t>The Complainant</w:t>
      </w:r>
      <w:r w:rsidR="000E5FB2" w:rsidRPr="007B2E82">
        <w:rPr>
          <w:sz w:val="24"/>
          <w:szCs w:val="24"/>
        </w:rPr>
        <w:t>s are Paul and Loretta London</w:t>
      </w:r>
      <w:r w:rsidRPr="007B2E82">
        <w:rPr>
          <w:sz w:val="24"/>
          <w:szCs w:val="24"/>
        </w:rPr>
        <w:t xml:space="preserve">, </w:t>
      </w:r>
      <w:r w:rsidR="00141AFE" w:rsidRPr="007B2E82">
        <w:rPr>
          <w:sz w:val="24"/>
          <w:szCs w:val="24"/>
        </w:rPr>
        <w:t xml:space="preserve">whose service address is </w:t>
      </w:r>
      <w:r w:rsidR="000E5FB2" w:rsidRPr="007B2E82">
        <w:rPr>
          <w:sz w:val="24"/>
          <w:szCs w:val="24"/>
        </w:rPr>
        <w:t xml:space="preserve">965 </w:t>
      </w:r>
      <w:proofErr w:type="spellStart"/>
      <w:r w:rsidR="000E5FB2" w:rsidRPr="007B2E82">
        <w:rPr>
          <w:sz w:val="24"/>
          <w:szCs w:val="24"/>
        </w:rPr>
        <w:t>Avoy</w:t>
      </w:r>
      <w:proofErr w:type="spellEnd"/>
      <w:r w:rsidR="000E5FB2" w:rsidRPr="007B2E82">
        <w:rPr>
          <w:sz w:val="24"/>
          <w:szCs w:val="24"/>
        </w:rPr>
        <w:t xml:space="preserve"> Road</w:t>
      </w:r>
      <w:r w:rsidR="00141AFE" w:rsidRPr="007B2E82">
        <w:rPr>
          <w:sz w:val="24"/>
          <w:szCs w:val="24"/>
        </w:rPr>
        <w:t xml:space="preserve">, </w:t>
      </w:r>
      <w:r w:rsidR="000E5FB2" w:rsidRPr="007B2E82">
        <w:rPr>
          <w:sz w:val="24"/>
          <w:szCs w:val="24"/>
        </w:rPr>
        <w:t>Lake Ariel</w:t>
      </w:r>
      <w:r w:rsidR="00141AFE" w:rsidRPr="007B2E82">
        <w:rPr>
          <w:sz w:val="24"/>
          <w:szCs w:val="24"/>
        </w:rPr>
        <w:t>, Pennsylvania.</w:t>
      </w:r>
    </w:p>
    <w:p w:rsidR="00ED3EC8" w:rsidRPr="007B2E82" w:rsidRDefault="00ED3EC8" w:rsidP="007B2E82">
      <w:pPr>
        <w:spacing w:line="360" w:lineRule="auto"/>
        <w:jc w:val="center"/>
        <w:rPr>
          <w:b/>
          <w:sz w:val="24"/>
          <w:szCs w:val="24"/>
        </w:rPr>
      </w:pPr>
    </w:p>
    <w:p w:rsidR="00141AFE" w:rsidRPr="007B2E82" w:rsidRDefault="00ED3EC8" w:rsidP="007B2E82">
      <w:pPr>
        <w:spacing w:line="360" w:lineRule="auto"/>
        <w:rPr>
          <w:sz w:val="24"/>
          <w:szCs w:val="24"/>
        </w:rPr>
      </w:pPr>
      <w:r w:rsidRPr="007B2E82">
        <w:rPr>
          <w:sz w:val="24"/>
          <w:szCs w:val="24"/>
        </w:rPr>
        <w:tab/>
      </w:r>
      <w:r w:rsidRPr="007B2E82">
        <w:rPr>
          <w:sz w:val="24"/>
          <w:szCs w:val="24"/>
        </w:rPr>
        <w:tab/>
      </w:r>
      <w:r w:rsidR="00141AFE" w:rsidRPr="007B2E82">
        <w:rPr>
          <w:sz w:val="24"/>
          <w:szCs w:val="24"/>
        </w:rPr>
        <w:t>2.</w:t>
      </w:r>
      <w:r w:rsidR="00141AFE" w:rsidRPr="007B2E82">
        <w:rPr>
          <w:sz w:val="24"/>
          <w:szCs w:val="24"/>
        </w:rPr>
        <w:tab/>
        <w:t xml:space="preserve">Respondent is </w:t>
      </w:r>
      <w:r w:rsidR="00E13F2B" w:rsidRPr="007B2E82">
        <w:rPr>
          <w:sz w:val="24"/>
          <w:szCs w:val="24"/>
        </w:rPr>
        <w:t>Viridian Energy PA LLC</w:t>
      </w:r>
      <w:r w:rsidR="00141AFE" w:rsidRPr="007B2E82">
        <w:rPr>
          <w:sz w:val="24"/>
          <w:szCs w:val="24"/>
        </w:rPr>
        <w:t xml:space="preserve">, a jurisdictional </w:t>
      </w:r>
      <w:r w:rsidR="00E13F2B" w:rsidRPr="007B2E82">
        <w:rPr>
          <w:sz w:val="24"/>
          <w:szCs w:val="24"/>
        </w:rPr>
        <w:t>electric generation supplier (EGS)</w:t>
      </w:r>
      <w:r w:rsidR="00141AFE" w:rsidRPr="007B2E82">
        <w:rPr>
          <w:sz w:val="24"/>
          <w:szCs w:val="24"/>
        </w:rPr>
        <w:t xml:space="preserve"> providing residential </w:t>
      </w:r>
      <w:r w:rsidR="00E13F2B" w:rsidRPr="007B2E82">
        <w:rPr>
          <w:sz w:val="24"/>
          <w:szCs w:val="24"/>
        </w:rPr>
        <w:t xml:space="preserve">electricity generation </w:t>
      </w:r>
      <w:r w:rsidR="00141AFE" w:rsidRPr="007B2E82">
        <w:rPr>
          <w:sz w:val="24"/>
          <w:szCs w:val="24"/>
        </w:rPr>
        <w:t>service in the Commonwealth of Pennsylvania.</w:t>
      </w:r>
    </w:p>
    <w:p w:rsidR="00141AFE" w:rsidRPr="007B2E82" w:rsidRDefault="00141AFE" w:rsidP="007B2E82">
      <w:pPr>
        <w:spacing w:line="360" w:lineRule="auto"/>
        <w:rPr>
          <w:sz w:val="24"/>
          <w:szCs w:val="24"/>
        </w:rPr>
      </w:pPr>
    </w:p>
    <w:p w:rsidR="00925C73" w:rsidRPr="007B2E82" w:rsidRDefault="00141AFE" w:rsidP="007B2E82">
      <w:pPr>
        <w:spacing w:line="360" w:lineRule="auto"/>
        <w:rPr>
          <w:sz w:val="24"/>
          <w:szCs w:val="24"/>
        </w:rPr>
      </w:pPr>
      <w:r w:rsidRPr="007B2E82">
        <w:rPr>
          <w:sz w:val="24"/>
          <w:szCs w:val="24"/>
        </w:rPr>
        <w:tab/>
      </w:r>
      <w:r w:rsidRPr="007B2E82">
        <w:rPr>
          <w:sz w:val="24"/>
          <w:szCs w:val="24"/>
        </w:rPr>
        <w:tab/>
        <w:t>3.</w:t>
      </w:r>
      <w:r w:rsidRPr="007B2E82">
        <w:rPr>
          <w:sz w:val="24"/>
          <w:szCs w:val="24"/>
        </w:rPr>
        <w:tab/>
      </w:r>
      <w:r w:rsidR="00925C73" w:rsidRPr="007B2E82">
        <w:rPr>
          <w:sz w:val="24"/>
          <w:szCs w:val="24"/>
        </w:rPr>
        <w:t xml:space="preserve">PPL Electric Utilities Corporation, a jurisdictional electricity supplier in the Commonwealth of Pennsylvania, was the Complainants’ incumbent electricity supplier and is their current </w:t>
      </w:r>
      <w:r w:rsidR="00477566" w:rsidRPr="007B2E82">
        <w:rPr>
          <w:sz w:val="24"/>
          <w:szCs w:val="24"/>
        </w:rPr>
        <w:t>default service electricity supplier.</w:t>
      </w:r>
      <w:r w:rsidR="00925C73" w:rsidRPr="007B2E82">
        <w:rPr>
          <w:sz w:val="24"/>
          <w:szCs w:val="24"/>
        </w:rPr>
        <w:t xml:space="preserve"> N.T. at 11.</w:t>
      </w:r>
    </w:p>
    <w:p w:rsidR="00141AFE" w:rsidRPr="007B2E82" w:rsidRDefault="00141AFE" w:rsidP="007B2E82">
      <w:pPr>
        <w:spacing w:line="360" w:lineRule="auto"/>
        <w:rPr>
          <w:sz w:val="24"/>
          <w:szCs w:val="24"/>
        </w:rPr>
      </w:pPr>
    </w:p>
    <w:p w:rsidR="00141AFE" w:rsidRPr="007B2E82" w:rsidRDefault="00141AFE" w:rsidP="007B2E82">
      <w:pPr>
        <w:spacing w:line="360" w:lineRule="auto"/>
        <w:rPr>
          <w:sz w:val="24"/>
          <w:szCs w:val="24"/>
        </w:rPr>
      </w:pPr>
      <w:r w:rsidRPr="007B2E82">
        <w:rPr>
          <w:sz w:val="24"/>
          <w:szCs w:val="24"/>
        </w:rPr>
        <w:tab/>
      </w:r>
      <w:r w:rsidRPr="007B2E82">
        <w:rPr>
          <w:sz w:val="24"/>
          <w:szCs w:val="24"/>
        </w:rPr>
        <w:tab/>
        <w:t>4.</w:t>
      </w:r>
      <w:r w:rsidRPr="007B2E82">
        <w:rPr>
          <w:sz w:val="24"/>
          <w:szCs w:val="24"/>
        </w:rPr>
        <w:tab/>
      </w:r>
      <w:r w:rsidR="00A82749" w:rsidRPr="007B2E82">
        <w:rPr>
          <w:sz w:val="24"/>
          <w:szCs w:val="24"/>
        </w:rPr>
        <w:t xml:space="preserve">The </w:t>
      </w:r>
      <w:r w:rsidR="00925C73" w:rsidRPr="007B2E82">
        <w:rPr>
          <w:sz w:val="24"/>
          <w:szCs w:val="24"/>
        </w:rPr>
        <w:t xml:space="preserve">Complainants switched their EGS to Viridian </w:t>
      </w:r>
      <w:r w:rsidR="000513F0" w:rsidRPr="007B2E82">
        <w:rPr>
          <w:sz w:val="24"/>
          <w:szCs w:val="24"/>
        </w:rPr>
        <w:t>but</w:t>
      </w:r>
      <w:r w:rsidR="00925C73" w:rsidRPr="007B2E82">
        <w:rPr>
          <w:sz w:val="24"/>
          <w:szCs w:val="24"/>
        </w:rPr>
        <w:t xml:space="preserve"> did not see a cost savings of 14.5%</w:t>
      </w:r>
      <w:r w:rsidR="00A82749" w:rsidRPr="007B2E82">
        <w:rPr>
          <w:sz w:val="24"/>
          <w:szCs w:val="24"/>
        </w:rPr>
        <w:t xml:space="preserve">.  </w:t>
      </w:r>
      <w:r w:rsidR="00477566" w:rsidRPr="007B2E82">
        <w:rPr>
          <w:sz w:val="24"/>
          <w:szCs w:val="24"/>
        </w:rPr>
        <w:t xml:space="preserve">Complaint at ¶ 4; </w:t>
      </w:r>
      <w:r w:rsidR="00A82749" w:rsidRPr="007B2E82">
        <w:rPr>
          <w:sz w:val="24"/>
          <w:szCs w:val="24"/>
        </w:rPr>
        <w:t>N.T. at 1</w:t>
      </w:r>
      <w:r w:rsidR="00925C73" w:rsidRPr="007B2E82">
        <w:rPr>
          <w:sz w:val="24"/>
          <w:szCs w:val="24"/>
        </w:rPr>
        <w:t>1</w:t>
      </w:r>
      <w:r w:rsidR="00A82749" w:rsidRPr="007B2E82">
        <w:rPr>
          <w:sz w:val="24"/>
          <w:szCs w:val="24"/>
        </w:rPr>
        <w:t>.</w:t>
      </w:r>
    </w:p>
    <w:p w:rsidR="00EF4A3C" w:rsidRPr="007B2E82" w:rsidRDefault="00EF4A3C" w:rsidP="007B2E82">
      <w:pPr>
        <w:spacing w:line="360" w:lineRule="auto"/>
        <w:rPr>
          <w:sz w:val="24"/>
          <w:szCs w:val="24"/>
        </w:rPr>
      </w:pPr>
    </w:p>
    <w:p w:rsidR="004F2E8E" w:rsidRPr="007B2E82" w:rsidRDefault="00141AFE" w:rsidP="007B2E82">
      <w:pPr>
        <w:spacing w:line="360" w:lineRule="auto"/>
        <w:rPr>
          <w:sz w:val="24"/>
          <w:szCs w:val="24"/>
        </w:rPr>
      </w:pPr>
      <w:r w:rsidRPr="007B2E82">
        <w:rPr>
          <w:sz w:val="24"/>
          <w:szCs w:val="24"/>
        </w:rPr>
        <w:tab/>
      </w:r>
      <w:r w:rsidRPr="007B2E82">
        <w:rPr>
          <w:sz w:val="24"/>
          <w:szCs w:val="24"/>
        </w:rPr>
        <w:tab/>
        <w:t>5.</w:t>
      </w:r>
      <w:r w:rsidRPr="007B2E82">
        <w:rPr>
          <w:sz w:val="24"/>
          <w:szCs w:val="24"/>
        </w:rPr>
        <w:tab/>
      </w:r>
      <w:r w:rsidR="00925C73" w:rsidRPr="007B2E82">
        <w:rPr>
          <w:sz w:val="24"/>
          <w:szCs w:val="24"/>
        </w:rPr>
        <w:t xml:space="preserve">Regional Energy Holdings is a holding company for Viridian.  </w:t>
      </w:r>
      <w:r w:rsidR="004F2E8E" w:rsidRPr="007B2E82">
        <w:rPr>
          <w:sz w:val="24"/>
          <w:szCs w:val="24"/>
        </w:rPr>
        <w:t>N.T. at 2</w:t>
      </w:r>
      <w:r w:rsidR="00925C73" w:rsidRPr="007B2E82">
        <w:rPr>
          <w:sz w:val="24"/>
          <w:szCs w:val="24"/>
        </w:rPr>
        <w:t>2</w:t>
      </w:r>
      <w:r w:rsidR="004F2E8E" w:rsidRPr="007B2E82">
        <w:rPr>
          <w:sz w:val="24"/>
          <w:szCs w:val="24"/>
        </w:rPr>
        <w:t>.</w:t>
      </w:r>
    </w:p>
    <w:p w:rsidR="004F2E8E" w:rsidRPr="007B2E82" w:rsidRDefault="004F2E8E" w:rsidP="007B2E82">
      <w:pPr>
        <w:spacing w:line="360" w:lineRule="auto"/>
        <w:rPr>
          <w:sz w:val="24"/>
          <w:szCs w:val="24"/>
        </w:rPr>
      </w:pPr>
    </w:p>
    <w:p w:rsidR="00141AFE" w:rsidRPr="007B2E82" w:rsidRDefault="00141AFE" w:rsidP="007B2E82">
      <w:pPr>
        <w:spacing w:line="360" w:lineRule="auto"/>
        <w:rPr>
          <w:sz w:val="24"/>
          <w:szCs w:val="24"/>
        </w:rPr>
      </w:pPr>
      <w:r w:rsidRPr="007B2E82">
        <w:rPr>
          <w:sz w:val="24"/>
          <w:szCs w:val="24"/>
        </w:rPr>
        <w:tab/>
      </w:r>
      <w:r w:rsidRPr="007B2E82">
        <w:rPr>
          <w:sz w:val="24"/>
          <w:szCs w:val="24"/>
        </w:rPr>
        <w:tab/>
        <w:t>6.</w:t>
      </w:r>
      <w:r w:rsidRPr="007B2E82">
        <w:rPr>
          <w:sz w:val="24"/>
          <w:szCs w:val="24"/>
        </w:rPr>
        <w:tab/>
      </w:r>
      <w:r w:rsidR="00941016" w:rsidRPr="007B2E82">
        <w:rPr>
          <w:sz w:val="24"/>
          <w:szCs w:val="24"/>
        </w:rPr>
        <w:t>Viridian does not advertise on the radio or on television.  N.</w:t>
      </w:r>
      <w:r w:rsidR="004F2E8E" w:rsidRPr="007B2E82">
        <w:rPr>
          <w:sz w:val="24"/>
          <w:szCs w:val="24"/>
        </w:rPr>
        <w:t>T. at 2</w:t>
      </w:r>
      <w:r w:rsidR="00941016" w:rsidRPr="007B2E82">
        <w:rPr>
          <w:sz w:val="24"/>
          <w:szCs w:val="24"/>
        </w:rPr>
        <w:t>4</w:t>
      </w:r>
      <w:r w:rsidR="00844B77" w:rsidRPr="007B2E82">
        <w:rPr>
          <w:sz w:val="24"/>
          <w:szCs w:val="24"/>
        </w:rPr>
        <w:t>, 34</w:t>
      </w:r>
      <w:r w:rsidR="004F2E8E" w:rsidRPr="007B2E82">
        <w:rPr>
          <w:sz w:val="24"/>
          <w:szCs w:val="24"/>
        </w:rPr>
        <w:t>.</w:t>
      </w:r>
    </w:p>
    <w:p w:rsidR="00141AFE" w:rsidRPr="007B2E82" w:rsidRDefault="00141AFE" w:rsidP="007B2E82">
      <w:pPr>
        <w:spacing w:line="360" w:lineRule="auto"/>
        <w:rPr>
          <w:sz w:val="24"/>
          <w:szCs w:val="24"/>
        </w:rPr>
      </w:pPr>
    </w:p>
    <w:p w:rsidR="00767047" w:rsidRPr="007B2E82" w:rsidRDefault="00141AFE" w:rsidP="007B2E82">
      <w:pPr>
        <w:spacing w:line="360" w:lineRule="auto"/>
        <w:rPr>
          <w:sz w:val="24"/>
          <w:szCs w:val="24"/>
        </w:rPr>
      </w:pPr>
      <w:r w:rsidRPr="007B2E82">
        <w:rPr>
          <w:sz w:val="24"/>
          <w:szCs w:val="24"/>
        </w:rPr>
        <w:tab/>
      </w:r>
      <w:r w:rsidRPr="007B2E82">
        <w:rPr>
          <w:sz w:val="24"/>
          <w:szCs w:val="24"/>
        </w:rPr>
        <w:tab/>
        <w:t>7.</w:t>
      </w:r>
      <w:r w:rsidRPr="007B2E82">
        <w:rPr>
          <w:sz w:val="24"/>
          <w:szCs w:val="24"/>
        </w:rPr>
        <w:tab/>
      </w:r>
      <w:r w:rsidR="00767047" w:rsidRPr="007B2E82">
        <w:rPr>
          <w:sz w:val="24"/>
          <w:szCs w:val="24"/>
        </w:rPr>
        <w:t xml:space="preserve">For a customer to enroll with Viridian, the customer may fill out a paper enrollment form and fax a copy to Viridian’s corporate office in Canada, or the customer can enroll on-line, </w:t>
      </w:r>
      <w:r w:rsidR="000513F0" w:rsidRPr="007B2E82">
        <w:rPr>
          <w:sz w:val="24"/>
          <w:szCs w:val="24"/>
        </w:rPr>
        <w:t xml:space="preserve">by telephone speaking with a Viridian representative, </w:t>
      </w:r>
      <w:r w:rsidR="00767047" w:rsidRPr="007B2E82">
        <w:rPr>
          <w:sz w:val="24"/>
          <w:szCs w:val="24"/>
        </w:rPr>
        <w:t>or the customer can call in</w:t>
      </w:r>
      <w:r w:rsidR="00477566" w:rsidRPr="007B2E82">
        <w:rPr>
          <w:sz w:val="24"/>
          <w:szCs w:val="24"/>
        </w:rPr>
        <w:t xml:space="preserve"> </w:t>
      </w:r>
      <w:r w:rsidR="00767047" w:rsidRPr="007B2E82">
        <w:rPr>
          <w:sz w:val="24"/>
          <w:szCs w:val="24"/>
        </w:rPr>
        <w:t>to Viridian’s call center.  N.T. at 24</w:t>
      </w:r>
      <w:r w:rsidR="003201D4" w:rsidRPr="007B2E82">
        <w:rPr>
          <w:sz w:val="24"/>
          <w:szCs w:val="24"/>
        </w:rPr>
        <w:t>, 50-51</w:t>
      </w:r>
      <w:r w:rsidR="00767047" w:rsidRPr="007B2E82">
        <w:rPr>
          <w:sz w:val="24"/>
          <w:szCs w:val="24"/>
        </w:rPr>
        <w:t>.</w:t>
      </w:r>
    </w:p>
    <w:p w:rsidR="00F3389A" w:rsidRPr="007B2E82" w:rsidRDefault="00F3389A" w:rsidP="007B2E82">
      <w:pPr>
        <w:spacing w:line="360" w:lineRule="auto"/>
        <w:rPr>
          <w:sz w:val="24"/>
          <w:szCs w:val="24"/>
        </w:rPr>
      </w:pPr>
    </w:p>
    <w:p w:rsidR="0038073F" w:rsidRPr="007B2E82" w:rsidRDefault="0038073F" w:rsidP="007B2E82">
      <w:pPr>
        <w:spacing w:line="360" w:lineRule="auto"/>
        <w:rPr>
          <w:sz w:val="24"/>
          <w:szCs w:val="24"/>
        </w:rPr>
      </w:pPr>
      <w:r w:rsidRPr="007B2E82">
        <w:rPr>
          <w:sz w:val="24"/>
          <w:szCs w:val="24"/>
        </w:rPr>
        <w:tab/>
      </w:r>
      <w:r w:rsidRPr="007B2E82">
        <w:rPr>
          <w:sz w:val="24"/>
          <w:szCs w:val="24"/>
        </w:rPr>
        <w:tab/>
        <w:t>8.</w:t>
      </w:r>
      <w:r w:rsidRPr="007B2E82">
        <w:rPr>
          <w:sz w:val="24"/>
          <w:szCs w:val="24"/>
        </w:rPr>
        <w:tab/>
      </w:r>
      <w:r w:rsidR="00767047" w:rsidRPr="007B2E82">
        <w:rPr>
          <w:sz w:val="24"/>
          <w:szCs w:val="24"/>
        </w:rPr>
        <w:t>Viridian does not guarantee savings</w:t>
      </w:r>
      <w:r w:rsidR="005E13BA" w:rsidRPr="007B2E82">
        <w:rPr>
          <w:sz w:val="24"/>
          <w:szCs w:val="24"/>
        </w:rPr>
        <w:t xml:space="preserve"> but offers a variable rate</w:t>
      </w:r>
      <w:r w:rsidR="0055472A" w:rsidRPr="007B2E82">
        <w:rPr>
          <w:sz w:val="24"/>
          <w:szCs w:val="24"/>
        </w:rPr>
        <w:t>. N.T. at 2</w:t>
      </w:r>
      <w:r w:rsidR="00767047" w:rsidRPr="007B2E82">
        <w:rPr>
          <w:sz w:val="24"/>
          <w:szCs w:val="24"/>
        </w:rPr>
        <w:t>4</w:t>
      </w:r>
      <w:r w:rsidR="00844B77" w:rsidRPr="007B2E82">
        <w:rPr>
          <w:sz w:val="24"/>
          <w:szCs w:val="24"/>
        </w:rPr>
        <w:t>, 34</w:t>
      </w:r>
      <w:r w:rsidR="00001B92" w:rsidRPr="007B2E82">
        <w:rPr>
          <w:sz w:val="24"/>
          <w:szCs w:val="24"/>
        </w:rPr>
        <w:t>, 56</w:t>
      </w:r>
      <w:r w:rsidR="0055472A" w:rsidRPr="007B2E82">
        <w:rPr>
          <w:sz w:val="24"/>
          <w:szCs w:val="24"/>
        </w:rPr>
        <w:t>.</w:t>
      </w:r>
    </w:p>
    <w:p w:rsidR="0055472A" w:rsidRPr="007B2E82" w:rsidRDefault="0055472A" w:rsidP="007B2E82">
      <w:pPr>
        <w:spacing w:line="360" w:lineRule="auto"/>
        <w:rPr>
          <w:sz w:val="24"/>
          <w:szCs w:val="24"/>
        </w:rPr>
      </w:pPr>
    </w:p>
    <w:p w:rsidR="00767047" w:rsidRPr="007B2E82" w:rsidRDefault="0055472A" w:rsidP="007B2E82">
      <w:pPr>
        <w:spacing w:line="360" w:lineRule="auto"/>
        <w:rPr>
          <w:sz w:val="24"/>
          <w:szCs w:val="24"/>
        </w:rPr>
      </w:pPr>
      <w:r w:rsidRPr="007B2E82">
        <w:rPr>
          <w:sz w:val="24"/>
          <w:szCs w:val="24"/>
        </w:rPr>
        <w:tab/>
      </w:r>
      <w:r w:rsidRPr="007B2E82">
        <w:rPr>
          <w:sz w:val="24"/>
          <w:szCs w:val="24"/>
        </w:rPr>
        <w:tab/>
        <w:t>9.</w:t>
      </w:r>
      <w:r w:rsidRPr="007B2E82">
        <w:rPr>
          <w:sz w:val="24"/>
          <w:szCs w:val="24"/>
        </w:rPr>
        <w:tab/>
      </w:r>
      <w:r w:rsidR="00767047" w:rsidRPr="007B2E82">
        <w:rPr>
          <w:sz w:val="24"/>
          <w:szCs w:val="24"/>
        </w:rPr>
        <w:t xml:space="preserve">Complainant Paul London enrolled with </w:t>
      </w:r>
      <w:r w:rsidR="007E069F">
        <w:rPr>
          <w:sz w:val="24"/>
          <w:szCs w:val="24"/>
        </w:rPr>
        <w:t>Viridian effective September 7, </w:t>
      </w:r>
      <w:r w:rsidR="00767047" w:rsidRPr="007B2E82">
        <w:rPr>
          <w:sz w:val="24"/>
          <w:szCs w:val="24"/>
        </w:rPr>
        <w:t xml:space="preserve">2010.  </w:t>
      </w:r>
      <w:r w:rsidR="002B4CC2" w:rsidRPr="007B2E82">
        <w:rPr>
          <w:sz w:val="24"/>
          <w:szCs w:val="24"/>
        </w:rPr>
        <w:t xml:space="preserve">N.T. at </w:t>
      </w:r>
      <w:r w:rsidR="003201D4" w:rsidRPr="007B2E82">
        <w:rPr>
          <w:sz w:val="24"/>
          <w:szCs w:val="24"/>
        </w:rPr>
        <w:t xml:space="preserve">28, </w:t>
      </w:r>
      <w:r w:rsidR="002B4CC2" w:rsidRPr="007B2E82">
        <w:rPr>
          <w:sz w:val="24"/>
          <w:szCs w:val="24"/>
        </w:rPr>
        <w:t>43</w:t>
      </w:r>
      <w:r w:rsidR="00001B92" w:rsidRPr="007B2E82">
        <w:rPr>
          <w:sz w:val="24"/>
          <w:szCs w:val="24"/>
        </w:rPr>
        <w:t>, 49-5</w:t>
      </w:r>
      <w:r w:rsidR="003201D4" w:rsidRPr="007B2E82">
        <w:rPr>
          <w:sz w:val="24"/>
          <w:szCs w:val="24"/>
        </w:rPr>
        <w:t>1</w:t>
      </w:r>
      <w:r w:rsidR="002B4CC2" w:rsidRPr="007B2E82">
        <w:rPr>
          <w:sz w:val="24"/>
          <w:szCs w:val="24"/>
        </w:rPr>
        <w:t xml:space="preserve">; </w:t>
      </w:r>
      <w:r w:rsidR="00767047" w:rsidRPr="007B2E82">
        <w:rPr>
          <w:sz w:val="24"/>
          <w:szCs w:val="24"/>
        </w:rPr>
        <w:t>Viridian Exhibit No. 2.</w:t>
      </w:r>
    </w:p>
    <w:p w:rsidR="00767047" w:rsidRPr="007B2E82" w:rsidRDefault="00767047" w:rsidP="007B2E82">
      <w:pPr>
        <w:spacing w:line="360" w:lineRule="auto"/>
        <w:rPr>
          <w:sz w:val="24"/>
          <w:szCs w:val="24"/>
        </w:rPr>
      </w:pPr>
    </w:p>
    <w:p w:rsidR="00F3389A" w:rsidRPr="007B2E82" w:rsidRDefault="00F3389A" w:rsidP="007B2E82">
      <w:pPr>
        <w:spacing w:line="360" w:lineRule="auto"/>
        <w:rPr>
          <w:sz w:val="24"/>
          <w:szCs w:val="24"/>
        </w:rPr>
      </w:pPr>
      <w:r w:rsidRPr="007B2E82">
        <w:rPr>
          <w:sz w:val="24"/>
          <w:szCs w:val="24"/>
        </w:rPr>
        <w:tab/>
      </w:r>
      <w:r w:rsidRPr="007B2E82">
        <w:rPr>
          <w:sz w:val="24"/>
          <w:szCs w:val="24"/>
        </w:rPr>
        <w:tab/>
        <w:t>10.</w:t>
      </w:r>
      <w:r w:rsidRPr="007B2E82">
        <w:rPr>
          <w:sz w:val="24"/>
          <w:szCs w:val="24"/>
        </w:rPr>
        <w:tab/>
      </w:r>
      <w:r w:rsidR="0088462F" w:rsidRPr="007B2E82">
        <w:rPr>
          <w:sz w:val="24"/>
          <w:szCs w:val="24"/>
        </w:rPr>
        <w:t xml:space="preserve">In Pennsylvania, Viridian uses independent contractors to call people with whom they already have a relationship to solicit enrollment with Viridian.  </w:t>
      </w:r>
      <w:r w:rsidRPr="007B2E82">
        <w:rPr>
          <w:sz w:val="24"/>
          <w:szCs w:val="24"/>
        </w:rPr>
        <w:t xml:space="preserve">N.T. at </w:t>
      </w:r>
      <w:r w:rsidR="0088462F" w:rsidRPr="007B2E82">
        <w:rPr>
          <w:sz w:val="24"/>
          <w:szCs w:val="24"/>
        </w:rPr>
        <w:t>36</w:t>
      </w:r>
      <w:r w:rsidRPr="007B2E82">
        <w:rPr>
          <w:sz w:val="24"/>
          <w:szCs w:val="24"/>
        </w:rPr>
        <w:t>.</w:t>
      </w:r>
    </w:p>
    <w:p w:rsidR="00F3389A" w:rsidRPr="007B2E82" w:rsidRDefault="00F3389A" w:rsidP="007B2E82">
      <w:pPr>
        <w:spacing w:line="360" w:lineRule="auto"/>
        <w:rPr>
          <w:sz w:val="24"/>
          <w:szCs w:val="24"/>
        </w:rPr>
      </w:pPr>
    </w:p>
    <w:p w:rsidR="00F3389A" w:rsidRPr="007B2E82" w:rsidRDefault="00F3389A" w:rsidP="007B2E82">
      <w:pPr>
        <w:spacing w:line="360" w:lineRule="auto"/>
        <w:rPr>
          <w:sz w:val="24"/>
          <w:szCs w:val="24"/>
        </w:rPr>
      </w:pPr>
      <w:r w:rsidRPr="007B2E82">
        <w:rPr>
          <w:sz w:val="24"/>
          <w:szCs w:val="24"/>
        </w:rPr>
        <w:tab/>
      </w:r>
      <w:r w:rsidRPr="007B2E82">
        <w:rPr>
          <w:sz w:val="24"/>
          <w:szCs w:val="24"/>
        </w:rPr>
        <w:tab/>
        <w:t>11.</w:t>
      </w:r>
      <w:r w:rsidRPr="007B2E82">
        <w:rPr>
          <w:sz w:val="24"/>
          <w:szCs w:val="24"/>
        </w:rPr>
        <w:tab/>
      </w:r>
      <w:r w:rsidR="0088462F" w:rsidRPr="007B2E82">
        <w:rPr>
          <w:sz w:val="24"/>
          <w:szCs w:val="24"/>
        </w:rPr>
        <w:t xml:space="preserve">Viridian has established policies and procedures for its phone solicitors, and if those policies and procedures are violated, sanctions—to include termination—may be imposed.  </w:t>
      </w:r>
      <w:r w:rsidRPr="007B2E82">
        <w:rPr>
          <w:sz w:val="24"/>
          <w:szCs w:val="24"/>
        </w:rPr>
        <w:t xml:space="preserve">N.T. at </w:t>
      </w:r>
      <w:r w:rsidR="0088462F" w:rsidRPr="007B2E82">
        <w:rPr>
          <w:sz w:val="24"/>
          <w:szCs w:val="24"/>
        </w:rPr>
        <w:t>3</w:t>
      </w:r>
      <w:r w:rsidRPr="007B2E82">
        <w:rPr>
          <w:sz w:val="24"/>
          <w:szCs w:val="24"/>
        </w:rPr>
        <w:t>6.</w:t>
      </w:r>
    </w:p>
    <w:p w:rsidR="00141AFE" w:rsidRPr="007B2E82" w:rsidRDefault="00F3389A" w:rsidP="007B2E82">
      <w:pPr>
        <w:spacing w:line="360" w:lineRule="auto"/>
        <w:rPr>
          <w:sz w:val="24"/>
          <w:szCs w:val="24"/>
        </w:rPr>
      </w:pPr>
      <w:r w:rsidRPr="007B2E82">
        <w:rPr>
          <w:sz w:val="24"/>
          <w:szCs w:val="24"/>
        </w:rPr>
        <w:t xml:space="preserve"> </w:t>
      </w:r>
    </w:p>
    <w:p w:rsidR="0088462F" w:rsidRPr="007B2E82" w:rsidRDefault="00141AFE" w:rsidP="007B2E82">
      <w:pPr>
        <w:spacing w:line="360" w:lineRule="auto"/>
        <w:rPr>
          <w:sz w:val="24"/>
          <w:szCs w:val="24"/>
        </w:rPr>
      </w:pPr>
      <w:r w:rsidRPr="007B2E82">
        <w:rPr>
          <w:sz w:val="24"/>
          <w:szCs w:val="24"/>
        </w:rPr>
        <w:tab/>
      </w:r>
      <w:r w:rsidRPr="007B2E82">
        <w:rPr>
          <w:sz w:val="24"/>
          <w:szCs w:val="24"/>
        </w:rPr>
        <w:tab/>
        <w:t>1</w:t>
      </w:r>
      <w:r w:rsidR="005D7C65" w:rsidRPr="007B2E82">
        <w:rPr>
          <w:sz w:val="24"/>
          <w:szCs w:val="24"/>
        </w:rPr>
        <w:t>2</w:t>
      </w:r>
      <w:r w:rsidRPr="007B2E82">
        <w:rPr>
          <w:sz w:val="24"/>
          <w:szCs w:val="24"/>
        </w:rPr>
        <w:t>.</w:t>
      </w:r>
      <w:r w:rsidRPr="007B2E82">
        <w:rPr>
          <w:sz w:val="24"/>
          <w:szCs w:val="24"/>
        </w:rPr>
        <w:tab/>
      </w:r>
      <w:r w:rsidR="0088462F" w:rsidRPr="007B2E82">
        <w:rPr>
          <w:sz w:val="24"/>
          <w:szCs w:val="24"/>
        </w:rPr>
        <w:t>Viridian telephone solicitors (or “associates”) have, in the past, been terminated from Viridian as a result of failure to follow policies and procedures.  N.T. at 36.</w:t>
      </w:r>
    </w:p>
    <w:p w:rsidR="0088462F" w:rsidRPr="007B2E82" w:rsidRDefault="0088462F" w:rsidP="007B2E82">
      <w:pPr>
        <w:spacing w:line="360" w:lineRule="auto"/>
        <w:rPr>
          <w:sz w:val="24"/>
          <w:szCs w:val="24"/>
        </w:rPr>
      </w:pPr>
    </w:p>
    <w:p w:rsidR="0088462F" w:rsidRPr="007B2E82" w:rsidRDefault="0088462F" w:rsidP="007B2E82">
      <w:pPr>
        <w:spacing w:line="360" w:lineRule="auto"/>
        <w:rPr>
          <w:sz w:val="24"/>
          <w:szCs w:val="24"/>
        </w:rPr>
      </w:pPr>
      <w:r w:rsidRPr="007B2E82">
        <w:rPr>
          <w:sz w:val="24"/>
          <w:szCs w:val="24"/>
        </w:rPr>
        <w:tab/>
      </w:r>
      <w:r w:rsidRPr="007B2E82">
        <w:rPr>
          <w:sz w:val="24"/>
          <w:szCs w:val="24"/>
        </w:rPr>
        <w:tab/>
        <w:t>13.</w:t>
      </w:r>
      <w:r w:rsidRPr="007B2E82">
        <w:rPr>
          <w:sz w:val="24"/>
          <w:szCs w:val="24"/>
        </w:rPr>
        <w:tab/>
        <w:t>Byron Read, the Viridian associate who enrolled the Complainants, was not terminated from Viridian; he resigned from Viridian.  N.T. at 37</w:t>
      </w:r>
      <w:r w:rsidR="00001B92" w:rsidRPr="007B2E82">
        <w:rPr>
          <w:sz w:val="24"/>
          <w:szCs w:val="24"/>
        </w:rPr>
        <w:t>; 47</w:t>
      </w:r>
      <w:r w:rsidRPr="007B2E82">
        <w:rPr>
          <w:sz w:val="24"/>
          <w:szCs w:val="24"/>
        </w:rPr>
        <w:t>.</w:t>
      </w:r>
    </w:p>
    <w:p w:rsidR="00885062" w:rsidRPr="007B2E82" w:rsidRDefault="00885062" w:rsidP="007B2E82">
      <w:pPr>
        <w:spacing w:line="360" w:lineRule="auto"/>
        <w:rPr>
          <w:sz w:val="24"/>
          <w:szCs w:val="24"/>
        </w:rPr>
      </w:pPr>
    </w:p>
    <w:p w:rsidR="00885062" w:rsidRPr="007B2E82" w:rsidRDefault="00885062" w:rsidP="007B2E82">
      <w:pPr>
        <w:spacing w:line="360" w:lineRule="auto"/>
        <w:rPr>
          <w:sz w:val="24"/>
          <w:szCs w:val="24"/>
        </w:rPr>
      </w:pPr>
      <w:r w:rsidRPr="007B2E82">
        <w:rPr>
          <w:sz w:val="24"/>
          <w:szCs w:val="24"/>
        </w:rPr>
        <w:tab/>
      </w:r>
      <w:r w:rsidRPr="007B2E82">
        <w:rPr>
          <w:sz w:val="24"/>
          <w:szCs w:val="24"/>
        </w:rPr>
        <w:tab/>
        <w:t>14.</w:t>
      </w:r>
      <w:r w:rsidRPr="007B2E82">
        <w:rPr>
          <w:sz w:val="24"/>
          <w:szCs w:val="24"/>
        </w:rPr>
        <w:tab/>
        <w:t>There is a personal computer in the Complainant’s home.  N.T. at 75.</w:t>
      </w:r>
    </w:p>
    <w:p w:rsidR="0088462F" w:rsidRPr="007B2E82" w:rsidRDefault="0088462F" w:rsidP="007B2E82">
      <w:pPr>
        <w:spacing w:line="360" w:lineRule="auto"/>
        <w:rPr>
          <w:sz w:val="24"/>
          <w:szCs w:val="24"/>
        </w:rPr>
      </w:pPr>
    </w:p>
    <w:p w:rsidR="005D7C65" w:rsidRPr="007B2E82" w:rsidRDefault="005D7C65" w:rsidP="007B2E82">
      <w:pPr>
        <w:spacing w:line="360" w:lineRule="auto"/>
        <w:jc w:val="center"/>
        <w:rPr>
          <w:sz w:val="24"/>
          <w:szCs w:val="24"/>
        </w:rPr>
      </w:pPr>
      <w:r w:rsidRPr="007B2E82">
        <w:rPr>
          <w:sz w:val="24"/>
          <w:szCs w:val="24"/>
          <w:u w:val="single"/>
        </w:rPr>
        <w:t>DISCUSSION</w:t>
      </w:r>
    </w:p>
    <w:p w:rsidR="005D7C65" w:rsidRPr="007B2E82" w:rsidRDefault="005D7C65" w:rsidP="007B2E82">
      <w:pPr>
        <w:spacing w:line="360" w:lineRule="auto"/>
        <w:jc w:val="center"/>
        <w:rPr>
          <w:sz w:val="24"/>
          <w:szCs w:val="24"/>
        </w:rPr>
      </w:pPr>
    </w:p>
    <w:p w:rsidR="005D7C65" w:rsidRPr="007B2E82" w:rsidRDefault="005D7C65" w:rsidP="007B2E82">
      <w:pPr>
        <w:spacing w:line="360" w:lineRule="auto"/>
        <w:rPr>
          <w:sz w:val="24"/>
          <w:szCs w:val="24"/>
        </w:rPr>
      </w:pPr>
      <w:r w:rsidRPr="007B2E82">
        <w:rPr>
          <w:sz w:val="24"/>
          <w:szCs w:val="24"/>
        </w:rPr>
        <w:tab/>
      </w:r>
      <w:r w:rsidRPr="007B2E82">
        <w:rPr>
          <w:sz w:val="24"/>
          <w:szCs w:val="24"/>
        </w:rPr>
        <w:tab/>
        <w:t>As the party seeking affirmative relief from the Commission, Complainant bears the burden of proof.  66 Pa. C.S.A § 332(a).</w:t>
      </w:r>
      <w:r w:rsidRPr="007B2E82">
        <w:rPr>
          <w:sz w:val="24"/>
          <w:szCs w:val="24"/>
        </w:rPr>
        <w:br/>
      </w:r>
      <w:r w:rsidRPr="007B2E82">
        <w:rPr>
          <w:sz w:val="24"/>
          <w:szCs w:val="24"/>
        </w:rPr>
        <w:br/>
      </w:r>
      <w:r w:rsidRPr="007B2E82">
        <w:rPr>
          <w:sz w:val="24"/>
          <w:szCs w:val="24"/>
        </w:rPr>
        <w:tab/>
      </w:r>
      <w:r w:rsidRPr="007B2E82">
        <w:rPr>
          <w:sz w:val="24"/>
          <w:szCs w:val="24"/>
        </w:rPr>
        <w:tab/>
        <w:t xml:space="preserve">To satisfy this burden, a complainant must show that the named utility is responsible or accountable for the problem described in the Complaint. </w:t>
      </w:r>
      <w:r w:rsidRPr="007B2E82">
        <w:rPr>
          <w:i/>
          <w:sz w:val="24"/>
          <w:szCs w:val="24"/>
        </w:rPr>
        <w:t>Patterson v. Bell Telephone Company of Pennsylvania</w:t>
      </w:r>
      <w:r w:rsidRPr="007B2E82">
        <w:rPr>
          <w:sz w:val="24"/>
          <w:szCs w:val="24"/>
        </w:rPr>
        <w:t>, 72 PA PUC 196 (1990);  </w:t>
      </w:r>
      <w:r w:rsidRPr="007B2E82">
        <w:rPr>
          <w:i/>
          <w:sz w:val="24"/>
          <w:szCs w:val="24"/>
        </w:rPr>
        <w:t>Feinstein v. Philadelphia Suburban Water Company</w:t>
      </w:r>
      <w:r w:rsidRPr="007B2E82">
        <w:rPr>
          <w:sz w:val="24"/>
          <w:szCs w:val="24"/>
        </w:rPr>
        <w:t xml:space="preserve">, 50 PA PUC 300 (1976). This must be shown by a preponderance of the evidence.  </w:t>
      </w:r>
      <w:r w:rsidRPr="007B2E82">
        <w:rPr>
          <w:i/>
          <w:sz w:val="24"/>
          <w:szCs w:val="24"/>
        </w:rPr>
        <w:t>Samuel J. Lansberry, Inc. v. PA Pub. Util. Comm'n</w:t>
      </w:r>
      <w:r w:rsidRPr="007B2E82">
        <w:rPr>
          <w:sz w:val="24"/>
          <w:szCs w:val="24"/>
        </w:rPr>
        <w:t xml:space="preserve">, 578 A.2d 600 (Pa. Cmwlth. 1990), </w:t>
      </w:r>
      <w:r w:rsidRPr="007B2E82">
        <w:rPr>
          <w:i/>
          <w:iCs/>
          <w:sz w:val="24"/>
          <w:szCs w:val="24"/>
        </w:rPr>
        <w:t>alloc. den</w:t>
      </w:r>
      <w:r w:rsidRPr="007B2E82">
        <w:rPr>
          <w:sz w:val="24"/>
          <w:szCs w:val="24"/>
        </w:rPr>
        <w:t>., 602 A.2d 863 (Pa. 1992).</w:t>
      </w:r>
      <w:r w:rsidR="00885062" w:rsidRPr="007B2E82">
        <w:rPr>
          <w:sz w:val="24"/>
          <w:szCs w:val="24"/>
        </w:rPr>
        <w:t xml:space="preserve"> </w:t>
      </w:r>
      <w:r w:rsidRPr="007B2E82">
        <w:rPr>
          <w:sz w:val="24"/>
          <w:szCs w:val="24"/>
        </w:rPr>
        <w:t xml:space="preserve"> That is, by presenting evidence more convincing, by even the smallest amount, than that presented by the other party.  </w:t>
      </w:r>
      <w:r w:rsidRPr="007B2E82">
        <w:rPr>
          <w:i/>
          <w:sz w:val="24"/>
          <w:szCs w:val="24"/>
        </w:rPr>
        <w:t>Se-Ling Hosiery v. Margulies</w:t>
      </w:r>
      <w:r w:rsidRPr="007B2E82">
        <w:rPr>
          <w:sz w:val="24"/>
          <w:szCs w:val="24"/>
        </w:rPr>
        <w:t xml:space="preserve">, 70 A.2d 854 (Pa. 1950).  Additionally, any finding of fact necessary to support the Commission's adjudication must be based upon substantial evidence.  </w:t>
      </w:r>
      <w:r w:rsidRPr="007B2E82">
        <w:rPr>
          <w:i/>
          <w:sz w:val="24"/>
          <w:szCs w:val="24"/>
        </w:rPr>
        <w:t>Mill v. Comm'w., PA Pub. Util. Comm'n</w:t>
      </w:r>
      <w:r w:rsidRPr="007B2E82">
        <w:rPr>
          <w:sz w:val="24"/>
          <w:szCs w:val="24"/>
        </w:rPr>
        <w:t xml:space="preserve">, 447 A.2d 1100 (Pa. Cmwlth. 1982);  </w:t>
      </w:r>
      <w:r w:rsidRPr="007B2E82">
        <w:rPr>
          <w:i/>
          <w:sz w:val="24"/>
          <w:szCs w:val="24"/>
        </w:rPr>
        <w:t>Edan Transportation Corp. v. PA Pub. Util. Comm'n</w:t>
      </w:r>
      <w:r w:rsidRPr="007B2E82">
        <w:rPr>
          <w:sz w:val="24"/>
          <w:szCs w:val="24"/>
        </w:rPr>
        <w:t xml:space="preserve">, 623 A.2d 6 (Pa. Cmwlth. 1993), 2 Pa.C.S. § 704.  More is required than a mere trace of evidence or a suspicion of the existence of a fact sought to be established.  </w:t>
      </w:r>
      <w:r w:rsidRPr="007B2E82">
        <w:rPr>
          <w:i/>
          <w:sz w:val="24"/>
          <w:szCs w:val="24"/>
        </w:rPr>
        <w:t>Norfolk and Western Ry. v. PA Pub. Util. Comm'n</w:t>
      </w:r>
      <w:r w:rsidRPr="007B2E82">
        <w:rPr>
          <w:sz w:val="24"/>
          <w:szCs w:val="24"/>
        </w:rPr>
        <w:t xml:space="preserve">, 413 A.2d 1037 (Pa. 1980);  </w:t>
      </w:r>
      <w:r w:rsidRPr="007B2E82">
        <w:rPr>
          <w:i/>
          <w:sz w:val="24"/>
          <w:szCs w:val="24"/>
        </w:rPr>
        <w:t>Erie Resistor Corp. v. Unemployment Compensation Bd. of Review</w:t>
      </w:r>
      <w:r w:rsidRPr="007B2E82">
        <w:rPr>
          <w:sz w:val="24"/>
          <w:szCs w:val="24"/>
        </w:rPr>
        <w:t xml:space="preserve">, 166 A.2d 96 (Pa. Super. 1960);  </w:t>
      </w:r>
      <w:r w:rsidRPr="007B2E82">
        <w:rPr>
          <w:i/>
          <w:sz w:val="24"/>
          <w:szCs w:val="24"/>
        </w:rPr>
        <w:t>Murphy v. Commonwealth, Dep't. of Public Welfare, White Haven Center</w:t>
      </w:r>
      <w:r w:rsidRPr="007B2E82">
        <w:rPr>
          <w:sz w:val="24"/>
          <w:szCs w:val="24"/>
        </w:rPr>
        <w:t>, 480 A.2d 382 (Pa. Cmwlth. 1984).</w:t>
      </w:r>
    </w:p>
    <w:p w:rsidR="005D7C65" w:rsidRPr="007B2E82" w:rsidRDefault="005D7C65" w:rsidP="007B2E82">
      <w:pPr>
        <w:spacing w:line="360" w:lineRule="auto"/>
        <w:rPr>
          <w:sz w:val="24"/>
          <w:szCs w:val="24"/>
        </w:rPr>
      </w:pPr>
    </w:p>
    <w:p w:rsidR="00B46EE3" w:rsidRPr="007B2E82" w:rsidRDefault="005D7C65" w:rsidP="007B2E82">
      <w:pPr>
        <w:spacing w:line="360" w:lineRule="auto"/>
        <w:rPr>
          <w:sz w:val="24"/>
          <w:szCs w:val="24"/>
        </w:rPr>
      </w:pPr>
      <w:r w:rsidRPr="007B2E82">
        <w:rPr>
          <w:sz w:val="24"/>
          <w:szCs w:val="24"/>
        </w:rPr>
        <w:tab/>
      </w:r>
      <w:r w:rsidRPr="007B2E82">
        <w:rPr>
          <w:sz w:val="24"/>
          <w:szCs w:val="24"/>
        </w:rPr>
        <w:tab/>
      </w:r>
      <w:r w:rsidR="00464398" w:rsidRPr="007B2E82">
        <w:rPr>
          <w:sz w:val="24"/>
          <w:szCs w:val="24"/>
        </w:rPr>
        <w:t>The essence of this Complaint is that Complainant</w:t>
      </w:r>
      <w:r w:rsidR="00B46EE3" w:rsidRPr="007B2E82">
        <w:rPr>
          <w:sz w:val="24"/>
          <w:szCs w:val="24"/>
        </w:rPr>
        <w:t>s</w:t>
      </w:r>
      <w:r w:rsidR="00464398" w:rsidRPr="007B2E82">
        <w:rPr>
          <w:sz w:val="24"/>
          <w:szCs w:val="24"/>
        </w:rPr>
        <w:t xml:space="preserve"> claim</w:t>
      </w:r>
      <w:r w:rsidR="00B46EE3" w:rsidRPr="007B2E82">
        <w:rPr>
          <w:sz w:val="24"/>
          <w:szCs w:val="24"/>
        </w:rPr>
        <w:t xml:space="preserve"> that Viridian engaged in </w:t>
      </w:r>
      <w:r w:rsidR="00477566" w:rsidRPr="007B2E82">
        <w:rPr>
          <w:sz w:val="24"/>
          <w:szCs w:val="24"/>
        </w:rPr>
        <w:t xml:space="preserve">false or </w:t>
      </w:r>
      <w:r w:rsidR="00B46EE3" w:rsidRPr="007B2E82">
        <w:rPr>
          <w:sz w:val="24"/>
          <w:szCs w:val="24"/>
        </w:rPr>
        <w:t>misleading radio advertising and failed to provide the Complainants with a</w:t>
      </w:r>
      <w:r w:rsidR="00FF2313" w:rsidRPr="007B2E82">
        <w:rPr>
          <w:sz w:val="24"/>
          <w:szCs w:val="24"/>
        </w:rPr>
        <w:t>n allegedly</w:t>
      </w:r>
      <w:r w:rsidR="00B46EE3" w:rsidRPr="007B2E82">
        <w:rPr>
          <w:sz w:val="24"/>
          <w:szCs w:val="24"/>
        </w:rPr>
        <w:t xml:space="preserve"> promised 14.5 percent level of savings on their electricity generation</w:t>
      </w:r>
      <w:r w:rsidR="0050417A" w:rsidRPr="007B2E82">
        <w:rPr>
          <w:sz w:val="24"/>
          <w:szCs w:val="24"/>
        </w:rPr>
        <w:t xml:space="preserve"> service</w:t>
      </w:r>
      <w:r w:rsidR="00B46EE3" w:rsidRPr="007B2E82">
        <w:rPr>
          <w:sz w:val="24"/>
          <w:szCs w:val="24"/>
        </w:rPr>
        <w:t>.</w:t>
      </w:r>
      <w:r w:rsidR="003D6389" w:rsidRPr="007B2E82">
        <w:rPr>
          <w:rStyle w:val="FootnoteReference"/>
          <w:sz w:val="24"/>
          <w:szCs w:val="24"/>
        </w:rPr>
        <w:footnoteReference w:id="3"/>
      </w:r>
      <w:r w:rsidR="00B46EE3" w:rsidRPr="007B2E82">
        <w:rPr>
          <w:sz w:val="24"/>
          <w:szCs w:val="24"/>
        </w:rPr>
        <w:t xml:space="preserve">  </w:t>
      </w:r>
      <w:r w:rsidR="006B1387" w:rsidRPr="007B2E82">
        <w:rPr>
          <w:sz w:val="24"/>
          <w:szCs w:val="24"/>
        </w:rPr>
        <w:t xml:space="preserve">The Commission’s regulation at 52 Pa. Code § 54.122(3) requires that an electric distribution company or electric generation supplier may not engage in false or deceptive advertising to customers with respect to the retail supply of electricity in this Commonwealth.  </w:t>
      </w:r>
      <w:r w:rsidR="00B46EE3" w:rsidRPr="007B2E82">
        <w:rPr>
          <w:sz w:val="24"/>
          <w:szCs w:val="24"/>
        </w:rPr>
        <w:t xml:space="preserve">The Complainants also deny that they signed up for Viridian’s service over the internet.  Viridian </w:t>
      </w:r>
      <w:r w:rsidR="00FA0DD6" w:rsidRPr="007B2E82">
        <w:rPr>
          <w:sz w:val="24"/>
          <w:szCs w:val="24"/>
        </w:rPr>
        <w:t>responded</w:t>
      </w:r>
      <w:r w:rsidR="00B46EE3" w:rsidRPr="007B2E82">
        <w:rPr>
          <w:sz w:val="24"/>
          <w:szCs w:val="24"/>
        </w:rPr>
        <w:t xml:space="preserve"> that it offers only a variable rate, that it does not conduct radio advertising, and that the Complainants were signed up for Viridian’s service.</w:t>
      </w:r>
      <w:r w:rsidR="003201D4" w:rsidRPr="007B2E82">
        <w:rPr>
          <w:rStyle w:val="FootnoteReference"/>
          <w:sz w:val="24"/>
          <w:szCs w:val="24"/>
        </w:rPr>
        <w:footnoteReference w:id="4"/>
      </w:r>
      <w:r w:rsidR="00D36DE5" w:rsidRPr="007B2E82">
        <w:rPr>
          <w:sz w:val="24"/>
          <w:szCs w:val="24"/>
        </w:rPr>
        <w:t xml:space="preserve">  N.T. at 2</w:t>
      </w:r>
      <w:r w:rsidR="003201D4" w:rsidRPr="007B2E82">
        <w:rPr>
          <w:sz w:val="24"/>
          <w:szCs w:val="24"/>
        </w:rPr>
        <w:t>8</w:t>
      </w:r>
      <w:r w:rsidR="00D36DE5" w:rsidRPr="007B2E82">
        <w:rPr>
          <w:sz w:val="24"/>
          <w:szCs w:val="24"/>
        </w:rPr>
        <w:t>; Viridian Exhibit No. 2.</w:t>
      </w:r>
    </w:p>
    <w:p w:rsidR="00B46EE3" w:rsidRPr="007B2E82" w:rsidRDefault="00B46EE3" w:rsidP="007B2E82">
      <w:pPr>
        <w:spacing w:line="360" w:lineRule="auto"/>
        <w:rPr>
          <w:sz w:val="24"/>
          <w:szCs w:val="24"/>
        </w:rPr>
      </w:pPr>
    </w:p>
    <w:p w:rsidR="00547727" w:rsidRPr="007B2E82" w:rsidRDefault="00885062" w:rsidP="007B2E82">
      <w:pPr>
        <w:spacing w:line="360" w:lineRule="auto"/>
        <w:rPr>
          <w:sz w:val="24"/>
          <w:szCs w:val="24"/>
        </w:rPr>
      </w:pPr>
      <w:r w:rsidRPr="007B2E82">
        <w:rPr>
          <w:sz w:val="24"/>
          <w:szCs w:val="24"/>
        </w:rPr>
        <w:tab/>
      </w:r>
      <w:r w:rsidRPr="007B2E82">
        <w:rPr>
          <w:sz w:val="24"/>
          <w:szCs w:val="24"/>
        </w:rPr>
        <w:tab/>
        <w:t xml:space="preserve">As stated, above, the Complainants bear the burden of proof in this proceeding by a preponderance of the evidence.  </w:t>
      </w:r>
      <w:r w:rsidR="00B542E3" w:rsidRPr="007B2E82">
        <w:rPr>
          <w:sz w:val="24"/>
          <w:szCs w:val="24"/>
        </w:rPr>
        <w:t xml:space="preserve">Regardless of the method used, </w:t>
      </w:r>
      <w:r w:rsidR="00FF2313" w:rsidRPr="007B2E82">
        <w:rPr>
          <w:sz w:val="24"/>
          <w:szCs w:val="24"/>
        </w:rPr>
        <w:t xml:space="preserve">it is uncontested that </w:t>
      </w:r>
      <w:r w:rsidR="00B542E3" w:rsidRPr="007B2E82">
        <w:rPr>
          <w:sz w:val="24"/>
          <w:szCs w:val="24"/>
        </w:rPr>
        <w:t>t</w:t>
      </w:r>
      <w:r w:rsidRPr="007B2E82">
        <w:rPr>
          <w:sz w:val="24"/>
          <w:szCs w:val="24"/>
        </w:rPr>
        <w:t xml:space="preserve">he Complainants </w:t>
      </w:r>
      <w:r w:rsidRPr="007B2E82">
        <w:rPr>
          <w:sz w:val="24"/>
          <w:szCs w:val="24"/>
          <w:u w:val="single"/>
        </w:rPr>
        <w:t>did</w:t>
      </w:r>
      <w:r w:rsidRPr="007B2E82">
        <w:rPr>
          <w:sz w:val="24"/>
          <w:szCs w:val="24"/>
        </w:rPr>
        <w:t xml:space="preserve"> enroll with Viridian as an alternate energy supplier</w:t>
      </w:r>
      <w:r w:rsidR="008502DA" w:rsidRPr="007B2E82">
        <w:rPr>
          <w:sz w:val="24"/>
          <w:szCs w:val="24"/>
        </w:rPr>
        <w:t>.</w:t>
      </w:r>
      <w:r w:rsidR="008502DA" w:rsidRPr="007B2E82">
        <w:rPr>
          <w:rStyle w:val="FootnoteReference"/>
          <w:sz w:val="24"/>
          <w:szCs w:val="24"/>
        </w:rPr>
        <w:footnoteReference w:id="5"/>
      </w:r>
      <w:r w:rsidR="008502DA" w:rsidRPr="007B2E82">
        <w:rPr>
          <w:sz w:val="24"/>
          <w:szCs w:val="24"/>
        </w:rPr>
        <w:t xml:space="preserve"> </w:t>
      </w:r>
      <w:r w:rsidR="00B542E3" w:rsidRPr="007B2E82">
        <w:rPr>
          <w:sz w:val="24"/>
          <w:szCs w:val="24"/>
        </w:rPr>
        <w:t>Finding of Fact No. 9; N.T. at 43, 49-50; Viridian Exhibit No. 2.</w:t>
      </w:r>
      <w:r w:rsidR="008502DA" w:rsidRPr="007B2E82">
        <w:rPr>
          <w:sz w:val="24"/>
          <w:szCs w:val="24"/>
        </w:rPr>
        <w:t xml:space="preserve"> </w:t>
      </w:r>
      <w:r w:rsidR="00B542E3" w:rsidRPr="007B2E82">
        <w:rPr>
          <w:sz w:val="24"/>
          <w:szCs w:val="24"/>
        </w:rPr>
        <w:t xml:space="preserve"> </w:t>
      </w:r>
      <w:r w:rsidR="003201D4" w:rsidRPr="007B2E82">
        <w:rPr>
          <w:sz w:val="24"/>
          <w:szCs w:val="24"/>
        </w:rPr>
        <w:t>While there is some confusion as to how the Complainants enrolled with Viridian, i.e. by internet or by telephone, there is no dispute that the Complainants enrolled with Viridian as an EGS.</w:t>
      </w:r>
      <w:r w:rsidR="003201D4" w:rsidRPr="007B2E82">
        <w:rPr>
          <w:rStyle w:val="FootnoteReference"/>
          <w:sz w:val="24"/>
          <w:szCs w:val="24"/>
        </w:rPr>
        <w:footnoteReference w:id="6"/>
      </w:r>
      <w:r w:rsidR="003201D4" w:rsidRPr="007B2E82">
        <w:rPr>
          <w:sz w:val="24"/>
          <w:szCs w:val="24"/>
        </w:rPr>
        <w:t xml:space="preserve">  </w:t>
      </w:r>
      <w:r w:rsidR="008502DA" w:rsidRPr="007B2E82">
        <w:rPr>
          <w:sz w:val="24"/>
          <w:szCs w:val="24"/>
        </w:rPr>
        <w:t xml:space="preserve">The Complainants </w:t>
      </w:r>
      <w:r w:rsidRPr="007B2E82">
        <w:rPr>
          <w:sz w:val="24"/>
          <w:szCs w:val="24"/>
        </w:rPr>
        <w:t>have not demonstrated—by a preponderance of the evidence—that they were guaranteed an energy cost savings of 14.5 percent</w:t>
      </w:r>
      <w:r w:rsidR="00B542E3" w:rsidRPr="007B2E82">
        <w:rPr>
          <w:sz w:val="24"/>
          <w:szCs w:val="24"/>
        </w:rPr>
        <w:t xml:space="preserve"> prior to or at the time of their enrollment</w:t>
      </w:r>
      <w:r w:rsidR="00FF2313" w:rsidRPr="007B2E82">
        <w:rPr>
          <w:sz w:val="24"/>
          <w:szCs w:val="24"/>
        </w:rPr>
        <w:t xml:space="preserve"> </w:t>
      </w:r>
      <w:r w:rsidR="006B1387" w:rsidRPr="007B2E82">
        <w:rPr>
          <w:sz w:val="24"/>
          <w:szCs w:val="24"/>
        </w:rPr>
        <w:t xml:space="preserve">or </w:t>
      </w:r>
      <w:r w:rsidR="00FF2313" w:rsidRPr="007B2E82">
        <w:rPr>
          <w:sz w:val="24"/>
          <w:szCs w:val="24"/>
        </w:rPr>
        <w:t>that Viridian engaged in false or deceptive advertising</w:t>
      </w:r>
      <w:r w:rsidRPr="007B2E82">
        <w:rPr>
          <w:sz w:val="24"/>
          <w:szCs w:val="24"/>
        </w:rPr>
        <w:t>.</w:t>
      </w:r>
      <w:r w:rsidR="00B542E3" w:rsidRPr="007B2E82">
        <w:rPr>
          <w:sz w:val="24"/>
          <w:szCs w:val="24"/>
        </w:rPr>
        <w:t xml:space="preserve">    </w:t>
      </w:r>
    </w:p>
    <w:p w:rsidR="00885062" w:rsidRPr="007B2E82" w:rsidRDefault="00885062" w:rsidP="007B2E82">
      <w:pPr>
        <w:spacing w:line="360" w:lineRule="auto"/>
        <w:rPr>
          <w:sz w:val="24"/>
          <w:szCs w:val="24"/>
        </w:rPr>
      </w:pPr>
    </w:p>
    <w:p w:rsidR="00405CCE" w:rsidRPr="007B2E82" w:rsidRDefault="00885062" w:rsidP="007B2E82">
      <w:pPr>
        <w:spacing w:line="360" w:lineRule="auto"/>
        <w:rPr>
          <w:sz w:val="24"/>
          <w:szCs w:val="24"/>
        </w:rPr>
      </w:pPr>
      <w:r w:rsidRPr="007B2E82">
        <w:rPr>
          <w:sz w:val="24"/>
          <w:szCs w:val="24"/>
        </w:rPr>
        <w:tab/>
      </w:r>
      <w:r w:rsidRPr="007B2E82">
        <w:rPr>
          <w:sz w:val="24"/>
          <w:szCs w:val="24"/>
        </w:rPr>
        <w:tab/>
      </w:r>
      <w:r w:rsidR="00405CCE" w:rsidRPr="007B2E82">
        <w:rPr>
          <w:sz w:val="24"/>
          <w:szCs w:val="24"/>
        </w:rPr>
        <w:t>In the formal Complaint, there was reference made to a false e-mail address, the relevanc</w:t>
      </w:r>
      <w:r w:rsidR="00FF2313" w:rsidRPr="007B2E82">
        <w:rPr>
          <w:sz w:val="24"/>
          <w:szCs w:val="24"/>
        </w:rPr>
        <w:t>e</w:t>
      </w:r>
      <w:r w:rsidR="00405CCE" w:rsidRPr="007B2E82">
        <w:rPr>
          <w:sz w:val="24"/>
          <w:szCs w:val="24"/>
        </w:rPr>
        <w:t xml:space="preserve"> of which was not developed at hearing.  Complaint at ¶ 4B.  Similarly, the dispute over how enrollment was accomplished, whether by phone or over the internet, is not a fact of relevanc</w:t>
      </w:r>
      <w:r w:rsidR="00250147" w:rsidRPr="007B2E82">
        <w:rPr>
          <w:sz w:val="24"/>
          <w:szCs w:val="24"/>
        </w:rPr>
        <w:t>e</w:t>
      </w:r>
      <w:r w:rsidR="00405CCE" w:rsidRPr="007B2E82">
        <w:rPr>
          <w:sz w:val="24"/>
          <w:szCs w:val="24"/>
        </w:rPr>
        <w:t>, here.  I suspect that the Complainants may have heard a radio advertisement</w:t>
      </w:r>
      <w:r w:rsidR="00FF2313" w:rsidRPr="007B2E82">
        <w:rPr>
          <w:sz w:val="24"/>
          <w:szCs w:val="24"/>
        </w:rPr>
        <w:t xml:space="preserve"> touting savings</w:t>
      </w:r>
      <w:r w:rsidR="00405CCE" w:rsidRPr="007B2E82">
        <w:rPr>
          <w:sz w:val="24"/>
          <w:szCs w:val="24"/>
        </w:rPr>
        <w:t>, perhaps from another EGS</w:t>
      </w:r>
      <w:r w:rsidR="00FF2313" w:rsidRPr="007B2E82">
        <w:rPr>
          <w:sz w:val="24"/>
          <w:szCs w:val="24"/>
        </w:rPr>
        <w:t xml:space="preserve"> or with respect to electric choice, generally</w:t>
      </w:r>
      <w:r w:rsidR="00405CCE" w:rsidRPr="007B2E82">
        <w:rPr>
          <w:sz w:val="24"/>
          <w:szCs w:val="24"/>
        </w:rPr>
        <w:t>, in proximity to the time that the Viridian solicitation</w:t>
      </w:r>
      <w:r w:rsidR="00AA13DD" w:rsidRPr="007B2E82">
        <w:rPr>
          <w:sz w:val="24"/>
          <w:szCs w:val="24"/>
        </w:rPr>
        <w:t>, or Complainants’ call to Viridian,</w:t>
      </w:r>
      <w:r w:rsidR="00405CCE" w:rsidRPr="007B2E82">
        <w:rPr>
          <w:sz w:val="24"/>
          <w:szCs w:val="24"/>
        </w:rPr>
        <w:t xml:space="preserve"> occurred.  But the fact is that Viridian offers a variable rate, not a guaranteed rate of savings. N.T. at 24, 34, 56.  Further, the Complainants’ </w:t>
      </w:r>
      <w:r w:rsidR="00FF2313" w:rsidRPr="007B2E82">
        <w:rPr>
          <w:sz w:val="24"/>
          <w:szCs w:val="24"/>
        </w:rPr>
        <w:t xml:space="preserve">speculative </w:t>
      </w:r>
      <w:r w:rsidR="00405CCE" w:rsidRPr="007B2E82">
        <w:rPr>
          <w:sz w:val="24"/>
          <w:szCs w:val="24"/>
        </w:rPr>
        <w:t xml:space="preserve">argument in closing that a “rogue associate” of Viridian’s </w:t>
      </w:r>
      <w:r w:rsidR="00FF2313" w:rsidRPr="007B2E82">
        <w:rPr>
          <w:sz w:val="24"/>
          <w:szCs w:val="24"/>
        </w:rPr>
        <w:t xml:space="preserve">may have taken it </w:t>
      </w:r>
      <w:r w:rsidR="00405CCE" w:rsidRPr="007B2E82">
        <w:rPr>
          <w:sz w:val="24"/>
          <w:szCs w:val="24"/>
        </w:rPr>
        <w:t xml:space="preserve">upon himself to go on the radio and to offer a 14.5 percent savings is unsupported by any evidence of record.  N.T. at </w:t>
      </w:r>
      <w:r w:rsidR="00D77E88" w:rsidRPr="007B2E82">
        <w:rPr>
          <w:sz w:val="24"/>
          <w:szCs w:val="24"/>
        </w:rPr>
        <w:t>72-73.</w:t>
      </w:r>
    </w:p>
    <w:p w:rsidR="00885062" w:rsidRPr="007B2E82" w:rsidRDefault="00885062" w:rsidP="007B2E82">
      <w:pPr>
        <w:spacing w:line="360" w:lineRule="auto"/>
        <w:rPr>
          <w:sz w:val="24"/>
          <w:szCs w:val="24"/>
        </w:rPr>
      </w:pPr>
    </w:p>
    <w:p w:rsidR="00532B33" w:rsidRPr="007B2E82" w:rsidRDefault="00D77E88" w:rsidP="007B2E82">
      <w:pPr>
        <w:spacing w:line="360" w:lineRule="auto"/>
        <w:rPr>
          <w:sz w:val="24"/>
          <w:szCs w:val="24"/>
        </w:rPr>
      </w:pPr>
      <w:r w:rsidRPr="007B2E82">
        <w:rPr>
          <w:sz w:val="24"/>
          <w:szCs w:val="24"/>
        </w:rPr>
        <w:tab/>
      </w:r>
      <w:r w:rsidRPr="007B2E82">
        <w:rPr>
          <w:sz w:val="24"/>
          <w:szCs w:val="24"/>
        </w:rPr>
        <w:tab/>
      </w:r>
      <w:r w:rsidR="00FF2313" w:rsidRPr="007B2E82">
        <w:rPr>
          <w:sz w:val="24"/>
          <w:szCs w:val="24"/>
        </w:rPr>
        <w:t xml:space="preserve">Complainants, who were proceeding </w:t>
      </w:r>
      <w:r w:rsidRPr="007B2E82">
        <w:rPr>
          <w:i/>
          <w:sz w:val="24"/>
          <w:szCs w:val="24"/>
        </w:rPr>
        <w:t>pro se</w:t>
      </w:r>
      <w:r w:rsidR="00FF2313" w:rsidRPr="007B2E82">
        <w:rPr>
          <w:sz w:val="24"/>
          <w:szCs w:val="24"/>
        </w:rPr>
        <w:t xml:space="preserve">, </w:t>
      </w:r>
      <w:r w:rsidRPr="007B2E82">
        <w:rPr>
          <w:sz w:val="24"/>
          <w:szCs w:val="24"/>
        </w:rPr>
        <w:t xml:space="preserve">were afforded wide scope to develop their case over the repeated objections of counsel for Viridian as to the essentially hearsay nature of much of the Complainants’ testimony.  </w:t>
      </w:r>
      <w:r w:rsidR="004E64A1" w:rsidRPr="007B2E82">
        <w:rPr>
          <w:sz w:val="24"/>
          <w:szCs w:val="24"/>
        </w:rPr>
        <w:t>I</w:t>
      </w:r>
      <w:r w:rsidR="00FF2313" w:rsidRPr="007B2E82">
        <w:rPr>
          <w:sz w:val="24"/>
          <w:szCs w:val="24"/>
        </w:rPr>
        <w:t>n that respect, I</w:t>
      </w:r>
      <w:r w:rsidR="004E64A1" w:rsidRPr="007B2E82">
        <w:rPr>
          <w:sz w:val="24"/>
          <w:szCs w:val="24"/>
        </w:rPr>
        <w:t xml:space="preserve"> was </w:t>
      </w:r>
      <w:r w:rsidR="00532B33" w:rsidRPr="007B2E82">
        <w:rPr>
          <w:sz w:val="24"/>
          <w:szCs w:val="24"/>
        </w:rPr>
        <w:t xml:space="preserve">guided by the </w:t>
      </w:r>
      <w:r w:rsidR="008F1B8D" w:rsidRPr="007B2E82">
        <w:rPr>
          <w:sz w:val="24"/>
          <w:szCs w:val="24"/>
        </w:rPr>
        <w:t xml:space="preserve">Commission’s </w:t>
      </w:r>
      <w:r w:rsidR="00532B33" w:rsidRPr="007B2E82">
        <w:rPr>
          <w:sz w:val="24"/>
          <w:szCs w:val="24"/>
        </w:rPr>
        <w:t xml:space="preserve">decision in </w:t>
      </w:r>
      <w:r w:rsidR="00532B33" w:rsidRPr="007B2E82">
        <w:rPr>
          <w:i/>
          <w:sz w:val="24"/>
          <w:szCs w:val="24"/>
        </w:rPr>
        <w:t xml:space="preserve">C.S. </w:t>
      </w:r>
      <w:proofErr w:type="spellStart"/>
      <w:r w:rsidR="00532B33" w:rsidRPr="007B2E82">
        <w:rPr>
          <w:i/>
          <w:sz w:val="24"/>
          <w:szCs w:val="24"/>
        </w:rPr>
        <w:t>Warthman</w:t>
      </w:r>
      <w:proofErr w:type="spellEnd"/>
      <w:r w:rsidR="00532B33" w:rsidRPr="007B2E82">
        <w:rPr>
          <w:i/>
          <w:sz w:val="24"/>
          <w:szCs w:val="24"/>
        </w:rPr>
        <w:t xml:space="preserve"> Funeral Home, et al. v. GTE North, Incorporated</w:t>
      </w:r>
      <w:r w:rsidR="009A78FB" w:rsidRPr="007B2E82">
        <w:rPr>
          <w:sz w:val="24"/>
          <w:szCs w:val="24"/>
        </w:rPr>
        <w:t xml:space="preserve">, </w:t>
      </w:r>
      <w:proofErr w:type="gramStart"/>
      <w:r w:rsidR="000D4208">
        <w:rPr>
          <w:sz w:val="24"/>
          <w:szCs w:val="24"/>
        </w:rPr>
        <w:t>Docket</w:t>
      </w:r>
      <w:proofErr w:type="gramEnd"/>
      <w:r w:rsidR="000D4208">
        <w:rPr>
          <w:sz w:val="24"/>
          <w:szCs w:val="24"/>
        </w:rPr>
        <w:t xml:space="preserve"> No. C</w:t>
      </w:r>
      <w:r w:rsidR="000D4208">
        <w:rPr>
          <w:sz w:val="24"/>
          <w:szCs w:val="24"/>
        </w:rPr>
        <w:noBreakHyphen/>
      </w:r>
      <w:r w:rsidR="00532B33" w:rsidRPr="007B2E82">
        <w:rPr>
          <w:sz w:val="24"/>
          <w:szCs w:val="24"/>
        </w:rPr>
        <w:t>00924416</w:t>
      </w:r>
      <w:r w:rsidR="009A78FB" w:rsidRPr="007B2E82">
        <w:rPr>
          <w:sz w:val="24"/>
          <w:szCs w:val="24"/>
        </w:rPr>
        <w:t xml:space="preserve"> (</w:t>
      </w:r>
      <w:r w:rsidR="008F1B8D" w:rsidRPr="007B2E82">
        <w:rPr>
          <w:sz w:val="24"/>
          <w:szCs w:val="24"/>
        </w:rPr>
        <w:t xml:space="preserve">Order entered </w:t>
      </w:r>
      <w:r w:rsidR="009A78FB" w:rsidRPr="007B2E82">
        <w:rPr>
          <w:sz w:val="24"/>
          <w:szCs w:val="24"/>
        </w:rPr>
        <w:t>June 4, 1993)</w:t>
      </w:r>
      <w:r w:rsidR="00DD4F2F" w:rsidRPr="007B2E82">
        <w:rPr>
          <w:sz w:val="24"/>
          <w:szCs w:val="24"/>
        </w:rPr>
        <w:t xml:space="preserve">, and the reasoning set forth therein relative to this </w:t>
      </w:r>
      <w:r w:rsidR="00306375" w:rsidRPr="007B2E82">
        <w:rPr>
          <w:sz w:val="24"/>
          <w:szCs w:val="24"/>
        </w:rPr>
        <w:t xml:space="preserve">technical </w:t>
      </w:r>
      <w:r w:rsidR="005C1211" w:rsidRPr="007B2E82">
        <w:rPr>
          <w:sz w:val="24"/>
          <w:szCs w:val="24"/>
        </w:rPr>
        <w:t xml:space="preserve">hearsay </w:t>
      </w:r>
      <w:r w:rsidR="00DD4F2F" w:rsidRPr="007B2E82">
        <w:rPr>
          <w:sz w:val="24"/>
          <w:szCs w:val="24"/>
        </w:rPr>
        <w:t>issue:</w:t>
      </w:r>
    </w:p>
    <w:p w:rsidR="00532B33" w:rsidRPr="007B2E82" w:rsidRDefault="00532B33" w:rsidP="007B2E82">
      <w:pPr>
        <w:spacing w:line="360" w:lineRule="auto"/>
        <w:rPr>
          <w:sz w:val="24"/>
          <w:szCs w:val="24"/>
        </w:rPr>
      </w:pPr>
    </w:p>
    <w:p w:rsidR="00C401B1" w:rsidRPr="007B2E82" w:rsidRDefault="00C401B1" w:rsidP="000D4208">
      <w:pPr>
        <w:ind w:left="1440" w:right="1440"/>
        <w:rPr>
          <w:sz w:val="24"/>
          <w:szCs w:val="24"/>
        </w:rPr>
      </w:pPr>
      <w:r w:rsidRPr="007B2E82">
        <w:rPr>
          <w:sz w:val="24"/>
          <w:szCs w:val="24"/>
        </w:rPr>
        <w:t xml:space="preserve">Hearsay is defined in Pennsylvania as "an out-of-court statement offered to prove the truth of the matter asserted." </w:t>
      </w:r>
      <w:r w:rsidRPr="007B2E82">
        <w:rPr>
          <w:i/>
          <w:sz w:val="24"/>
          <w:szCs w:val="24"/>
        </w:rPr>
        <w:t>Commonwealth v. Cassidy</w:t>
      </w:r>
      <w:r w:rsidRPr="007B2E82">
        <w:rPr>
          <w:sz w:val="24"/>
          <w:szCs w:val="24"/>
        </w:rPr>
        <w:t xml:space="preserve">, 315 Pa. Super 429, 462 A.2d 270 (1983).  It has long been held in Pennsylvania that statements made by an unavailable declarant and a declaration against interest, while hearsay, are </w:t>
      </w:r>
      <w:proofErr w:type="gramStart"/>
      <w:r w:rsidRPr="007B2E82">
        <w:rPr>
          <w:sz w:val="24"/>
          <w:szCs w:val="24"/>
        </w:rPr>
        <w:t>excepted</w:t>
      </w:r>
      <w:proofErr w:type="gramEnd"/>
      <w:r w:rsidRPr="007B2E82">
        <w:rPr>
          <w:sz w:val="24"/>
          <w:szCs w:val="24"/>
        </w:rPr>
        <w:t xml:space="preserve"> from the hearsay rule.  </w:t>
      </w:r>
      <w:proofErr w:type="spellStart"/>
      <w:r w:rsidRPr="007B2E82">
        <w:rPr>
          <w:i/>
          <w:sz w:val="24"/>
          <w:szCs w:val="24"/>
        </w:rPr>
        <w:t>DelVitto</w:t>
      </w:r>
      <w:proofErr w:type="spellEnd"/>
      <w:r w:rsidRPr="007B2E82">
        <w:rPr>
          <w:i/>
          <w:sz w:val="24"/>
          <w:szCs w:val="24"/>
        </w:rPr>
        <w:t xml:space="preserve"> v. </w:t>
      </w:r>
      <w:proofErr w:type="spellStart"/>
      <w:r w:rsidRPr="007B2E82">
        <w:rPr>
          <w:i/>
          <w:sz w:val="24"/>
          <w:szCs w:val="24"/>
        </w:rPr>
        <w:t>Schiavo</w:t>
      </w:r>
      <w:proofErr w:type="spellEnd"/>
      <w:r w:rsidRPr="007B2E82">
        <w:rPr>
          <w:sz w:val="24"/>
          <w:szCs w:val="24"/>
        </w:rPr>
        <w:t xml:space="preserve">, 370 Pa. 299, 87 A.2d 913 (1952); </w:t>
      </w:r>
      <w:proofErr w:type="spellStart"/>
      <w:r w:rsidRPr="007B2E82">
        <w:rPr>
          <w:i/>
          <w:sz w:val="24"/>
          <w:szCs w:val="24"/>
        </w:rPr>
        <w:t>Rudisill</w:t>
      </w:r>
      <w:proofErr w:type="spellEnd"/>
      <w:r w:rsidRPr="007B2E82">
        <w:rPr>
          <w:i/>
          <w:sz w:val="24"/>
          <w:szCs w:val="24"/>
        </w:rPr>
        <w:t xml:space="preserve"> v. </w:t>
      </w:r>
      <w:proofErr w:type="spellStart"/>
      <w:r w:rsidRPr="007B2E82">
        <w:rPr>
          <w:i/>
          <w:sz w:val="24"/>
          <w:szCs w:val="24"/>
        </w:rPr>
        <w:t>Cordes</w:t>
      </w:r>
      <w:proofErr w:type="spellEnd"/>
      <w:r w:rsidRPr="007B2E82">
        <w:rPr>
          <w:sz w:val="24"/>
          <w:szCs w:val="24"/>
        </w:rPr>
        <w:t xml:space="preserve">, 333 Pa. 544, 549 5 A.2d 217, 219 (1939); </w:t>
      </w:r>
      <w:proofErr w:type="spellStart"/>
      <w:r w:rsidRPr="007B2E82">
        <w:rPr>
          <w:i/>
          <w:sz w:val="24"/>
          <w:szCs w:val="24"/>
        </w:rPr>
        <w:t>Heddings</w:t>
      </w:r>
      <w:proofErr w:type="spellEnd"/>
      <w:r w:rsidRPr="007B2E82">
        <w:rPr>
          <w:i/>
          <w:sz w:val="24"/>
          <w:szCs w:val="24"/>
        </w:rPr>
        <w:t xml:space="preserve"> v. Steele</w:t>
      </w:r>
      <w:r w:rsidRPr="007B2E82">
        <w:rPr>
          <w:sz w:val="24"/>
          <w:szCs w:val="24"/>
        </w:rPr>
        <w:t xml:space="preserve">, 514 Pa. 569; 526 A.2d 349 (1987).  However, an administrative </w:t>
      </w:r>
      <w:r w:rsidRPr="007B2E82">
        <w:rPr>
          <w:bCs/>
          <w:sz w:val="24"/>
          <w:szCs w:val="24"/>
        </w:rPr>
        <w:t>decision</w:t>
      </w:r>
      <w:r w:rsidRPr="007B2E82">
        <w:rPr>
          <w:sz w:val="24"/>
          <w:szCs w:val="24"/>
        </w:rPr>
        <w:t xml:space="preserve"> based on </w:t>
      </w:r>
      <w:r w:rsidRPr="007B2E82">
        <w:rPr>
          <w:bCs/>
          <w:sz w:val="24"/>
          <w:szCs w:val="24"/>
        </w:rPr>
        <w:t>hearsay</w:t>
      </w:r>
      <w:r w:rsidRPr="007B2E82">
        <w:rPr>
          <w:sz w:val="24"/>
          <w:szCs w:val="24"/>
        </w:rPr>
        <w:t xml:space="preserve"> may be overturned by the courts.  </w:t>
      </w:r>
      <w:r w:rsidRPr="007B2E82">
        <w:rPr>
          <w:i/>
          <w:sz w:val="24"/>
          <w:szCs w:val="24"/>
        </w:rPr>
        <w:t xml:space="preserve">Bridges v. </w:t>
      </w:r>
      <w:proofErr w:type="spellStart"/>
      <w:r w:rsidRPr="007B2E82">
        <w:rPr>
          <w:i/>
          <w:sz w:val="24"/>
          <w:szCs w:val="24"/>
        </w:rPr>
        <w:t>Wixon</w:t>
      </w:r>
      <w:proofErr w:type="spellEnd"/>
      <w:r w:rsidRPr="007B2E82">
        <w:rPr>
          <w:sz w:val="24"/>
          <w:szCs w:val="24"/>
        </w:rPr>
        <w:t xml:space="preserve">, 326 U.S. 135, 65 </w:t>
      </w:r>
      <w:proofErr w:type="spellStart"/>
      <w:r w:rsidRPr="007B2E82">
        <w:rPr>
          <w:sz w:val="24"/>
          <w:szCs w:val="24"/>
        </w:rPr>
        <w:t>S.Ct</w:t>
      </w:r>
      <w:proofErr w:type="spellEnd"/>
      <w:r w:rsidRPr="007B2E82">
        <w:rPr>
          <w:sz w:val="24"/>
          <w:szCs w:val="24"/>
        </w:rPr>
        <w:t xml:space="preserve">. 1443, </w:t>
      </w:r>
      <w:proofErr w:type="gramStart"/>
      <w:r w:rsidRPr="007B2E82">
        <w:rPr>
          <w:sz w:val="24"/>
          <w:szCs w:val="24"/>
        </w:rPr>
        <w:t xml:space="preserve">89 </w:t>
      </w:r>
      <w:proofErr w:type="spellStart"/>
      <w:r w:rsidRPr="007B2E82">
        <w:rPr>
          <w:sz w:val="24"/>
          <w:szCs w:val="24"/>
        </w:rPr>
        <w:t>L.Ed</w:t>
      </w:r>
      <w:proofErr w:type="spellEnd"/>
      <w:proofErr w:type="gramEnd"/>
      <w:r w:rsidRPr="007B2E82">
        <w:rPr>
          <w:sz w:val="24"/>
          <w:szCs w:val="24"/>
        </w:rPr>
        <w:t xml:space="preserve">. 2103 (1945). </w:t>
      </w:r>
      <w:r w:rsidR="00BD6387" w:rsidRPr="007B2E82">
        <w:rPr>
          <w:sz w:val="24"/>
          <w:szCs w:val="24"/>
        </w:rPr>
        <w:t>[fn. omitted]</w:t>
      </w:r>
      <w:r w:rsidRPr="007B2E82">
        <w:rPr>
          <w:sz w:val="24"/>
          <w:szCs w:val="24"/>
        </w:rPr>
        <w:t xml:space="preserve">  For this reason, Pennsylvania courts do not regard the hearsay rule as a technical rule of evidence, but a basic, vital and fundamental rule of law, which ought to be followed by administrative agencies at those points in their hearings, when facts crucial to an issue are sought to be placed upon the record.  </w:t>
      </w:r>
      <w:proofErr w:type="spellStart"/>
      <w:r w:rsidRPr="007B2E82">
        <w:rPr>
          <w:i/>
          <w:sz w:val="24"/>
          <w:szCs w:val="24"/>
        </w:rPr>
        <w:t>Bleilevens</w:t>
      </w:r>
      <w:proofErr w:type="spellEnd"/>
      <w:r w:rsidRPr="007B2E82">
        <w:rPr>
          <w:i/>
          <w:sz w:val="24"/>
          <w:szCs w:val="24"/>
        </w:rPr>
        <w:t xml:space="preserve"> v. Pa. State Civil Service Commission</w:t>
      </w:r>
      <w:r w:rsidRPr="007B2E82">
        <w:rPr>
          <w:sz w:val="24"/>
          <w:szCs w:val="24"/>
        </w:rPr>
        <w:t xml:space="preserve">, 11 Pa. Commonwealth Ct. 1, 312 A.2d 109 (1973).  The general rule is that hearsay evidence, properly objected to, is not competent to support a finding in an administrative hearing; however, hearsay evidence admitted without objection may support a finding, only if corroborated by competent evidence in the record. </w:t>
      </w:r>
      <w:r w:rsidRPr="007B2E82">
        <w:rPr>
          <w:i/>
          <w:sz w:val="24"/>
          <w:szCs w:val="24"/>
        </w:rPr>
        <w:t>Anderson v. Pa. Department of Public Welfare</w:t>
      </w:r>
      <w:r w:rsidRPr="007B2E82">
        <w:rPr>
          <w:sz w:val="24"/>
          <w:szCs w:val="24"/>
        </w:rPr>
        <w:t xml:space="preserve">, 79 Pa. Commonwealth Ct. 182, 468 A.2d 1167 (1983).  The Commission’s hearsay determinations are governed by those standards.  </w:t>
      </w:r>
      <w:proofErr w:type="spellStart"/>
      <w:r w:rsidRPr="007B2E82">
        <w:rPr>
          <w:i/>
          <w:sz w:val="24"/>
          <w:szCs w:val="24"/>
        </w:rPr>
        <w:t>Nicklas</w:t>
      </w:r>
      <w:proofErr w:type="spellEnd"/>
      <w:r w:rsidRPr="007B2E82">
        <w:rPr>
          <w:sz w:val="24"/>
          <w:szCs w:val="24"/>
        </w:rPr>
        <w:t xml:space="preserve"> at 22-23. </w:t>
      </w:r>
      <w:r w:rsidRPr="007B2E82">
        <w:rPr>
          <w:i/>
          <w:sz w:val="24"/>
          <w:szCs w:val="24"/>
        </w:rPr>
        <w:t>However, agent acts or declarations, like those of an attorney, when made in the course of one's business and within the scope of one's authority, either express or implied, are admissible against one even if they are hearsay.</w:t>
      </w:r>
      <w:r w:rsidRPr="007B2E82">
        <w:rPr>
          <w:sz w:val="24"/>
          <w:szCs w:val="24"/>
        </w:rPr>
        <w:t xml:space="preserve"> </w:t>
      </w:r>
      <w:proofErr w:type="spellStart"/>
      <w:r w:rsidRPr="007B2E82">
        <w:rPr>
          <w:i/>
          <w:sz w:val="24"/>
          <w:szCs w:val="24"/>
        </w:rPr>
        <w:t>Nicklas</w:t>
      </w:r>
      <w:proofErr w:type="spellEnd"/>
      <w:r w:rsidRPr="007B2E82">
        <w:rPr>
          <w:sz w:val="24"/>
          <w:szCs w:val="24"/>
        </w:rPr>
        <w:t xml:space="preserve"> at 23-24; </w:t>
      </w:r>
      <w:proofErr w:type="spellStart"/>
      <w:r w:rsidRPr="007B2E82">
        <w:rPr>
          <w:i/>
          <w:sz w:val="24"/>
          <w:szCs w:val="24"/>
        </w:rPr>
        <w:t>Overholtzer</w:t>
      </w:r>
      <w:proofErr w:type="spellEnd"/>
      <w:r w:rsidRPr="007B2E82">
        <w:rPr>
          <w:i/>
          <w:sz w:val="24"/>
          <w:szCs w:val="24"/>
        </w:rPr>
        <w:t xml:space="preserve"> v. McMichael</w:t>
      </w:r>
      <w:r w:rsidRPr="007B2E82">
        <w:rPr>
          <w:sz w:val="24"/>
          <w:szCs w:val="24"/>
        </w:rPr>
        <w:t xml:space="preserve">, 10 Pa. 139 (1848); </w:t>
      </w:r>
      <w:proofErr w:type="spellStart"/>
      <w:r w:rsidRPr="007B2E82">
        <w:rPr>
          <w:i/>
          <w:sz w:val="24"/>
          <w:szCs w:val="24"/>
        </w:rPr>
        <w:t>Truby</w:t>
      </w:r>
      <w:proofErr w:type="spellEnd"/>
      <w:r w:rsidRPr="007B2E82">
        <w:rPr>
          <w:i/>
          <w:sz w:val="24"/>
          <w:szCs w:val="24"/>
        </w:rPr>
        <w:t xml:space="preserve"> v. </w:t>
      </w:r>
      <w:proofErr w:type="spellStart"/>
      <w:r w:rsidRPr="007B2E82">
        <w:rPr>
          <w:i/>
          <w:sz w:val="24"/>
          <w:szCs w:val="24"/>
        </w:rPr>
        <w:t>Seybert</w:t>
      </w:r>
      <w:proofErr w:type="spellEnd"/>
      <w:r w:rsidRPr="007B2E82">
        <w:rPr>
          <w:sz w:val="24"/>
          <w:szCs w:val="24"/>
        </w:rPr>
        <w:t xml:space="preserve">, 12 Pa. 101, 104 (1849); </w:t>
      </w:r>
      <w:r w:rsidRPr="007B2E82">
        <w:rPr>
          <w:i/>
          <w:sz w:val="24"/>
          <w:szCs w:val="24"/>
        </w:rPr>
        <w:t>Bell v. Scranton Trust Co</w:t>
      </w:r>
      <w:r w:rsidRPr="007B2E82">
        <w:rPr>
          <w:sz w:val="24"/>
          <w:szCs w:val="24"/>
        </w:rPr>
        <w:t xml:space="preserve">., 282 Pa. 562, 570, 128 A.2d 494, 496 (1925); </w:t>
      </w:r>
      <w:r w:rsidRPr="007B2E82">
        <w:rPr>
          <w:i/>
          <w:sz w:val="24"/>
          <w:szCs w:val="24"/>
        </w:rPr>
        <w:t>Neel v. Crittenden</w:t>
      </w:r>
      <w:r w:rsidRPr="007B2E82">
        <w:rPr>
          <w:sz w:val="24"/>
          <w:szCs w:val="24"/>
        </w:rPr>
        <w:t>, 353 Pa. 201, 205, 44 A.2d 558, 560 (1945);</w:t>
      </w:r>
      <w:bookmarkStart w:id="0" w:name="7387-24"/>
      <w:bookmarkEnd w:id="0"/>
      <w:r w:rsidRPr="007B2E82">
        <w:rPr>
          <w:sz w:val="24"/>
          <w:szCs w:val="24"/>
        </w:rPr>
        <w:t xml:space="preserve"> See, Henry, Pennsylvania Evidence, Fourth Edition (1953), § 96, p. 143.  </w:t>
      </w:r>
      <w:r w:rsidRPr="007B2E82">
        <w:rPr>
          <w:i/>
          <w:sz w:val="24"/>
          <w:szCs w:val="24"/>
        </w:rPr>
        <w:t xml:space="preserve">In this case as in </w:t>
      </w:r>
      <w:proofErr w:type="spellStart"/>
      <w:r w:rsidRPr="007B2E82">
        <w:rPr>
          <w:i/>
          <w:sz w:val="24"/>
          <w:szCs w:val="24"/>
        </w:rPr>
        <w:t>Nicklas</w:t>
      </w:r>
      <w:proofErr w:type="spellEnd"/>
      <w:r w:rsidRPr="007B2E82">
        <w:rPr>
          <w:i/>
          <w:sz w:val="24"/>
          <w:szCs w:val="24"/>
        </w:rPr>
        <w:t>, the express or implied authority of the client's agent to make such a declaration is obvious.  Furthermore, admissions against interest made by a party have long been held to be admissible in civil proceedings as a recognized exception to the hearsay rule</w:t>
      </w:r>
      <w:r w:rsidRPr="007B2E82">
        <w:rPr>
          <w:sz w:val="24"/>
          <w:szCs w:val="24"/>
        </w:rPr>
        <w:t xml:space="preserve">. </w:t>
      </w:r>
      <w:proofErr w:type="spellStart"/>
      <w:r w:rsidRPr="007B2E82">
        <w:rPr>
          <w:i/>
          <w:sz w:val="24"/>
          <w:szCs w:val="24"/>
        </w:rPr>
        <w:t>Nicklas</w:t>
      </w:r>
      <w:proofErr w:type="spellEnd"/>
      <w:r w:rsidRPr="007B2E82">
        <w:rPr>
          <w:sz w:val="24"/>
          <w:szCs w:val="24"/>
        </w:rPr>
        <w:t xml:space="preserve"> at 24; </w:t>
      </w:r>
      <w:r w:rsidRPr="007B2E82">
        <w:rPr>
          <w:i/>
          <w:sz w:val="24"/>
          <w:szCs w:val="24"/>
        </w:rPr>
        <w:t xml:space="preserve">Geiger v. </w:t>
      </w:r>
      <w:proofErr w:type="spellStart"/>
      <w:r w:rsidRPr="007B2E82">
        <w:rPr>
          <w:i/>
          <w:sz w:val="24"/>
          <w:szCs w:val="24"/>
        </w:rPr>
        <w:t>Schneyer</w:t>
      </w:r>
      <w:proofErr w:type="spellEnd"/>
      <w:r w:rsidRPr="007B2E82">
        <w:rPr>
          <w:sz w:val="24"/>
          <w:szCs w:val="24"/>
        </w:rPr>
        <w:t xml:space="preserve">, 398 Pa. 69, 157 A.2d 56 (1959); </w:t>
      </w:r>
      <w:proofErr w:type="spellStart"/>
      <w:r w:rsidRPr="007B2E82">
        <w:rPr>
          <w:i/>
          <w:sz w:val="24"/>
          <w:szCs w:val="24"/>
        </w:rPr>
        <w:t>Gougher</w:t>
      </w:r>
      <w:proofErr w:type="spellEnd"/>
      <w:r w:rsidRPr="007B2E82">
        <w:rPr>
          <w:i/>
          <w:sz w:val="24"/>
          <w:szCs w:val="24"/>
        </w:rPr>
        <w:t xml:space="preserve"> v. </w:t>
      </w:r>
      <w:proofErr w:type="spellStart"/>
      <w:r w:rsidRPr="007B2E82">
        <w:rPr>
          <w:i/>
          <w:sz w:val="24"/>
          <w:szCs w:val="24"/>
        </w:rPr>
        <w:t>Hansler</w:t>
      </w:r>
      <w:proofErr w:type="spellEnd"/>
      <w:r w:rsidRPr="007B2E82">
        <w:rPr>
          <w:sz w:val="24"/>
          <w:szCs w:val="24"/>
        </w:rPr>
        <w:t xml:space="preserve">, 388 Pa. 160, 130 A.2d 150 (1957); </w:t>
      </w:r>
      <w:r w:rsidRPr="007B2E82">
        <w:rPr>
          <w:i/>
          <w:sz w:val="24"/>
          <w:szCs w:val="24"/>
        </w:rPr>
        <w:t xml:space="preserve">Unemployment Compensation Board of Review v. </w:t>
      </w:r>
      <w:proofErr w:type="spellStart"/>
      <w:r w:rsidRPr="007B2E82">
        <w:rPr>
          <w:i/>
          <w:sz w:val="24"/>
          <w:szCs w:val="24"/>
        </w:rPr>
        <w:t>Houp</w:t>
      </w:r>
      <w:proofErr w:type="spellEnd"/>
      <w:r w:rsidRPr="007B2E82">
        <w:rPr>
          <w:sz w:val="24"/>
          <w:szCs w:val="24"/>
        </w:rPr>
        <w:t xml:space="preserve">, 20 Pa. Commonwealth Ct. 111, 340 A.2d 588 (1975).  </w:t>
      </w:r>
      <w:r w:rsidR="007E04BC" w:rsidRPr="007B2E82">
        <w:rPr>
          <w:sz w:val="24"/>
          <w:szCs w:val="24"/>
        </w:rPr>
        <w:t xml:space="preserve">[fn. omitted] </w:t>
      </w:r>
      <w:r w:rsidRPr="007B2E82">
        <w:rPr>
          <w:sz w:val="24"/>
          <w:szCs w:val="24"/>
        </w:rPr>
        <w:t xml:space="preserve">The courts have applied this principle to administrative hearings as well.  </w:t>
      </w:r>
      <w:r w:rsidRPr="007B2E82">
        <w:rPr>
          <w:i/>
          <w:sz w:val="24"/>
          <w:szCs w:val="24"/>
        </w:rPr>
        <w:t>Murphy v. Com. Dept. of Public Welfare</w:t>
      </w:r>
      <w:r w:rsidRPr="007B2E82">
        <w:rPr>
          <w:sz w:val="24"/>
          <w:szCs w:val="24"/>
        </w:rPr>
        <w:t>, 85 Pa. Commonwealth Ct. 23, 480 A.2d 382, 386 (1984).</w:t>
      </w:r>
    </w:p>
    <w:p w:rsidR="00C401B1" w:rsidRPr="007B2E82" w:rsidRDefault="00C401B1" w:rsidP="007B2E82">
      <w:pPr>
        <w:spacing w:line="360" w:lineRule="auto"/>
        <w:rPr>
          <w:sz w:val="24"/>
          <w:szCs w:val="24"/>
        </w:rPr>
      </w:pPr>
    </w:p>
    <w:p w:rsidR="00C401B1" w:rsidRPr="007B2E82" w:rsidRDefault="008F1B8D" w:rsidP="007B2E82">
      <w:pPr>
        <w:spacing w:line="360" w:lineRule="auto"/>
        <w:rPr>
          <w:sz w:val="24"/>
          <w:szCs w:val="24"/>
        </w:rPr>
      </w:pPr>
      <w:r w:rsidRPr="007B2E82">
        <w:rPr>
          <w:sz w:val="24"/>
          <w:szCs w:val="24"/>
        </w:rPr>
        <w:t>Id at 22-24.</w:t>
      </w:r>
      <w:r w:rsidR="00CD4229" w:rsidRPr="007B2E82">
        <w:rPr>
          <w:sz w:val="24"/>
          <w:szCs w:val="24"/>
        </w:rPr>
        <w:t xml:space="preserve"> (emphasis added)</w:t>
      </w:r>
    </w:p>
    <w:p w:rsidR="00C401B1" w:rsidRPr="007B2E82" w:rsidRDefault="00C401B1" w:rsidP="007B2E82">
      <w:pPr>
        <w:spacing w:line="360" w:lineRule="auto"/>
        <w:rPr>
          <w:sz w:val="24"/>
          <w:szCs w:val="24"/>
        </w:rPr>
      </w:pPr>
    </w:p>
    <w:p w:rsidR="00D77E88" w:rsidRPr="007B2E82" w:rsidRDefault="00B81C6E" w:rsidP="007B2E82">
      <w:pPr>
        <w:spacing w:line="360" w:lineRule="auto"/>
        <w:rPr>
          <w:sz w:val="24"/>
          <w:szCs w:val="24"/>
        </w:rPr>
      </w:pPr>
      <w:r w:rsidRPr="007B2E82">
        <w:rPr>
          <w:sz w:val="24"/>
          <w:szCs w:val="24"/>
        </w:rPr>
        <w:tab/>
      </w:r>
      <w:r w:rsidRPr="007B2E82">
        <w:rPr>
          <w:sz w:val="24"/>
          <w:szCs w:val="24"/>
        </w:rPr>
        <w:tab/>
      </w:r>
      <w:r w:rsidR="00BF16D8" w:rsidRPr="007B2E82">
        <w:rPr>
          <w:sz w:val="24"/>
          <w:szCs w:val="24"/>
        </w:rPr>
        <w:t>As it turned out, neither Complainant w</w:t>
      </w:r>
      <w:r w:rsidR="00FF2313" w:rsidRPr="007B2E82">
        <w:rPr>
          <w:sz w:val="24"/>
          <w:szCs w:val="24"/>
        </w:rPr>
        <w:t>as</w:t>
      </w:r>
      <w:r w:rsidR="00BF16D8" w:rsidRPr="007B2E82">
        <w:rPr>
          <w:sz w:val="24"/>
          <w:szCs w:val="24"/>
        </w:rPr>
        <w:t xml:space="preserve"> able to recall with specificity the details </w:t>
      </w:r>
      <w:r w:rsidR="00DC46F7" w:rsidRPr="007B2E82">
        <w:rPr>
          <w:sz w:val="24"/>
          <w:szCs w:val="24"/>
        </w:rPr>
        <w:t>of any conversation with a Viridian agent nor</w:t>
      </w:r>
      <w:r w:rsidR="00BF16D8" w:rsidRPr="007B2E82">
        <w:rPr>
          <w:sz w:val="24"/>
          <w:szCs w:val="24"/>
        </w:rPr>
        <w:t xml:space="preserve"> where they heard it</w:t>
      </w:r>
      <w:r w:rsidR="006B1387" w:rsidRPr="007B2E82">
        <w:rPr>
          <w:sz w:val="24"/>
          <w:szCs w:val="24"/>
        </w:rPr>
        <w:t>,</w:t>
      </w:r>
      <w:r w:rsidR="00BF16D8" w:rsidRPr="007B2E82">
        <w:rPr>
          <w:sz w:val="24"/>
          <w:szCs w:val="24"/>
        </w:rPr>
        <w:t xml:space="preserve"> or from whom, save that they claim that they were told or heard that they would save 14.5 percent on their electric bill.  </w:t>
      </w:r>
      <w:r w:rsidR="00DC46F7" w:rsidRPr="007B2E82">
        <w:rPr>
          <w:sz w:val="24"/>
          <w:szCs w:val="24"/>
        </w:rPr>
        <w:t>Ultimately, t</w:t>
      </w:r>
      <w:r w:rsidR="00D77E88" w:rsidRPr="007B2E82">
        <w:rPr>
          <w:sz w:val="24"/>
          <w:szCs w:val="24"/>
        </w:rPr>
        <w:t xml:space="preserve">he Complainants’ testimony was so lacking in specificity or corroborating evidence that </w:t>
      </w:r>
      <w:r w:rsidR="006B1387" w:rsidRPr="007B2E82">
        <w:rPr>
          <w:sz w:val="24"/>
          <w:szCs w:val="24"/>
        </w:rPr>
        <w:t>they</w:t>
      </w:r>
      <w:r w:rsidR="00D77E88" w:rsidRPr="007B2E82">
        <w:rPr>
          <w:sz w:val="24"/>
          <w:szCs w:val="24"/>
        </w:rPr>
        <w:t xml:space="preserve"> failed to meet the preponderance of the evidence standard.</w:t>
      </w:r>
    </w:p>
    <w:p w:rsidR="005D7C65" w:rsidRPr="007B2E82" w:rsidRDefault="005D7C65" w:rsidP="007B2E82">
      <w:pPr>
        <w:spacing w:line="360" w:lineRule="auto"/>
        <w:rPr>
          <w:sz w:val="24"/>
          <w:szCs w:val="24"/>
        </w:rPr>
      </w:pPr>
    </w:p>
    <w:p w:rsidR="00ED3EC8" w:rsidRPr="007B2E82" w:rsidRDefault="00993054" w:rsidP="007B2E82">
      <w:pPr>
        <w:spacing w:line="360" w:lineRule="auto"/>
        <w:rPr>
          <w:sz w:val="24"/>
          <w:szCs w:val="24"/>
        </w:rPr>
      </w:pPr>
      <w:r w:rsidRPr="007B2E82">
        <w:rPr>
          <w:sz w:val="24"/>
          <w:szCs w:val="24"/>
        </w:rPr>
        <w:tab/>
      </w:r>
      <w:r w:rsidRPr="007B2E82">
        <w:rPr>
          <w:sz w:val="24"/>
          <w:szCs w:val="24"/>
        </w:rPr>
        <w:tab/>
        <w:t>Based on the evidence presented, the Complainant</w:t>
      </w:r>
      <w:r w:rsidR="00D36DE5" w:rsidRPr="007B2E82">
        <w:rPr>
          <w:sz w:val="24"/>
          <w:szCs w:val="24"/>
        </w:rPr>
        <w:t>s</w:t>
      </w:r>
      <w:r w:rsidRPr="007B2E82">
        <w:rPr>
          <w:sz w:val="24"/>
          <w:szCs w:val="24"/>
        </w:rPr>
        <w:t xml:space="preserve"> ha</w:t>
      </w:r>
      <w:r w:rsidR="00D36DE5" w:rsidRPr="007B2E82">
        <w:rPr>
          <w:sz w:val="24"/>
          <w:szCs w:val="24"/>
        </w:rPr>
        <w:t>ve</w:t>
      </w:r>
      <w:r w:rsidRPr="007B2E82">
        <w:rPr>
          <w:sz w:val="24"/>
          <w:szCs w:val="24"/>
        </w:rPr>
        <w:t xml:space="preserve"> failed to prove by a preponderance of the evidence that </w:t>
      </w:r>
      <w:r w:rsidR="00D36DE5" w:rsidRPr="007B2E82">
        <w:rPr>
          <w:sz w:val="24"/>
          <w:szCs w:val="24"/>
        </w:rPr>
        <w:t xml:space="preserve">Viridian engaged in </w:t>
      </w:r>
      <w:r w:rsidR="00FF2313" w:rsidRPr="007B2E82">
        <w:rPr>
          <w:sz w:val="24"/>
          <w:szCs w:val="24"/>
        </w:rPr>
        <w:t xml:space="preserve">false or </w:t>
      </w:r>
      <w:r w:rsidR="00D36DE5" w:rsidRPr="007B2E82">
        <w:rPr>
          <w:sz w:val="24"/>
          <w:szCs w:val="24"/>
        </w:rPr>
        <w:t xml:space="preserve">misleading advertising or violated any other provision of the </w:t>
      </w:r>
      <w:r w:rsidR="00BF16D8" w:rsidRPr="007B2E82">
        <w:rPr>
          <w:sz w:val="24"/>
          <w:szCs w:val="24"/>
        </w:rPr>
        <w:t xml:space="preserve">Pennsylvania Public Utility </w:t>
      </w:r>
      <w:r w:rsidR="00D36DE5" w:rsidRPr="007B2E82">
        <w:rPr>
          <w:sz w:val="24"/>
          <w:szCs w:val="24"/>
        </w:rPr>
        <w:t>Code or the regulations of the Commission.</w:t>
      </w:r>
      <w:r w:rsidRPr="007B2E82">
        <w:rPr>
          <w:sz w:val="24"/>
          <w:szCs w:val="24"/>
        </w:rPr>
        <w:t xml:space="preserve"> </w:t>
      </w:r>
      <w:r w:rsidR="00D36DE5" w:rsidRPr="007B2E82">
        <w:rPr>
          <w:sz w:val="24"/>
          <w:szCs w:val="24"/>
        </w:rPr>
        <w:t xml:space="preserve"> </w:t>
      </w:r>
      <w:r w:rsidRPr="007B2E82">
        <w:rPr>
          <w:sz w:val="24"/>
          <w:szCs w:val="24"/>
        </w:rPr>
        <w:t>Therefore, the Complaint in this case must be dismissed.</w:t>
      </w:r>
    </w:p>
    <w:p w:rsidR="00993054" w:rsidRPr="007B2E82" w:rsidRDefault="00993054" w:rsidP="007B2E82">
      <w:pPr>
        <w:spacing w:line="360" w:lineRule="auto"/>
        <w:rPr>
          <w:sz w:val="24"/>
          <w:szCs w:val="24"/>
        </w:rPr>
      </w:pPr>
    </w:p>
    <w:p w:rsidR="00993054" w:rsidRPr="007B2E82" w:rsidRDefault="00013F48" w:rsidP="007B2E82">
      <w:pPr>
        <w:spacing w:line="360" w:lineRule="auto"/>
        <w:jc w:val="center"/>
        <w:rPr>
          <w:sz w:val="24"/>
          <w:szCs w:val="24"/>
        </w:rPr>
      </w:pPr>
      <w:r w:rsidRPr="007B2E82">
        <w:rPr>
          <w:sz w:val="24"/>
          <w:szCs w:val="24"/>
          <w:u w:val="single"/>
        </w:rPr>
        <w:t>CONCLUSIONS OF LAW</w:t>
      </w:r>
    </w:p>
    <w:p w:rsidR="00013F48" w:rsidRPr="007B2E82" w:rsidRDefault="00013F48" w:rsidP="007B2E82">
      <w:pPr>
        <w:spacing w:line="360" w:lineRule="auto"/>
        <w:jc w:val="center"/>
        <w:rPr>
          <w:sz w:val="24"/>
          <w:szCs w:val="24"/>
        </w:rPr>
      </w:pPr>
    </w:p>
    <w:p w:rsidR="00013F48" w:rsidRPr="007B2E82" w:rsidRDefault="00013F48" w:rsidP="007B2E82">
      <w:pPr>
        <w:spacing w:line="360" w:lineRule="auto"/>
        <w:jc w:val="both"/>
        <w:rPr>
          <w:sz w:val="24"/>
          <w:szCs w:val="24"/>
        </w:rPr>
      </w:pPr>
      <w:r w:rsidRPr="007B2E82">
        <w:rPr>
          <w:sz w:val="24"/>
          <w:szCs w:val="24"/>
        </w:rPr>
        <w:tab/>
      </w:r>
      <w:r w:rsidRPr="007B2E82">
        <w:rPr>
          <w:sz w:val="24"/>
          <w:szCs w:val="24"/>
        </w:rPr>
        <w:tab/>
        <w:t>1.</w:t>
      </w:r>
      <w:r w:rsidRPr="007B2E82">
        <w:rPr>
          <w:sz w:val="24"/>
          <w:szCs w:val="24"/>
        </w:rPr>
        <w:tab/>
        <w:t>The Commission has jurisdiction over the subject matter and parties to this proceeding.  66 Pa. C.S. §701.</w:t>
      </w:r>
    </w:p>
    <w:p w:rsidR="00013F48" w:rsidRPr="007B2E82" w:rsidRDefault="00013F48" w:rsidP="007B2E82">
      <w:pPr>
        <w:spacing w:line="360" w:lineRule="auto"/>
        <w:rPr>
          <w:sz w:val="24"/>
          <w:szCs w:val="24"/>
        </w:rPr>
      </w:pPr>
    </w:p>
    <w:p w:rsidR="00013F48" w:rsidRPr="007B2E82" w:rsidRDefault="00013F48" w:rsidP="007B2E82">
      <w:pPr>
        <w:spacing w:line="360" w:lineRule="auto"/>
        <w:rPr>
          <w:sz w:val="24"/>
          <w:szCs w:val="24"/>
        </w:rPr>
      </w:pPr>
      <w:r w:rsidRPr="007B2E82">
        <w:rPr>
          <w:sz w:val="24"/>
          <w:szCs w:val="24"/>
        </w:rPr>
        <w:tab/>
      </w:r>
      <w:r w:rsidRPr="007B2E82">
        <w:rPr>
          <w:sz w:val="24"/>
          <w:szCs w:val="24"/>
        </w:rPr>
        <w:tab/>
        <w:t>2.</w:t>
      </w:r>
      <w:r w:rsidRPr="007B2E82">
        <w:rPr>
          <w:sz w:val="24"/>
          <w:szCs w:val="24"/>
        </w:rPr>
        <w:tab/>
        <w:t>Pursuant to 66 Pa. C.S. §§332(a), the burden of proof in this proceeding is on the Complainant</w:t>
      </w:r>
      <w:r w:rsidR="00D36DE5" w:rsidRPr="007B2E82">
        <w:rPr>
          <w:sz w:val="24"/>
          <w:szCs w:val="24"/>
        </w:rPr>
        <w:t>s</w:t>
      </w:r>
      <w:r w:rsidRPr="007B2E82">
        <w:rPr>
          <w:sz w:val="24"/>
          <w:szCs w:val="24"/>
        </w:rPr>
        <w:t>.</w:t>
      </w:r>
    </w:p>
    <w:p w:rsidR="00250147" w:rsidRPr="007B2E82" w:rsidRDefault="00250147" w:rsidP="007B2E82">
      <w:pPr>
        <w:spacing w:line="360" w:lineRule="auto"/>
        <w:rPr>
          <w:sz w:val="24"/>
          <w:szCs w:val="24"/>
        </w:rPr>
      </w:pPr>
    </w:p>
    <w:p w:rsidR="00250147" w:rsidRPr="007B2E82" w:rsidRDefault="00250147" w:rsidP="007B2E82">
      <w:pPr>
        <w:spacing w:line="360" w:lineRule="auto"/>
        <w:rPr>
          <w:sz w:val="24"/>
          <w:szCs w:val="24"/>
        </w:rPr>
      </w:pPr>
      <w:r w:rsidRPr="007B2E82">
        <w:rPr>
          <w:sz w:val="24"/>
          <w:szCs w:val="24"/>
        </w:rPr>
        <w:tab/>
      </w:r>
      <w:r w:rsidRPr="007B2E82">
        <w:rPr>
          <w:sz w:val="24"/>
          <w:szCs w:val="24"/>
        </w:rPr>
        <w:tab/>
        <w:t>3.</w:t>
      </w:r>
      <w:r w:rsidRPr="007B2E82">
        <w:rPr>
          <w:sz w:val="24"/>
          <w:szCs w:val="24"/>
        </w:rPr>
        <w:tab/>
        <w:t>The Commission’s regulation at 52 Pa. Code § 54.122(3) requires that an electric distribution company or electric generation supplier may not engage in false or deceptive advertising to customers with respect to the retail supply of electricity in this Commonwealth.</w:t>
      </w:r>
    </w:p>
    <w:p w:rsidR="00013F48" w:rsidRPr="007B2E82" w:rsidRDefault="00013F48" w:rsidP="007B2E82">
      <w:pPr>
        <w:spacing w:line="360" w:lineRule="auto"/>
        <w:rPr>
          <w:sz w:val="24"/>
          <w:szCs w:val="24"/>
        </w:rPr>
      </w:pPr>
    </w:p>
    <w:p w:rsidR="000D4208" w:rsidRDefault="00013F48" w:rsidP="007B2E82">
      <w:pPr>
        <w:spacing w:line="360" w:lineRule="auto"/>
        <w:rPr>
          <w:sz w:val="24"/>
          <w:szCs w:val="24"/>
        </w:rPr>
      </w:pPr>
      <w:r w:rsidRPr="007B2E82">
        <w:rPr>
          <w:sz w:val="24"/>
          <w:szCs w:val="24"/>
        </w:rPr>
        <w:tab/>
      </w:r>
      <w:r w:rsidRPr="007B2E82">
        <w:rPr>
          <w:sz w:val="24"/>
          <w:szCs w:val="24"/>
        </w:rPr>
        <w:tab/>
      </w:r>
      <w:r w:rsidR="00250147" w:rsidRPr="007B2E82">
        <w:rPr>
          <w:sz w:val="24"/>
          <w:szCs w:val="24"/>
        </w:rPr>
        <w:t>4</w:t>
      </w:r>
      <w:r w:rsidRPr="007B2E82">
        <w:rPr>
          <w:sz w:val="24"/>
          <w:szCs w:val="24"/>
        </w:rPr>
        <w:t>.</w:t>
      </w:r>
      <w:r w:rsidRPr="007B2E82">
        <w:rPr>
          <w:sz w:val="24"/>
          <w:szCs w:val="24"/>
        </w:rPr>
        <w:tab/>
        <w:t>The Complainant</w:t>
      </w:r>
      <w:r w:rsidR="00D36DE5" w:rsidRPr="007B2E82">
        <w:rPr>
          <w:sz w:val="24"/>
          <w:szCs w:val="24"/>
        </w:rPr>
        <w:t>s</w:t>
      </w:r>
      <w:r w:rsidRPr="007B2E82">
        <w:rPr>
          <w:sz w:val="24"/>
          <w:szCs w:val="24"/>
        </w:rPr>
        <w:t xml:space="preserve"> ha</w:t>
      </w:r>
      <w:r w:rsidR="00D36DE5" w:rsidRPr="007B2E82">
        <w:rPr>
          <w:sz w:val="24"/>
          <w:szCs w:val="24"/>
        </w:rPr>
        <w:t>ve</w:t>
      </w:r>
      <w:r w:rsidRPr="007B2E82">
        <w:rPr>
          <w:sz w:val="24"/>
          <w:szCs w:val="24"/>
        </w:rPr>
        <w:t xml:space="preserve"> not met </w:t>
      </w:r>
      <w:r w:rsidR="00D36DE5" w:rsidRPr="007B2E82">
        <w:rPr>
          <w:sz w:val="24"/>
          <w:szCs w:val="24"/>
        </w:rPr>
        <w:t>t</w:t>
      </w:r>
      <w:r w:rsidRPr="007B2E82">
        <w:rPr>
          <w:sz w:val="24"/>
          <w:szCs w:val="24"/>
        </w:rPr>
        <w:t>he</w:t>
      </w:r>
      <w:r w:rsidR="00D36DE5" w:rsidRPr="007B2E82">
        <w:rPr>
          <w:sz w:val="24"/>
          <w:szCs w:val="24"/>
        </w:rPr>
        <w:t>i</w:t>
      </w:r>
      <w:r w:rsidRPr="007B2E82">
        <w:rPr>
          <w:sz w:val="24"/>
          <w:szCs w:val="24"/>
        </w:rPr>
        <w:t xml:space="preserve">r burden of proving that </w:t>
      </w:r>
      <w:r w:rsidR="00D36DE5" w:rsidRPr="007B2E82">
        <w:rPr>
          <w:sz w:val="24"/>
          <w:szCs w:val="24"/>
        </w:rPr>
        <w:t>they</w:t>
      </w:r>
      <w:r w:rsidRPr="007B2E82">
        <w:rPr>
          <w:sz w:val="24"/>
          <w:szCs w:val="24"/>
        </w:rPr>
        <w:t xml:space="preserve"> </w:t>
      </w:r>
      <w:r w:rsidR="00D36DE5" w:rsidRPr="007B2E82">
        <w:rPr>
          <w:sz w:val="24"/>
          <w:szCs w:val="24"/>
        </w:rPr>
        <w:t>are</w:t>
      </w:r>
      <w:r w:rsidRPr="007B2E82">
        <w:rPr>
          <w:sz w:val="24"/>
          <w:szCs w:val="24"/>
        </w:rPr>
        <w:t xml:space="preserve"> entitled to relief.  66 Pa. C.S. §§332(a).</w:t>
      </w:r>
      <w:r w:rsidR="000D4208">
        <w:rPr>
          <w:sz w:val="24"/>
          <w:szCs w:val="24"/>
        </w:rPr>
        <w:br w:type="page"/>
      </w:r>
    </w:p>
    <w:p w:rsidR="006B1387" w:rsidRPr="007B2E82" w:rsidRDefault="006B1387" w:rsidP="007B2E82">
      <w:pPr>
        <w:spacing w:line="360" w:lineRule="auto"/>
        <w:rPr>
          <w:sz w:val="24"/>
          <w:szCs w:val="24"/>
        </w:rPr>
      </w:pPr>
    </w:p>
    <w:p w:rsidR="006B1387" w:rsidRDefault="006B1387" w:rsidP="007B2E82">
      <w:pPr>
        <w:spacing w:line="360" w:lineRule="auto"/>
        <w:jc w:val="center"/>
        <w:rPr>
          <w:sz w:val="24"/>
          <w:szCs w:val="24"/>
          <w:u w:val="single"/>
        </w:rPr>
      </w:pPr>
      <w:r w:rsidRPr="007B2E82">
        <w:rPr>
          <w:sz w:val="24"/>
          <w:szCs w:val="24"/>
          <w:u w:val="single"/>
        </w:rPr>
        <w:t>ORDER</w:t>
      </w:r>
    </w:p>
    <w:p w:rsidR="000D4208" w:rsidRPr="007B2E82" w:rsidRDefault="000D4208" w:rsidP="007B2E82">
      <w:pPr>
        <w:spacing w:line="360" w:lineRule="auto"/>
        <w:jc w:val="center"/>
        <w:rPr>
          <w:sz w:val="24"/>
          <w:szCs w:val="24"/>
          <w:u w:val="single"/>
        </w:rPr>
      </w:pPr>
    </w:p>
    <w:p w:rsidR="00013F48" w:rsidRPr="007B2E82" w:rsidRDefault="00013F48" w:rsidP="007B2E82">
      <w:pPr>
        <w:spacing w:line="360" w:lineRule="auto"/>
        <w:rPr>
          <w:sz w:val="24"/>
          <w:szCs w:val="24"/>
        </w:rPr>
      </w:pPr>
    </w:p>
    <w:p w:rsidR="00013F48" w:rsidRPr="007B2E82" w:rsidRDefault="00013F48" w:rsidP="007B2E82">
      <w:pPr>
        <w:spacing w:line="360" w:lineRule="auto"/>
        <w:rPr>
          <w:sz w:val="24"/>
          <w:szCs w:val="24"/>
        </w:rPr>
      </w:pPr>
      <w:r w:rsidRPr="007B2E82">
        <w:rPr>
          <w:sz w:val="24"/>
          <w:szCs w:val="24"/>
        </w:rPr>
        <w:tab/>
      </w:r>
      <w:r w:rsidRPr="007B2E82">
        <w:rPr>
          <w:sz w:val="24"/>
          <w:szCs w:val="24"/>
        </w:rPr>
        <w:tab/>
        <w:t>THEREFORE,</w:t>
      </w:r>
    </w:p>
    <w:p w:rsidR="00013F48" w:rsidRPr="007B2E82" w:rsidRDefault="00013F48" w:rsidP="007B2E82">
      <w:pPr>
        <w:rPr>
          <w:sz w:val="24"/>
          <w:szCs w:val="24"/>
        </w:rPr>
      </w:pPr>
    </w:p>
    <w:p w:rsidR="00013F48" w:rsidRPr="007B2E82" w:rsidRDefault="00013F48" w:rsidP="007B2E82">
      <w:pPr>
        <w:spacing w:line="360" w:lineRule="auto"/>
        <w:rPr>
          <w:sz w:val="24"/>
          <w:szCs w:val="24"/>
        </w:rPr>
      </w:pPr>
      <w:r w:rsidRPr="007B2E82">
        <w:rPr>
          <w:sz w:val="24"/>
          <w:szCs w:val="24"/>
        </w:rPr>
        <w:tab/>
      </w:r>
      <w:r w:rsidRPr="007B2E82">
        <w:rPr>
          <w:sz w:val="24"/>
          <w:szCs w:val="24"/>
        </w:rPr>
        <w:tab/>
        <w:t>IT IS ORDERED:</w:t>
      </w:r>
    </w:p>
    <w:p w:rsidR="00013F48" w:rsidRPr="007B2E82" w:rsidRDefault="00013F48" w:rsidP="007B2E82">
      <w:pPr>
        <w:spacing w:line="360" w:lineRule="auto"/>
        <w:rPr>
          <w:sz w:val="24"/>
          <w:szCs w:val="24"/>
        </w:rPr>
      </w:pPr>
    </w:p>
    <w:p w:rsidR="00013F48" w:rsidRPr="007B2E82" w:rsidRDefault="00013F48" w:rsidP="007B2E82">
      <w:pPr>
        <w:pStyle w:val="BodyText"/>
        <w:numPr>
          <w:ilvl w:val="0"/>
          <w:numId w:val="1"/>
        </w:numPr>
        <w:tabs>
          <w:tab w:val="clear" w:pos="360"/>
        </w:tabs>
        <w:spacing w:after="0" w:line="360" w:lineRule="auto"/>
        <w:ind w:left="0" w:firstLine="1440"/>
        <w:rPr>
          <w:sz w:val="24"/>
          <w:szCs w:val="24"/>
        </w:rPr>
      </w:pPr>
      <w:r w:rsidRPr="007B2E82">
        <w:rPr>
          <w:sz w:val="24"/>
          <w:szCs w:val="24"/>
        </w:rPr>
        <w:t xml:space="preserve">That the </w:t>
      </w:r>
      <w:r w:rsidR="00A24F5E" w:rsidRPr="007B2E82">
        <w:rPr>
          <w:sz w:val="24"/>
          <w:szCs w:val="24"/>
        </w:rPr>
        <w:t>C</w:t>
      </w:r>
      <w:r w:rsidRPr="007B2E82">
        <w:rPr>
          <w:sz w:val="24"/>
          <w:szCs w:val="24"/>
        </w:rPr>
        <w:t xml:space="preserve">omplaint of </w:t>
      </w:r>
      <w:r w:rsidR="00D36DE5" w:rsidRPr="007B2E82">
        <w:rPr>
          <w:sz w:val="24"/>
          <w:szCs w:val="24"/>
        </w:rPr>
        <w:t xml:space="preserve">Paul and Loretta London </w:t>
      </w:r>
      <w:r w:rsidRPr="007B2E82">
        <w:rPr>
          <w:sz w:val="24"/>
          <w:szCs w:val="24"/>
        </w:rPr>
        <w:t xml:space="preserve">against </w:t>
      </w:r>
      <w:r w:rsidR="00D36DE5" w:rsidRPr="007B2E82">
        <w:rPr>
          <w:sz w:val="24"/>
          <w:szCs w:val="24"/>
        </w:rPr>
        <w:t>Viridian Energy PA, LLC</w:t>
      </w:r>
      <w:r w:rsidRPr="007B2E82">
        <w:rPr>
          <w:sz w:val="24"/>
          <w:szCs w:val="24"/>
        </w:rPr>
        <w:t xml:space="preserve"> at Docket No. </w:t>
      </w:r>
      <w:r w:rsidR="00D36DE5" w:rsidRPr="007B2E82">
        <w:rPr>
          <w:sz w:val="24"/>
          <w:szCs w:val="24"/>
        </w:rPr>
        <w:t>C-2011</w:t>
      </w:r>
      <w:r w:rsidRPr="007B2E82">
        <w:rPr>
          <w:sz w:val="24"/>
          <w:szCs w:val="24"/>
        </w:rPr>
        <w:t>-22</w:t>
      </w:r>
      <w:r w:rsidR="00D36DE5" w:rsidRPr="007B2E82">
        <w:rPr>
          <w:sz w:val="24"/>
          <w:szCs w:val="24"/>
        </w:rPr>
        <w:t>44309</w:t>
      </w:r>
      <w:r w:rsidRPr="007B2E82">
        <w:rPr>
          <w:sz w:val="24"/>
          <w:szCs w:val="24"/>
        </w:rPr>
        <w:t xml:space="preserve"> is hereby denied.</w:t>
      </w:r>
    </w:p>
    <w:p w:rsidR="00013F48" w:rsidRPr="007B2E82" w:rsidRDefault="00013F48" w:rsidP="007B2E82">
      <w:pPr>
        <w:pStyle w:val="BodyText"/>
        <w:spacing w:after="0" w:line="360" w:lineRule="auto"/>
        <w:rPr>
          <w:sz w:val="24"/>
          <w:szCs w:val="24"/>
        </w:rPr>
      </w:pPr>
    </w:p>
    <w:p w:rsidR="00013F48" w:rsidRPr="007B2E82" w:rsidRDefault="00013F48" w:rsidP="007B2E82">
      <w:pPr>
        <w:spacing w:line="360" w:lineRule="auto"/>
        <w:rPr>
          <w:sz w:val="24"/>
          <w:szCs w:val="24"/>
        </w:rPr>
      </w:pPr>
      <w:r w:rsidRPr="007B2E82">
        <w:rPr>
          <w:sz w:val="24"/>
          <w:szCs w:val="24"/>
        </w:rPr>
        <w:tab/>
      </w:r>
      <w:r w:rsidRPr="007B2E82">
        <w:rPr>
          <w:sz w:val="24"/>
          <w:szCs w:val="24"/>
        </w:rPr>
        <w:tab/>
        <w:t>2.</w:t>
      </w:r>
      <w:r w:rsidRPr="007B2E82">
        <w:rPr>
          <w:sz w:val="24"/>
          <w:szCs w:val="24"/>
        </w:rPr>
        <w:tab/>
        <w:t xml:space="preserve">That the record at Docket No. </w:t>
      </w:r>
      <w:r w:rsidR="00D36DE5" w:rsidRPr="007B2E82">
        <w:rPr>
          <w:sz w:val="24"/>
          <w:szCs w:val="24"/>
        </w:rPr>
        <w:t xml:space="preserve">C-2011-2244309 </w:t>
      </w:r>
      <w:r w:rsidRPr="007B2E82">
        <w:rPr>
          <w:sz w:val="24"/>
          <w:szCs w:val="24"/>
        </w:rPr>
        <w:t>is to be marked closed.</w:t>
      </w:r>
    </w:p>
    <w:p w:rsidR="00ED3EC8" w:rsidRPr="007B2E82" w:rsidRDefault="00ED3EC8" w:rsidP="007B2E82">
      <w:pPr>
        <w:spacing w:line="360" w:lineRule="auto"/>
        <w:rPr>
          <w:sz w:val="24"/>
          <w:szCs w:val="24"/>
        </w:rPr>
      </w:pPr>
    </w:p>
    <w:p w:rsidR="00ED3EC8" w:rsidRPr="007B2E82" w:rsidRDefault="00ED3EC8" w:rsidP="007B2E82">
      <w:pPr>
        <w:spacing w:line="360" w:lineRule="auto"/>
        <w:rPr>
          <w:sz w:val="24"/>
          <w:szCs w:val="24"/>
        </w:rPr>
      </w:pPr>
    </w:p>
    <w:p w:rsidR="00ED3EC8" w:rsidRPr="007B2E82" w:rsidRDefault="00ED3EC8" w:rsidP="007B2E82">
      <w:pPr>
        <w:pStyle w:val="NoSpacing"/>
        <w:rPr>
          <w:sz w:val="24"/>
          <w:szCs w:val="24"/>
        </w:rPr>
      </w:pPr>
      <w:r w:rsidRPr="007B2E82">
        <w:rPr>
          <w:sz w:val="24"/>
          <w:szCs w:val="24"/>
        </w:rPr>
        <w:t>Dated:</w:t>
      </w:r>
      <w:r w:rsidR="00E31B54" w:rsidRPr="007B2E82">
        <w:rPr>
          <w:sz w:val="24"/>
          <w:szCs w:val="24"/>
        </w:rPr>
        <w:t xml:space="preserve">  </w:t>
      </w:r>
      <w:bookmarkStart w:id="1" w:name="_GoBack"/>
      <w:r w:rsidR="00D36DE5" w:rsidRPr="004E33AE">
        <w:rPr>
          <w:sz w:val="24"/>
          <w:szCs w:val="24"/>
          <w:u w:val="single"/>
        </w:rPr>
        <w:t xml:space="preserve">February </w:t>
      </w:r>
      <w:r w:rsidR="006B1387" w:rsidRPr="004E33AE">
        <w:rPr>
          <w:sz w:val="24"/>
          <w:szCs w:val="24"/>
          <w:u w:val="single"/>
        </w:rPr>
        <w:t>2</w:t>
      </w:r>
      <w:r w:rsidR="00890848" w:rsidRPr="004E33AE">
        <w:rPr>
          <w:sz w:val="24"/>
          <w:szCs w:val="24"/>
          <w:u w:val="single"/>
        </w:rPr>
        <w:t>, 2011</w:t>
      </w:r>
      <w:bookmarkEnd w:id="1"/>
      <w:r w:rsidRPr="007B2E82">
        <w:rPr>
          <w:sz w:val="24"/>
          <w:szCs w:val="24"/>
        </w:rPr>
        <w:tab/>
      </w:r>
      <w:r w:rsidRPr="007B2E82">
        <w:rPr>
          <w:sz w:val="24"/>
          <w:szCs w:val="24"/>
        </w:rPr>
        <w:tab/>
      </w:r>
      <w:r w:rsidRPr="007B2E82">
        <w:rPr>
          <w:sz w:val="24"/>
          <w:szCs w:val="24"/>
        </w:rPr>
        <w:tab/>
      </w:r>
      <w:r w:rsidR="00013F48" w:rsidRPr="007B2E82">
        <w:rPr>
          <w:sz w:val="24"/>
          <w:szCs w:val="24"/>
        </w:rPr>
        <w:tab/>
      </w:r>
      <w:r w:rsidRPr="007B2E82">
        <w:rPr>
          <w:sz w:val="24"/>
          <w:szCs w:val="24"/>
        </w:rPr>
        <w:t>______________________________</w:t>
      </w:r>
    </w:p>
    <w:p w:rsidR="00ED3EC8" w:rsidRPr="007B2E82" w:rsidRDefault="00ED3EC8" w:rsidP="007B2E82">
      <w:pPr>
        <w:pStyle w:val="NoSpacing"/>
        <w:rPr>
          <w:sz w:val="24"/>
          <w:szCs w:val="24"/>
        </w:rPr>
      </w:pPr>
      <w:r w:rsidRPr="007B2E82">
        <w:rPr>
          <w:sz w:val="24"/>
          <w:szCs w:val="24"/>
        </w:rPr>
        <w:tab/>
      </w:r>
      <w:r w:rsidRPr="007B2E82">
        <w:rPr>
          <w:sz w:val="24"/>
          <w:szCs w:val="24"/>
        </w:rPr>
        <w:tab/>
      </w:r>
      <w:r w:rsidRPr="007B2E82">
        <w:rPr>
          <w:sz w:val="24"/>
          <w:szCs w:val="24"/>
        </w:rPr>
        <w:tab/>
      </w:r>
      <w:r w:rsidRPr="007B2E82">
        <w:rPr>
          <w:sz w:val="24"/>
          <w:szCs w:val="24"/>
        </w:rPr>
        <w:tab/>
      </w:r>
      <w:r w:rsidRPr="007B2E82">
        <w:rPr>
          <w:sz w:val="24"/>
          <w:szCs w:val="24"/>
        </w:rPr>
        <w:tab/>
      </w:r>
      <w:r w:rsidRPr="007B2E82">
        <w:rPr>
          <w:sz w:val="24"/>
          <w:szCs w:val="24"/>
        </w:rPr>
        <w:tab/>
      </w:r>
      <w:r w:rsidR="00013F48" w:rsidRPr="007B2E82">
        <w:rPr>
          <w:sz w:val="24"/>
          <w:szCs w:val="24"/>
        </w:rPr>
        <w:tab/>
      </w:r>
      <w:r w:rsidR="008E19D7" w:rsidRPr="007B2E82">
        <w:rPr>
          <w:sz w:val="24"/>
          <w:szCs w:val="24"/>
        </w:rPr>
        <w:t>Dennis J. Buckley</w:t>
      </w:r>
    </w:p>
    <w:p w:rsidR="00C04960" w:rsidRPr="007B2E82" w:rsidRDefault="00ED3EC8" w:rsidP="007B2E82">
      <w:pPr>
        <w:pStyle w:val="NoSpacing"/>
        <w:rPr>
          <w:sz w:val="24"/>
          <w:szCs w:val="24"/>
        </w:rPr>
      </w:pPr>
      <w:r w:rsidRPr="007B2E82">
        <w:rPr>
          <w:sz w:val="24"/>
          <w:szCs w:val="24"/>
        </w:rPr>
        <w:tab/>
      </w:r>
      <w:r w:rsidRPr="007B2E82">
        <w:rPr>
          <w:sz w:val="24"/>
          <w:szCs w:val="24"/>
        </w:rPr>
        <w:tab/>
      </w:r>
      <w:r w:rsidRPr="007B2E82">
        <w:rPr>
          <w:sz w:val="24"/>
          <w:szCs w:val="24"/>
        </w:rPr>
        <w:tab/>
      </w:r>
      <w:r w:rsidRPr="007B2E82">
        <w:rPr>
          <w:sz w:val="24"/>
          <w:szCs w:val="24"/>
        </w:rPr>
        <w:tab/>
      </w:r>
      <w:r w:rsidRPr="007B2E82">
        <w:rPr>
          <w:sz w:val="24"/>
          <w:szCs w:val="24"/>
        </w:rPr>
        <w:tab/>
      </w:r>
      <w:r w:rsidRPr="007B2E82">
        <w:rPr>
          <w:sz w:val="24"/>
          <w:szCs w:val="24"/>
        </w:rPr>
        <w:tab/>
      </w:r>
      <w:r w:rsidR="00013F48" w:rsidRPr="007B2E82">
        <w:rPr>
          <w:sz w:val="24"/>
          <w:szCs w:val="24"/>
        </w:rPr>
        <w:tab/>
      </w:r>
      <w:r w:rsidRPr="007B2E82">
        <w:rPr>
          <w:sz w:val="24"/>
          <w:szCs w:val="24"/>
        </w:rPr>
        <w:t>Administrative Law Judge</w:t>
      </w:r>
    </w:p>
    <w:p w:rsidR="00477566" w:rsidRPr="007B2E82" w:rsidRDefault="00477566" w:rsidP="007B2E82">
      <w:pPr>
        <w:pStyle w:val="NoSpacing"/>
        <w:rPr>
          <w:sz w:val="24"/>
          <w:szCs w:val="24"/>
        </w:rPr>
      </w:pPr>
    </w:p>
    <w:p w:rsidR="00477566" w:rsidRPr="007B2E82" w:rsidRDefault="00477566" w:rsidP="007B2E82">
      <w:pPr>
        <w:pStyle w:val="NoSpacing"/>
        <w:rPr>
          <w:sz w:val="24"/>
          <w:szCs w:val="24"/>
        </w:rPr>
      </w:pPr>
    </w:p>
    <w:sectPr w:rsidR="00477566" w:rsidRPr="007B2E82" w:rsidSect="007B2E82">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573" w:rsidRDefault="00A02573">
      <w:r>
        <w:separator/>
      </w:r>
    </w:p>
  </w:endnote>
  <w:endnote w:type="continuationSeparator" w:id="0">
    <w:p w:rsidR="00A02573" w:rsidRDefault="00A02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3B027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7E069F" w:rsidRDefault="003B0276" w:rsidP="00ED3EC8">
    <w:pPr>
      <w:pStyle w:val="Footer"/>
      <w:framePr w:wrap="around" w:vAnchor="text" w:hAnchor="margin" w:xAlign="center" w:y="1"/>
      <w:rPr>
        <w:rStyle w:val="PageNumber"/>
        <w:sz w:val="20"/>
        <w:szCs w:val="20"/>
      </w:rPr>
    </w:pPr>
    <w:r w:rsidRPr="007E069F">
      <w:rPr>
        <w:rStyle w:val="PageNumber"/>
        <w:sz w:val="20"/>
        <w:szCs w:val="20"/>
      </w:rPr>
      <w:fldChar w:fldCharType="begin"/>
    </w:r>
    <w:r w:rsidR="00ED3EC8" w:rsidRPr="007E069F">
      <w:rPr>
        <w:rStyle w:val="PageNumber"/>
        <w:sz w:val="20"/>
        <w:szCs w:val="20"/>
      </w:rPr>
      <w:instrText xml:space="preserve">PAGE  </w:instrText>
    </w:r>
    <w:r w:rsidRPr="007E069F">
      <w:rPr>
        <w:rStyle w:val="PageNumber"/>
        <w:sz w:val="20"/>
        <w:szCs w:val="20"/>
      </w:rPr>
      <w:fldChar w:fldCharType="separate"/>
    </w:r>
    <w:r w:rsidR="004E33AE">
      <w:rPr>
        <w:rStyle w:val="PageNumber"/>
        <w:noProof/>
        <w:sz w:val="20"/>
        <w:szCs w:val="20"/>
      </w:rPr>
      <w:t>9</w:t>
    </w:r>
    <w:r w:rsidRPr="007E069F">
      <w:rPr>
        <w:rStyle w:val="PageNumber"/>
        <w:sz w:val="20"/>
        <w:szCs w:val="20"/>
      </w:rPr>
      <w:fldChar w:fldCharType="end"/>
    </w:r>
  </w:p>
  <w:p w:rsidR="00ED3EC8" w:rsidRDefault="00ED3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573" w:rsidRDefault="00A02573">
      <w:r>
        <w:separator/>
      </w:r>
    </w:p>
  </w:footnote>
  <w:footnote w:type="continuationSeparator" w:id="0">
    <w:p w:rsidR="00A02573" w:rsidRDefault="00A02573">
      <w:r>
        <w:continuationSeparator/>
      </w:r>
    </w:p>
  </w:footnote>
  <w:footnote w:id="1">
    <w:p w:rsidR="001F6817" w:rsidRDefault="001F6817">
      <w:pPr>
        <w:pStyle w:val="FootnoteText"/>
      </w:pPr>
      <w:r>
        <w:rPr>
          <w:rStyle w:val="FootnoteReference"/>
        </w:rPr>
        <w:footnoteRef/>
      </w:r>
      <w:r>
        <w:t xml:space="preserve"> </w:t>
      </w:r>
      <w:r>
        <w:tab/>
        <w:t>This case is a timely appeal of a decision by the Commission’s Bureau of Consumer Services (BCS) at Case No. 2791741.</w:t>
      </w:r>
    </w:p>
  </w:footnote>
  <w:footnote w:id="2">
    <w:p w:rsidR="000513F0" w:rsidRDefault="000513F0">
      <w:pPr>
        <w:pStyle w:val="FootnoteText"/>
      </w:pPr>
      <w:r>
        <w:rPr>
          <w:rStyle w:val="FootnoteReference"/>
        </w:rPr>
        <w:footnoteRef/>
      </w:r>
      <w:r>
        <w:t xml:space="preserve"> </w:t>
      </w:r>
      <w:r>
        <w:tab/>
        <w:t>Viridian proposed Exhibit No. 3, an Enrollment Completion and Pennsylvania Terms and Conditions of Service f</w:t>
      </w:r>
      <w:r w:rsidR="00477566">
        <w:t>orm</w:t>
      </w:r>
      <w:r>
        <w:t xml:space="preserve"> was not offered into evidence.</w:t>
      </w:r>
    </w:p>
  </w:footnote>
  <w:footnote w:id="3">
    <w:p w:rsidR="003D6389" w:rsidRDefault="003D6389">
      <w:pPr>
        <w:pStyle w:val="FootnoteText"/>
      </w:pPr>
      <w:r>
        <w:rPr>
          <w:rStyle w:val="FootnoteReference"/>
        </w:rPr>
        <w:footnoteRef/>
      </w:r>
      <w:r>
        <w:t xml:space="preserve"> </w:t>
      </w:r>
      <w:r>
        <w:tab/>
        <w:t xml:space="preserve">The Complainants never alleged a failure by Viridian to provide written disclosure of the terms of service </w:t>
      </w:r>
      <w:r w:rsidRPr="00BF16D8">
        <w:rPr>
          <w:i/>
        </w:rPr>
        <w:t>subsequent</w:t>
      </w:r>
      <w:r>
        <w:t xml:space="preserve"> to enrollment as required by 52 Pa. Code §54.5.  </w:t>
      </w:r>
    </w:p>
    <w:p w:rsidR="000513F0" w:rsidRDefault="000513F0">
      <w:pPr>
        <w:pStyle w:val="FootnoteText"/>
      </w:pPr>
    </w:p>
  </w:footnote>
  <w:footnote w:id="4">
    <w:p w:rsidR="003201D4" w:rsidRDefault="003201D4">
      <w:pPr>
        <w:pStyle w:val="FootnoteText"/>
      </w:pPr>
      <w:r>
        <w:rPr>
          <w:rStyle w:val="FootnoteReference"/>
        </w:rPr>
        <w:footnoteRef/>
      </w:r>
      <w:r>
        <w:t xml:space="preserve"> </w:t>
      </w:r>
      <w:r>
        <w:tab/>
        <w:t xml:space="preserve">Such evidence as exists with respect to the particulars of how Complainants were signed up with Viridian indicates that they were </w:t>
      </w:r>
      <w:r w:rsidR="00BF16D8">
        <w:t xml:space="preserve">either </w:t>
      </w:r>
      <w:r>
        <w:t xml:space="preserve">solicited or spoke by telephone with Byron Read, a Viridian “associate” who then input data into Viridian’s computer system.  N.T. </w:t>
      </w:r>
      <w:r w:rsidR="00AA13DD">
        <w:t xml:space="preserve">at 37, </w:t>
      </w:r>
      <w:r>
        <w:t>51</w:t>
      </w:r>
      <w:r w:rsidR="00AA13DD">
        <w:t>.</w:t>
      </w:r>
    </w:p>
    <w:p w:rsidR="00AA13DD" w:rsidRDefault="00AA13DD">
      <w:pPr>
        <w:pStyle w:val="FootnoteText"/>
      </w:pPr>
    </w:p>
  </w:footnote>
  <w:footnote w:id="5">
    <w:p w:rsidR="008502DA" w:rsidRPr="008502DA" w:rsidRDefault="008502DA" w:rsidP="008502DA">
      <w:pPr>
        <w:pStyle w:val="FootnoteText"/>
      </w:pPr>
      <w:r>
        <w:rPr>
          <w:rStyle w:val="FootnoteReference"/>
        </w:rPr>
        <w:footnoteRef/>
      </w:r>
      <w:r>
        <w:t xml:space="preserve"> </w:t>
      </w:r>
      <w:r>
        <w:tab/>
      </w:r>
      <w:r w:rsidRPr="008502DA">
        <w:t>Viridian stated that the Complainants were enrolled for approximately five months from October 5, 2010</w:t>
      </w:r>
      <w:r>
        <w:t>,</w:t>
      </w:r>
      <w:r w:rsidRPr="008502DA">
        <w:t xml:space="preserve"> to March 7, 2011, based on Viridian Exhibit No. 7, whereas Viridian Exhibit Nos. 2 and 4 show that the Complainant Paul London was enrolled a month earlier with an </w:t>
      </w:r>
      <w:r>
        <w:t>“</w:t>
      </w:r>
      <w:r w:rsidRPr="008502DA">
        <w:t>effective date</w:t>
      </w:r>
      <w:r>
        <w:t>”</w:t>
      </w:r>
      <w:r w:rsidRPr="008502DA">
        <w:t xml:space="preserve"> of September 7, 2010.  This </w:t>
      </w:r>
      <w:r>
        <w:t xml:space="preserve">apparent </w:t>
      </w:r>
      <w:r w:rsidRPr="008502DA">
        <w:t>discrepancy may be explained because the Complainants were not actually picked up until the October billing cycle</w:t>
      </w:r>
      <w:r>
        <w:t xml:space="preserve"> as set forth in </w:t>
      </w:r>
      <w:r w:rsidRPr="008502DA">
        <w:t xml:space="preserve">Viridian Exhibit No. </w:t>
      </w:r>
      <w:r>
        <w:t>2</w:t>
      </w:r>
      <w:r w:rsidRPr="008502DA">
        <w:t>.</w:t>
      </w:r>
    </w:p>
    <w:p w:rsidR="008502DA" w:rsidRDefault="008502DA">
      <w:pPr>
        <w:pStyle w:val="FootnoteText"/>
      </w:pPr>
    </w:p>
  </w:footnote>
  <w:footnote w:id="6">
    <w:p w:rsidR="003201D4" w:rsidRDefault="003201D4">
      <w:pPr>
        <w:pStyle w:val="FootnoteText"/>
      </w:pPr>
      <w:r>
        <w:rPr>
          <w:rStyle w:val="FootnoteReference"/>
        </w:rPr>
        <w:footnoteRef/>
      </w:r>
      <w:r>
        <w:t xml:space="preserve"> </w:t>
      </w:r>
      <w:r>
        <w:tab/>
      </w:r>
      <w:r w:rsidR="00250147">
        <w:t>Given the due process rights of notice to the Respondent, I cannot reach beyond the allegations set forth in the Complaint, which Viridian timely answered and defended at hearing.  However, t</w:t>
      </w:r>
      <w:r>
        <w:t xml:space="preserve">he inability of Viridian to document the specifics with respect to </w:t>
      </w:r>
      <w:r w:rsidRPr="00250147">
        <w:rPr>
          <w:i/>
        </w:rPr>
        <w:t>the manner</w:t>
      </w:r>
      <w:r>
        <w:t xml:space="preserve"> of Complainants’ enrollment is troubling and may foreseeably lead to further controversies</w:t>
      </w:r>
      <w:r w:rsidR="0087492A">
        <w:t xml:space="preserve">.  However, </w:t>
      </w:r>
      <w:r>
        <w:t>th</w:t>
      </w:r>
      <w:r w:rsidR="00BF16D8">
        <w:t>is</w:t>
      </w:r>
      <w:r>
        <w:t xml:space="preserve"> </w:t>
      </w:r>
      <w:r w:rsidR="0087492A">
        <w:t>deficiency</w:t>
      </w:r>
      <w:r>
        <w:t xml:space="preserve">—while it leads to an appearance of somewhat slipshod </w:t>
      </w:r>
      <w:r w:rsidR="00BF16D8">
        <w:t xml:space="preserve">account </w:t>
      </w:r>
      <w:r>
        <w:t>administration at Viridian--  is not germane to th</w:t>
      </w:r>
      <w:r w:rsidR="00250147">
        <w:t xml:space="preserve">e limited issue </w:t>
      </w:r>
      <w:r w:rsidR="0087492A">
        <w:t xml:space="preserve">of false advertising </w:t>
      </w:r>
      <w:r w:rsidR="00250147">
        <w:t>in th</w:t>
      </w:r>
      <w:r>
        <w:t>is particular case.</w:t>
      </w:r>
      <w:r w:rsidR="00250147">
        <w:t xml:space="preserve">  While the Commission has specific standards with respect to the retention of records by “electric utilities” (i.e. electric distribution companies) at 52 Pa. Code </w:t>
      </w:r>
      <w:r w:rsidR="00250147" w:rsidRPr="00250147">
        <w:t>§ 57.45</w:t>
      </w:r>
      <w:r w:rsidR="00250147">
        <w:t>,</w:t>
      </w:r>
      <w:r w:rsidR="00250147" w:rsidRPr="00250147">
        <w:t xml:space="preserve"> </w:t>
      </w:r>
      <w:r w:rsidR="00250147" w:rsidRPr="00250147">
        <w:rPr>
          <w:b/>
        </w:rPr>
        <w:t>Preservation of records</w:t>
      </w:r>
      <w:r w:rsidR="00250147">
        <w:t xml:space="preserve">, it is not clear if </w:t>
      </w:r>
      <w:r w:rsidR="00333FF7">
        <w:t>such</w:t>
      </w:r>
      <w:r w:rsidR="00250147">
        <w:t xml:space="preserve"> requirements extend to an EGS such as Viridian, but perhaps they should.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06BA"/>
    <w:rsid w:val="00001B92"/>
    <w:rsid w:val="00001E3A"/>
    <w:rsid w:val="00001EF6"/>
    <w:rsid w:val="00003D11"/>
    <w:rsid w:val="00005558"/>
    <w:rsid w:val="000079FE"/>
    <w:rsid w:val="00010AF8"/>
    <w:rsid w:val="00012104"/>
    <w:rsid w:val="0001305A"/>
    <w:rsid w:val="00013F48"/>
    <w:rsid w:val="00016E55"/>
    <w:rsid w:val="0002105C"/>
    <w:rsid w:val="00035BB8"/>
    <w:rsid w:val="00050520"/>
    <w:rsid w:val="000513F0"/>
    <w:rsid w:val="000541C0"/>
    <w:rsid w:val="000576ED"/>
    <w:rsid w:val="000576F6"/>
    <w:rsid w:val="000605B6"/>
    <w:rsid w:val="00061278"/>
    <w:rsid w:val="000634EB"/>
    <w:rsid w:val="00063801"/>
    <w:rsid w:val="00067CBC"/>
    <w:rsid w:val="000902E3"/>
    <w:rsid w:val="0009220F"/>
    <w:rsid w:val="00092B4E"/>
    <w:rsid w:val="00092E44"/>
    <w:rsid w:val="00093562"/>
    <w:rsid w:val="000A770B"/>
    <w:rsid w:val="000B339A"/>
    <w:rsid w:val="000C2A2B"/>
    <w:rsid w:val="000C34F3"/>
    <w:rsid w:val="000C6B6E"/>
    <w:rsid w:val="000C6EF0"/>
    <w:rsid w:val="000D29BA"/>
    <w:rsid w:val="000D4208"/>
    <w:rsid w:val="000E5FB2"/>
    <w:rsid w:val="000E7EF5"/>
    <w:rsid w:val="000F2E5F"/>
    <w:rsid w:val="001021FB"/>
    <w:rsid w:val="00102A77"/>
    <w:rsid w:val="0010420D"/>
    <w:rsid w:val="001077F1"/>
    <w:rsid w:val="00115BB6"/>
    <w:rsid w:val="00116578"/>
    <w:rsid w:val="0012035F"/>
    <w:rsid w:val="00121291"/>
    <w:rsid w:val="00124101"/>
    <w:rsid w:val="00124A2A"/>
    <w:rsid w:val="00124D49"/>
    <w:rsid w:val="00140A18"/>
    <w:rsid w:val="0014105E"/>
    <w:rsid w:val="00141AFE"/>
    <w:rsid w:val="00143142"/>
    <w:rsid w:val="00155E87"/>
    <w:rsid w:val="00157E46"/>
    <w:rsid w:val="00162908"/>
    <w:rsid w:val="00162D2F"/>
    <w:rsid w:val="00172E8C"/>
    <w:rsid w:val="00174F7E"/>
    <w:rsid w:val="0017580D"/>
    <w:rsid w:val="00181AB1"/>
    <w:rsid w:val="00183909"/>
    <w:rsid w:val="001857EA"/>
    <w:rsid w:val="00191522"/>
    <w:rsid w:val="00192EB5"/>
    <w:rsid w:val="001966CB"/>
    <w:rsid w:val="001A103D"/>
    <w:rsid w:val="001A216A"/>
    <w:rsid w:val="001A3A8A"/>
    <w:rsid w:val="001A3E1A"/>
    <w:rsid w:val="001A4184"/>
    <w:rsid w:val="001B0EF6"/>
    <w:rsid w:val="001B1B1D"/>
    <w:rsid w:val="001B3D6F"/>
    <w:rsid w:val="001B3E78"/>
    <w:rsid w:val="001D0D25"/>
    <w:rsid w:val="001D1F1B"/>
    <w:rsid w:val="001E2642"/>
    <w:rsid w:val="001E3C9A"/>
    <w:rsid w:val="001E5447"/>
    <w:rsid w:val="001E79A7"/>
    <w:rsid w:val="001F0835"/>
    <w:rsid w:val="001F6817"/>
    <w:rsid w:val="001F74FC"/>
    <w:rsid w:val="002004A8"/>
    <w:rsid w:val="0021162B"/>
    <w:rsid w:val="002125E4"/>
    <w:rsid w:val="00215381"/>
    <w:rsid w:val="00216C32"/>
    <w:rsid w:val="00216F76"/>
    <w:rsid w:val="0022160D"/>
    <w:rsid w:val="00221A88"/>
    <w:rsid w:val="002337D7"/>
    <w:rsid w:val="002451F7"/>
    <w:rsid w:val="0024529C"/>
    <w:rsid w:val="00250147"/>
    <w:rsid w:val="00251E5A"/>
    <w:rsid w:val="00252DB6"/>
    <w:rsid w:val="002546D8"/>
    <w:rsid w:val="00260459"/>
    <w:rsid w:val="00264D05"/>
    <w:rsid w:val="00266522"/>
    <w:rsid w:val="0026705F"/>
    <w:rsid w:val="002704DD"/>
    <w:rsid w:val="00284760"/>
    <w:rsid w:val="0029096F"/>
    <w:rsid w:val="0029353E"/>
    <w:rsid w:val="00297286"/>
    <w:rsid w:val="002A05C6"/>
    <w:rsid w:val="002A5F4D"/>
    <w:rsid w:val="002A6FFE"/>
    <w:rsid w:val="002B4CC2"/>
    <w:rsid w:val="002B754D"/>
    <w:rsid w:val="002C3F09"/>
    <w:rsid w:val="002C4F02"/>
    <w:rsid w:val="002C79E3"/>
    <w:rsid w:val="002E7DDB"/>
    <w:rsid w:val="002F42FC"/>
    <w:rsid w:val="00304AA1"/>
    <w:rsid w:val="003053DC"/>
    <w:rsid w:val="00306375"/>
    <w:rsid w:val="00306C33"/>
    <w:rsid w:val="00316EDF"/>
    <w:rsid w:val="003201D4"/>
    <w:rsid w:val="00321DB1"/>
    <w:rsid w:val="003250E0"/>
    <w:rsid w:val="00330A67"/>
    <w:rsid w:val="00333FF7"/>
    <w:rsid w:val="00334F62"/>
    <w:rsid w:val="003364EB"/>
    <w:rsid w:val="003366D5"/>
    <w:rsid w:val="00344C34"/>
    <w:rsid w:val="00354574"/>
    <w:rsid w:val="00360F5F"/>
    <w:rsid w:val="0036124A"/>
    <w:rsid w:val="00365459"/>
    <w:rsid w:val="0036754C"/>
    <w:rsid w:val="0038073F"/>
    <w:rsid w:val="00381B05"/>
    <w:rsid w:val="00386626"/>
    <w:rsid w:val="00390929"/>
    <w:rsid w:val="003A0B9C"/>
    <w:rsid w:val="003A0E5A"/>
    <w:rsid w:val="003A4C58"/>
    <w:rsid w:val="003A7581"/>
    <w:rsid w:val="003B0276"/>
    <w:rsid w:val="003B4D40"/>
    <w:rsid w:val="003B5D19"/>
    <w:rsid w:val="003B610B"/>
    <w:rsid w:val="003C47E8"/>
    <w:rsid w:val="003C7919"/>
    <w:rsid w:val="003D6389"/>
    <w:rsid w:val="003E2B14"/>
    <w:rsid w:val="003F01A7"/>
    <w:rsid w:val="004047B1"/>
    <w:rsid w:val="00405CCE"/>
    <w:rsid w:val="00405DC3"/>
    <w:rsid w:val="00407C2F"/>
    <w:rsid w:val="00411425"/>
    <w:rsid w:val="00413BA5"/>
    <w:rsid w:val="00426277"/>
    <w:rsid w:val="004262B3"/>
    <w:rsid w:val="00431130"/>
    <w:rsid w:val="00442254"/>
    <w:rsid w:val="00446B02"/>
    <w:rsid w:val="0045300F"/>
    <w:rsid w:val="00454158"/>
    <w:rsid w:val="00454723"/>
    <w:rsid w:val="00456657"/>
    <w:rsid w:val="00460140"/>
    <w:rsid w:val="0046238B"/>
    <w:rsid w:val="00464398"/>
    <w:rsid w:val="00477566"/>
    <w:rsid w:val="00491F39"/>
    <w:rsid w:val="0049575D"/>
    <w:rsid w:val="004A5318"/>
    <w:rsid w:val="004A741E"/>
    <w:rsid w:val="004B10D4"/>
    <w:rsid w:val="004B1ADE"/>
    <w:rsid w:val="004B570B"/>
    <w:rsid w:val="004B652A"/>
    <w:rsid w:val="004C30D2"/>
    <w:rsid w:val="004D0BE0"/>
    <w:rsid w:val="004D14F0"/>
    <w:rsid w:val="004D4A68"/>
    <w:rsid w:val="004E33AE"/>
    <w:rsid w:val="004E429F"/>
    <w:rsid w:val="004E64A1"/>
    <w:rsid w:val="004F25E0"/>
    <w:rsid w:val="004F2E8E"/>
    <w:rsid w:val="004F37CB"/>
    <w:rsid w:val="004F45CA"/>
    <w:rsid w:val="0050417A"/>
    <w:rsid w:val="00504F92"/>
    <w:rsid w:val="005078B3"/>
    <w:rsid w:val="00521B57"/>
    <w:rsid w:val="00522DE9"/>
    <w:rsid w:val="00523FBA"/>
    <w:rsid w:val="00524079"/>
    <w:rsid w:val="005255C0"/>
    <w:rsid w:val="005328F4"/>
    <w:rsid w:val="00532B33"/>
    <w:rsid w:val="0054248C"/>
    <w:rsid w:val="00547727"/>
    <w:rsid w:val="005534BD"/>
    <w:rsid w:val="0055472A"/>
    <w:rsid w:val="00564A3A"/>
    <w:rsid w:val="005674EF"/>
    <w:rsid w:val="00570C2E"/>
    <w:rsid w:val="00575D4F"/>
    <w:rsid w:val="00575F27"/>
    <w:rsid w:val="0058036C"/>
    <w:rsid w:val="00585BD9"/>
    <w:rsid w:val="005A1839"/>
    <w:rsid w:val="005A3759"/>
    <w:rsid w:val="005C1211"/>
    <w:rsid w:val="005C373B"/>
    <w:rsid w:val="005C4AAA"/>
    <w:rsid w:val="005C734F"/>
    <w:rsid w:val="005D1442"/>
    <w:rsid w:val="005D2701"/>
    <w:rsid w:val="005D5AF1"/>
    <w:rsid w:val="005D75C8"/>
    <w:rsid w:val="005D7C65"/>
    <w:rsid w:val="005E13BA"/>
    <w:rsid w:val="005F064D"/>
    <w:rsid w:val="005F5A21"/>
    <w:rsid w:val="00600458"/>
    <w:rsid w:val="00603824"/>
    <w:rsid w:val="006060DD"/>
    <w:rsid w:val="00620850"/>
    <w:rsid w:val="00623DD7"/>
    <w:rsid w:val="00624D32"/>
    <w:rsid w:val="00626F9E"/>
    <w:rsid w:val="006273ED"/>
    <w:rsid w:val="0064750C"/>
    <w:rsid w:val="00647EF2"/>
    <w:rsid w:val="006621E9"/>
    <w:rsid w:val="00664C73"/>
    <w:rsid w:val="00665DD9"/>
    <w:rsid w:val="00667C4C"/>
    <w:rsid w:val="006856E2"/>
    <w:rsid w:val="00695397"/>
    <w:rsid w:val="0069562F"/>
    <w:rsid w:val="006B1387"/>
    <w:rsid w:val="006B2FA8"/>
    <w:rsid w:val="006B3E08"/>
    <w:rsid w:val="006C4536"/>
    <w:rsid w:val="006C4572"/>
    <w:rsid w:val="006C51E2"/>
    <w:rsid w:val="006C5928"/>
    <w:rsid w:val="006C71BB"/>
    <w:rsid w:val="006D1276"/>
    <w:rsid w:val="006E670A"/>
    <w:rsid w:val="006F27FC"/>
    <w:rsid w:val="006F3153"/>
    <w:rsid w:val="006F4F6D"/>
    <w:rsid w:val="006F77EF"/>
    <w:rsid w:val="00705262"/>
    <w:rsid w:val="00705CA5"/>
    <w:rsid w:val="00716D0A"/>
    <w:rsid w:val="00721ECF"/>
    <w:rsid w:val="00725BEA"/>
    <w:rsid w:val="007306D1"/>
    <w:rsid w:val="00742CE1"/>
    <w:rsid w:val="0074372C"/>
    <w:rsid w:val="00744C7C"/>
    <w:rsid w:val="00747C4D"/>
    <w:rsid w:val="0075585E"/>
    <w:rsid w:val="00765F0F"/>
    <w:rsid w:val="00767047"/>
    <w:rsid w:val="0078470A"/>
    <w:rsid w:val="00787AF1"/>
    <w:rsid w:val="007A1913"/>
    <w:rsid w:val="007B1039"/>
    <w:rsid w:val="007B14BD"/>
    <w:rsid w:val="007B2E82"/>
    <w:rsid w:val="007D5B1C"/>
    <w:rsid w:val="007D65EF"/>
    <w:rsid w:val="007E04BC"/>
    <w:rsid w:val="007E069F"/>
    <w:rsid w:val="007E0ADA"/>
    <w:rsid w:val="007E5866"/>
    <w:rsid w:val="00804065"/>
    <w:rsid w:val="008062F5"/>
    <w:rsid w:val="00817BBA"/>
    <w:rsid w:val="00840A53"/>
    <w:rsid w:val="00841FF2"/>
    <w:rsid w:val="008427B3"/>
    <w:rsid w:val="00844B77"/>
    <w:rsid w:val="008502DA"/>
    <w:rsid w:val="0085047D"/>
    <w:rsid w:val="008524EA"/>
    <w:rsid w:val="00857642"/>
    <w:rsid w:val="00857F8E"/>
    <w:rsid w:val="0086268A"/>
    <w:rsid w:val="00864B15"/>
    <w:rsid w:val="00865C18"/>
    <w:rsid w:val="0086621E"/>
    <w:rsid w:val="0087492A"/>
    <w:rsid w:val="00882CB8"/>
    <w:rsid w:val="0088462F"/>
    <w:rsid w:val="00884650"/>
    <w:rsid w:val="00885062"/>
    <w:rsid w:val="00890848"/>
    <w:rsid w:val="00893230"/>
    <w:rsid w:val="00893901"/>
    <w:rsid w:val="008A41C8"/>
    <w:rsid w:val="008B2982"/>
    <w:rsid w:val="008B44D4"/>
    <w:rsid w:val="008C03AD"/>
    <w:rsid w:val="008C1485"/>
    <w:rsid w:val="008D2DBA"/>
    <w:rsid w:val="008D638B"/>
    <w:rsid w:val="008E19D7"/>
    <w:rsid w:val="008E6FB7"/>
    <w:rsid w:val="008E7FE5"/>
    <w:rsid w:val="008F1B8D"/>
    <w:rsid w:val="008F63E4"/>
    <w:rsid w:val="00900008"/>
    <w:rsid w:val="00900735"/>
    <w:rsid w:val="00902EB1"/>
    <w:rsid w:val="009050BB"/>
    <w:rsid w:val="00905F7A"/>
    <w:rsid w:val="00906A31"/>
    <w:rsid w:val="00910398"/>
    <w:rsid w:val="0091039C"/>
    <w:rsid w:val="00911640"/>
    <w:rsid w:val="00912783"/>
    <w:rsid w:val="0091451C"/>
    <w:rsid w:val="00915D45"/>
    <w:rsid w:val="00923349"/>
    <w:rsid w:val="00924A88"/>
    <w:rsid w:val="00925C73"/>
    <w:rsid w:val="00926002"/>
    <w:rsid w:val="00930EBA"/>
    <w:rsid w:val="00935580"/>
    <w:rsid w:val="00941016"/>
    <w:rsid w:val="009412D9"/>
    <w:rsid w:val="00944730"/>
    <w:rsid w:val="009471B5"/>
    <w:rsid w:val="00952928"/>
    <w:rsid w:val="00953CFD"/>
    <w:rsid w:val="009622E9"/>
    <w:rsid w:val="009632D0"/>
    <w:rsid w:val="009669E3"/>
    <w:rsid w:val="009671DB"/>
    <w:rsid w:val="00972738"/>
    <w:rsid w:val="00980958"/>
    <w:rsid w:val="00987014"/>
    <w:rsid w:val="00993054"/>
    <w:rsid w:val="00997443"/>
    <w:rsid w:val="009A68E7"/>
    <w:rsid w:val="009A78FB"/>
    <w:rsid w:val="009B66C0"/>
    <w:rsid w:val="009C24F9"/>
    <w:rsid w:val="009D3AAC"/>
    <w:rsid w:val="009D5B63"/>
    <w:rsid w:val="009E1679"/>
    <w:rsid w:val="009E239E"/>
    <w:rsid w:val="009E271D"/>
    <w:rsid w:val="009E2E98"/>
    <w:rsid w:val="009F768D"/>
    <w:rsid w:val="00A02573"/>
    <w:rsid w:val="00A039DA"/>
    <w:rsid w:val="00A07D8F"/>
    <w:rsid w:val="00A13C95"/>
    <w:rsid w:val="00A249F6"/>
    <w:rsid w:val="00A24F5E"/>
    <w:rsid w:val="00A35AFD"/>
    <w:rsid w:val="00A40731"/>
    <w:rsid w:val="00A448EF"/>
    <w:rsid w:val="00A52A4E"/>
    <w:rsid w:val="00A5343C"/>
    <w:rsid w:val="00A7043A"/>
    <w:rsid w:val="00A7538D"/>
    <w:rsid w:val="00A8008F"/>
    <w:rsid w:val="00A80E74"/>
    <w:rsid w:val="00A82749"/>
    <w:rsid w:val="00A84418"/>
    <w:rsid w:val="00A851A4"/>
    <w:rsid w:val="00A86BD8"/>
    <w:rsid w:val="00A87EDF"/>
    <w:rsid w:val="00AA13DD"/>
    <w:rsid w:val="00AA1496"/>
    <w:rsid w:val="00AA3D06"/>
    <w:rsid w:val="00AA4899"/>
    <w:rsid w:val="00AA639F"/>
    <w:rsid w:val="00AC0D42"/>
    <w:rsid w:val="00AC7DAD"/>
    <w:rsid w:val="00AD344D"/>
    <w:rsid w:val="00AD5E7B"/>
    <w:rsid w:val="00AE43F5"/>
    <w:rsid w:val="00AE7E8A"/>
    <w:rsid w:val="00AF32D8"/>
    <w:rsid w:val="00AF4C64"/>
    <w:rsid w:val="00B01BE5"/>
    <w:rsid w:val="00B06DDF"/>
    <w:rsid w:val="00B079A5"/>
    <w:rsid w:val="00B11062"/>
    <w:rsid w:val="00B16D92"/>
    <w:rsid w:val="00B20FAA"/>
    <w:rsid w:val="00B21FBA"/>
    <w:rsid w:val="00B2793E"/>
    <w:rsid w:val="00B37C66"/>
    <w:rsid w:val="00B42826"/>
    <w:rsid w:val="00B46EE3"/>
    <w:rsid w:val="00B542E3"/>
    <w:rsid w:val="00B55869"/>
    <w:rsid w:val="00B567F1"/>
    <w:rsid w:val="00B569FA"/>
    <w:rsid w:val="00B571D3"/>
    <w:rsid w:val="00B759EC"/>
    <w:rsid w:val="00B75F96"/>
    <w:rsid w:val="00B81C6E"/>
    <w:rsid w:val="00B824F8"/>
    <w:rsid w:val="00B86F52"/>
    <w:rsid w:val="00B91893"/>
    <w:rsid w:val="00B926BD"/>
    <w:rsid w:val="00B944E7"/>
    <w:rsid w:val="00BB1D36"/>
    <w:rsid w:val="00BB5630"/>
    <w:rsid w:val="00BD00D9"/>
    <w:rsid w:val="00BD6387"/>
    <w:rsid w:val="00BE2FC0"/>
    <w:rsid w:val="00BE5D1C"/>
    <w:rsid w:val="00BE7640"/>
    <w:rsid w:val="00BF0242"/>
    <w:rsid w:val="00BF16D8"/>
    <w:rsid w:val="00C02723"/>
    <w:rsid w:val="00C02A91"/>
    <w:rsid w:val="00C04960"/>
    <w:rsid w:val="00C11391"/>
    <w:rsid w:val="00C138A5"/>
    <w:rsid w:val="00C211F9"/>
    <w:rsid w:val="00C25927"/>
    <w:rsid w:val="00C27126"/>
    <w:rsid w:val="00C30CE6"/>
    <w:rsid w:val="00C310B8"/>
    <w:rsid w:val="00C31DBD"/>
    <w:rsid w:val="00C3343C"/>
    <w:rsid w:val="00C36C29"/>
    <w:rsid w:val="00C401B1"/>
    <w:rsid w:val="00C57D9D"/>
    <w:rsid w:val="00C65047"/>
    <w:rsid w:val="00C833D6"/>
    <w:rsid w:val="00C93BE4"/>
    <w:rsid w:val="00C95318"/>
    <w:rsid w:val="00C95A99"/>
    <w:rsid w:val="00C96F6B"/>
    <w:rsid w:val="00CA27F9"/>
    <w:rsid w:val="00CB772E"/>
    <w:rsid w:val="00CC1659"/>
    <w:rsid w:val="00CC30C3"/>
    <w:rsid w:val="00CC7377"/>
    <w:rsid w:val="00CD4229"/>
    <w:rsid w:val="00CD439E"/>
    <w:rsid w:val="00CD4AE1"/>
    <w:rsid w:val="00CE047D"/>
    <w:rsid w:val="00CE7731"/>
    <w:rsid w:val="00CF6A79"/>
    <w:rsid w:val="00D02D5A"/>
    <w:rsid w:val="00D06F2D"/>
    <w:rsid w:val="00D13B2D"/>
    <w:rsid w:val="00D16E7D"/>
    <w:rsid w:val="00D17731"/>
    <w:rsid w:val="00D21DFB"/>
    <w:rsid w:val="00D23DD0"/>
    <w:rsid w:val="00D33231"/>
    <w:rsid w:val="00D36240"/>
    <w:rsid w:val="00D36DB7"/>
    <w:rsid w:val="00D36DE5"/>
    <w:rsid w:val="00D40E5E"/>
    <w:rsid w:val="00D4152F"/>
    <w:rsid w:val="00D43F6F"/>
    <w:rsid w:val="00D62214"/>
    <w:rsid w:val="00D62E62"/>
    <w:rsid w:val="00D65E10"/>
    <w:rsid w:val="00D709A0"/>
    <w:rsid w:val="00D73BC0"/>
    <w:rsid w:val="00D76C93"/>
    <w:rsid w:val="00D77E88"/>
    <w:rsid w:val="00DA0625"/>
    <w:rsid w:val="00DA671A"/>
    <w:rsid w:val="00DA7E6E"/>
    <w:rsid w:val="00DB07B8"/>
    <w:rsid w:val="00DB4F49"/>
    <w:rsid w:val="00DC46F7"/>
    <w:rsid w:val="00DC4772"/>
    <w:rsid w:val="00DC6711"/>
    <w:rsid w:val="00DC67F2"/>
    <w:rsid w:val="00DD4F2F"/>
    <w:rsid w:val="00DD5F86"/>
    <w:rsid w:val="00DD6047"/>
    <w:rsid w:val="00DD771A"/>
    <w:rsid w:val="00DE2759"/>
    <w:rsid w:val="00DE4037"/>
    <w:rsid w:val="00DF1CFA"/>
    <w:rsid w:val="00DF63EB"/>
    <w:rsid w:val="00E04EFF"/>
    <w:rsid w:val="00E101A9"/>
    <w:rsid w:val="00E13468"/>
    <w:rsid w:val="00E13F2B"/>
    <w:rsid w:val="00E257AB"/>
    <w:rsid w:val="00E25D1A"/>
    <w:rsid w:val="00E31B54"/>
    <w:rsid w:val="00E3212A"/>
    <w:rsid w:val="00E333C7"/>
    <w:rsid w:val="00E41293"/>
    <w:rsid w:val="00E44479"/>
    <w:rsid w:val="00E475F0"/>
    <w:rsid w:val="00E50CA8"/>
    <w:rsid w:val="00E553E9"/>
    <w:rsid w:val="00E62177"/>
    <w:rsid w:val="00E6494D"/>
    <w:rsid w:val="00E703C3"/>
    <w:rsid w:val="00E80333"/>
    <w:rsid w:val="00E8107B"/>
    <w:rsid w:val="00E84C16"/>
    <w:rsid w:val="00E86D78"/>
    <w:rsid w:val="00E9310C"/>
    <w:rsid w:val="00E9501F"/>
    <w:rsid w:val="00E9676A"/>
    <w:rsid w:val="00EB7A35"/>
    <w:rsid w:val="00EC05B4"/>
    <w:rsid w:val="00EC074E"/>
    <w:rsid w:val="00EC33EA"/>
    <w:rsid w:val="00ED1B28"/>
    <w:rsid w:val="00ED2F8A"/>
    <w:rsid w:val="00ED3EC8"/>
    <w:rsid w:val="00ED5EB3"/>
    <w:rsid w:val="00ED7543"/>
    <w:rsid w:val="00EE1EE5"/>
    <w:rsid w:val="00EF4A3C"/>
    <w:rsid w:val="00EF7235"/>
    <w:rsid w:val="00F04C8C"/>
    <w:rsid w:val="00F054DA"/>
    <w:rsid w:val="00F07770"/>
    <w:rsid w:val="00F07BCF"/>
    <w:rsid w:val="00F16FAB"/>
    <w:rsid w:val="00F31625"/>
    <w:rsid w:val="00F3389A"/>
    <w:rsid w:val="00F36E39"/>
    <w:rsid w:val="00F5046F"/>
    <w:rsid w:val="00F5088C"/>
    <w:rsid w:val="00F510AC"/>
    <w:rsid w:val="00F561B9"/>
    <w:rsid w:val="00F62D04"/>
    <w:rsid w:val="00F70887"/>
    <w:rsid w:val="00F8605D"/>
    <w:rsid w:val="00F86EF9"/>
    <w:rsid w:val="00F86FB1"/>
    <w:rsid w:val="00F908E0"/>
    <w:rsid w:val="00F9335A"/>
    <w:rsid w:val="00FA0DD6"/>
    <w:rsid w:val="00FB4A94"/>
    <w:rsid w:val="00FB4C6F"/>
    <w:rsid w:val="00FB64A1"/>
    <w:rsid w:val="00FC110D"/>
    <w:rsid w:val="00FC3800"/>
    <w:rsid w:val="00FC763F"/>
    <w:rsid w:val="00FD36CA"/>
    <w:rsid w:val="00FD3B41"/>
    <w:rsid w:val="00FD6C73"/>
    <w:rsid w:val="00FE734D"/>
    <w:rsid w:val="00FF0BE2"/>
    <w:rsid w:val="00FF2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FC763F"/>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FC763F"/>
    <w:rPr>
      <w:rFonts w:eastAsia="Times New Roman"/>
      <w:sz w:val="26"/>
      <w:szCs w:val="26"/>
    </w:rPr>
  </w:style>
  <w:style w:type="paragraph" w:styleId="FootnoteText">
    <w:name w:val="footnote text"/>
    <w:basedOn w:val="Normal"/>
    <w:link w:val="FootnoteTextChar"/>
    <w:uiPriority w:val="99"/>
    <w:semiHidden/>
    <w:unhideWhenUsed/>
    <w:rsid w:val="00B37C66"/>
    <w:rPr>
      <w:sz w:val="20"/>
      <w:szCs w:val="20"/>
    </w:rPr>
  </w:style>
  <w:style w:type="character" w:customStyle="1" w:styleId="FootnoteTextChar">
    <w:name w:val="Footnote Text Char"/>
    <w:basedOn w:val="DefaultParagraphFont"/>
    <w:link w:val="FootnoteText"/>
    <w:uiPriority w:val="99"/>
    <w:semiHidden/>
    <w:rsid w:val="00B37C66"/>
    <w:rPr>
      <w:rFonts w:eastAsia="Times New Roman"/>
    </w:rPr>
  </w:style>
  <w:style w:type="character" w:styleId="FootnoteReference">
    <w:name w:val="footnote reference"/>
    <w:basedOn w:val="DefaultParagraphFont"/>
    <w:uiPriority w:val="99"/>
    <w:semiHidden/>
    <w:unhideWhenUsed/>
    <w:rsid w:val="00B37C66"/>
    <w:rPr>
      <w:vertAlign w:val="superscript"/>
    </w:rPr>
  </w:style>
  <w:style w:type="paragraph" w:styleId="BodyText">
    <w:name w:val="Body Text"/>
    <w:basedOn w:val="Normal"/>
    <w:link w:val="BodyTextChar"/>
    <w:uiPriority w:val="99"/>
    <w:semiHidden/>
    <w:unhideWhenUsed/>
    <w:rsid w:val="00013F48"/>
    <w:pPr>
      <w:spacing w:after="120"/>
    </w:pPr>
  </w:style>
  <w:style w:type="character" w:customStyle="1" w:styleId="BodyTextChar">
    <w:name w:val="Body Text Char"/>
    <w:basedOn w:val="DefaultParagraphFont"/>
    <w:link w:val="BodyText"/>
    <w:uiPriority w:val="99"/>
    <w:semiHidden/>
    <w:rsid w:val="00013F48"/>
    <w:rPr>
      <w:rFonts w:eastAsia="Times New Roman"/>
      <w:sz w:val="26"/>
      <w:szCs w:val="26"/>
    </w:rPr>
  </w:style>
  <w:style w:type="paragraph" w:styleId="BalloonText">
    <w:name w:val="Balloon Text"/>
    <w:basedOn w:val="Normal"/>
    <w:link w:val="BalloonTextChar"/>
    <w:uiPriority w:val="99"/>
    <w:semiHidden/>
    <w:unhideWhenUsed/>
    <w:rsid w:val="00250147"/>
    <w:rPr>
      <w:rFonts w:ascii="Tahoma" w:hAnsi="Tahoma" w:cs="Tahoma"/>
      <w:sz w:val="16"/>
      <w:szCs w:val="16"/>
    </w:rPr>
  </w:style>
  <w:style w:type="character" w:customStyle="1" w:styleId="BalloonTextChar">
    <w:name w:val="Balloon Text Char"/>
    <w:basedOn w:val="DefaultParagraphFont"/>
    <w:link w:val="BalloonText"/>
    <w:uiPriority w:val="99"/>
    <w:semiHidden/>
    <w:rsid w:val="00250147"/>
    <w:rPr>
      <w:rFonts w:ascii="Tahoma" w:eastAsia="Times New Roman" w:hAnsi="Tahoma" w:cs="Tahoma"/>
      <w:sz w:val="16"/>
      <w:szCs w:val="16"/>
    </w:rPr>
  </w:style>
  <w:style w:type="paragraph" w:styleId="Header">
    <w:name w:val="header"/>
    <w:basedOn w:val="Normal"/>
    <w:link w:val="HeaderChar"/>
    <w:uiPriority w:val="99"/>
    <w:unhideWhenUsed/>
    <w:rsid w:val="007E069F"/>
    <w:pPr>
      <w:tabs>
        <w:tab w:val="center" w:pos="4680"/>
        <w:tab w:val="right" w:pos="9360"/>
      </w:tabs>
    </w:pPr>
  </w:style>
  <w:style w:type="character" w:customStyle="1" w:styleId="HeaderChar">
    <w:name w:val="Header Char"/>
    <w:basedOn w:val="DefaultParagraphFont"/>
    <w:link w:val="Header"/>
    <w:uiPriority w:val="99"/>
    <w:rsid w:val="007E069F"/>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FC763F"/>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FC763F"/>
    <w:rPr>
      <w:rFonts w:eastAsia="Times New Roman"/>
      <w:sz w:val="26"/>
      <w:szCs w:val="26"/>
    </w:rPr>
  </w:style>
  <w:style w:type="paragraph" w:styleId="FootnoteText">
    <w:name w:val="footnote text"/>
    <w:basedOn w:val="Normal"/>
    <w:link w:val="FootnoteTextChar"/>
    <w:uiPriority w:val="99"/>
    <w:semiHidden/>
    <w:unhideWhenUsed/>
    <w:rsid w:val="00B37C66"/>
    <w:rPr>
      <w:sz w:val="20"/>
      <w:szCs w:val="20"/>
    </w:rPr>
  </w:style>
  <w:style w:type="character" w:customStyle="1" w:styleId="FootnoteTextChar">
    <w:name w:val="Footnote Text Char"/>
    <w:basedOn w:val="DefaultParagraphFont"/>
    <w:link w:val="FootnoteText"/>
    <w:uiPriority w:val="99"/>
    <w:semiHidden/>
    <w:rsid w:val="00B37C66"/>
    <w:rPr>
      <w:rFonts w:eastAsia="Times New Roman"/>
    </w:rPr>
  </w:style>
  <w:style w:type="character" w:styleId="FootnoteReference">
    <w:name w:val="footnote reference"/>
    <w:basedOn w:val="DefaultParagraphFont"/>
    <w:uiPriority w:val="99"/>
    <w:semiHidden/>
    <w:unhideWhenUsed/>
    <w:rsid w:val="00B37C66"/>
    <w:rPr>
      <w:vertAlign w:val="superscript"/>
    </w:rPr>
  </w:style>
  <w:style w:type="paragraph" w:styleId="BodyText">
    <w:name w:val="Body Text"/>
    <w:basedOn w:val="Normal"/>
    <w:link w:val="BodyTextChar"/>
    <w:uiPriority w:val="99"/>
    <w:semiHidden/>
    <w:unhideWhenUsed/>
    <w:rsid w:val="00013F48"/>
    <w:pPr>
      <w:spacing w:after="120"/>
    </w:pPr>
  </w:style>
  <w:style w:type="character" w:customStyle="1" w:styleId="BodyTextChar">
    <w:name w:val="Body Text Char"/>
    <w:basedOn w:val="DefaultParagraphFont"/>
    <w:link w:val="BodyText"/>
    <w:uiPriority w:val="99"/>
    <w:semiHidden/>
    <w:rsid w:val="00013F48"/>
    <w:rPr>
      <w:rFonts w:eastAsia="Times New Roman"/>
      <w:sz w:val="26"/>
      <w:szCs w:val="26"/>
    </w:rPr>
  </w:style>
  <w:style w:type="paragraph" w:styleId="BalloonText">
    <w:name w:val="Balloon Text"/>
    <w:basedOn w:val="Normal"/>
    <w:link w:val="BalloonTextChar"/>
    <w:uiPriority w:val="99"/>
    <w:semiHidden/>
    <w:unhideWhenUsed/>
    <w:rsid w:val="00250147"/>
    <w:rPr>
      <w:rFonts w:ascii="Tahoma" w:hAnsi="Tahoma" w:cs="Tahoma"/>
      <w:sz w:val="16"/>
      <w:szCs w:val="16"/>
    </w:rPr>
  </w:style>
  <w:style w:type="character" w:customStyle="1" w:styleId="BalloonTextChar">
    <w:name w:val="Balloon Text Char"/>
    <w:basedOn w:val="DefaultParagraphFont"/>
    <w:link w:val="BalloonText"/>
    <w:uiPriority w:val="99"/>
    <w:semiHidden/>
    <w:rsid w:val="00250147"/>
    <w:rPr>
      <w:rFonts w:ascii="Tahoma" w:eastAsia="Times New Roman" w:hAnsi="Tahoma" w:cs="Tahoma"/>
      <w:sz w:val="16"/>
      <w:szCs w:val="16"/>
    </w:rPr>
  </w:style>
  <w:style w:type="paragraph" w:styleId="Header">
    <w:name w:val="header"/>
    <w:basedOn w:val="Normal"/>
    <w:link w:val="HeaderChar"/>
    <w:uiPriority w:val="99"/>
    <w:unhideWhenUsed/>
    <w:rsid w:val="007E069F"/>
    <w:pPr>
      <w:tabs>
        <w:tab w:val="center" w:pos="4680"/>
        <w:tab w:val="right" w:pos="9360"/>
      </w:tabs>
    </w:pPr>
  </w:style>
  <w:style w:type="character" w:customStyle="1" w:styleId="HeaderChar">
    <w:name w:val="Header Char"/>
    <w:basedOn w:val="DefaultParagraphFont"/>
    <w:link w:val="Header"/>
    <w:uiPriority w:val="99"/>
    <w:rsid w:val="007E069F"/>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568071">
      <w:bodyDiv w:val="1"/>
      <w:marLeft w:val="0"/>
      <w:marRight w:val="0"/>
      <w:marTop w:val="0"/>
      <w:marBottom w:val="0"/>
      <w:divBdr>
        <w:top w:val="none" w:sz="0" w:space="0" w:color="auto"/>
        <w:left w:val="none" w:sz="0" w:space="0" w:color="auto"/>
        <w:bottom w:val="none" w:sz="0" w:space="0" w:color="auto"/>
        <w:right w:val="none" w:sz="0" w:space="0" w:color="auto"/>
      </w:divBdr>
      <w:divsChild>
        <w:div w:id="1061098905">
          <w:marLeft w:val="0"/>
          <w:marRight w:val="0"/>
          <w:marTop w:val="0"/>
          <w:marBottom w:val="0"/>
          <w:divBdr>
            <w:top w:val="none" w:sz="0" w:space="0" w:color="auto"/>
            <w:left w:val="none" w:sz="0" w:space="0" w:color="auto"/>
            <w:bottom w:val="none" w:sz="0" w:space="0" w:color="auto"/>
            <w:right w:val="none" w:sz="0" w:space="0" w:color="auto"/>
          </w:divBdr>
          <w:divsChild>
            <w:div w:id="1192644812">
              <w:marLeft w:val="0"/>
              <w:marRight w:val="0"/>
              <w:marTop w:val="0"/>
              <w:marBottom w:val="0"/>
              <w:divBdr>
                <w:top w:val="none" w:sz="0" w:space="0" w:color="auto"/>
                <w:left w:val="none" w:sz="0" w:space="0" w:color="auto"/>
                <w:bottom w:val="none" w:sz="0" w:space="0" w:color="auto"/>
                <w:right w:val="none" w:sz="0" w:space="0" w:color="auto"/>
              </w:divBdr>
              <w:divsChild>
                <w:div w:id="589897845">
                  <w:marLeft w:val="0"/>
                  <w:marRight w:val="0"/>
                  <w:marTop w:val="0"/>
                  <w:marBottom w:val="0"/>
                  <w:divBdr>
                    <w:top w:val="none" w:sz="0" w:space="0" w:color="auto"/>
                    <w:left w:val="none" w:sz="0" w:space="0" w:color="auto"/>
                    <w:bottom w:val="none" w:sz="0" w:space="0" w:color="auto"/>
                    <w:right w:val="none" w:sz="0" w:space="0" w:color="auto"/>
                  </w:divBdr>
                  <w:divsChild>
                    <w:div w:id="73774635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233829">
      <w:bodyDiv w:val="1"/>
      <w:marLeft w:val="0"/>
      <w:marRight w:val="0"/>
      <w:marTop w:val="0"/>
      <w:marBottom w:val="0"/>
      <w:divBdr>
        <w:top w:val="none" w:sz="0" w:space="0" w:color="auto"/>
        <w:left w:val="none" w:sz="0" w:space="0" w:color="auto"/>
        <w:bottom w:val="none" w:sz="0" w:space="0" w:color="auto"/>
        <w:right w:val="none" w:sz="0" w:space="0" w:color="auto"/>
      </w:divBdr>
      <w:divsChild>
        <w:div w:id="1679305996">
          <w:marLeft w:val="0"/>
          <w:marRight w:val="0"/>
          <w:marTop w:val="0"/>
          <w:marBottom w:val="0"/>
          <w:divBdr>
            <w:top w:val="none" w:sz="0" w:space="0" w:color="auto"/>
            <w:left w:val="none" w:sz="0" w:space="0" w:color="auto"/>
            <w:bottom w:val="none" w:sz="0" w:space="0" w:color="auto"/>
            <w:right w:val="none" w:sz="0" w:space="0" w:color="auto"/>
          </w:divBdr>
          <w:divsChild>
            <w:div w:id="1390956242">
              <w:marLeft w:val="0"/>
              <w:marRight w:val="0"/>
              <w:marTop w:val="0"/>
              <w:marBottom w:val="0"/>
              <w:divBdr>
                <w:top w:val="none" w:sz="0" w:space="0" w:color="auto"/>
                <w:left w:val="none" w:sz="0" w:space="0" w:color="auto"/>
                <w:bottom w:val="none" w:sz="0" w:space="0" w:color="auto"/>
                <w:right w:val="none" w:sz="0" w:space="0" w:color="auto"/>
              </w:divBdr>
              <w:divsChild>
                <w:div w:id="803044189">
                  <w:marLeft w:val="0"/>
                  <w:marRight w:val="0"/>
                  <w:marTop w:val="0"/>
                  <w:marBottom w:val="0"/>
                  <w:divBdr>
                    <w:top w:val="none" w:sz="0" w:space="0" w:color="auto"/>
                    <w:left w:val="none" w:sz="0" w:space="0" w:color="auto"/>
                    <w:bottom w:val="none" w:sz="0" w:space="0" w:color="auto"/>
                    <w:right w:val="none" w:sz="0" w:space="0" w:color="auto"/>
                  </w:divBdr>
                  <w:divsChild>
                    <w:div w:id="6530119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88497-022C-44CA-B1E9-6563F8EAE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2176</Words>
  <Characters>12408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3</cp:revision>
  <cp:lastPrinted>2012-02-01T17:59:00Z</cp:lastPrinted>
  <dcterms:created xsi:type="dcterms:W3CDTF">2012-02-07T12:52:00Z</dcterms:created>
  <dcterms:modified xsi:type="dcterms:W3CDTF">2012-02-14T15:28:00Z</dcterms:modified>
</cp:coreProperties>
</file>